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F3175"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39241146">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B17DEF0" w:rsidR="00FD13BE" w:rsidRDefault="00DF3FEC" w:rsidP="00FD13BE">
      <w:pPr>
        <w:pStyle w:val="Heading1"/>
        <w:ind w:left="142"/>
        <w:rPr>
          <w:color w:val="FFFFFF" w:themeColor="background1"/>
          <w:lang w:val="en-NZ"/>
        </w:rPr>
      </w:pPr>
      <w:r w:rsidRPr="00DF3FEC">
        <w:rPr>
          <w:color w:val="FFFFFF" w:themeColor="background1"/>
          <w:lang w:val="en-NZ"/>
        </w:rPr>
        <w:t xml:space="preserve">Procurement and Commercial Lead </w:t>
      </w:r>
    </w:p>
    <w:p w14:paraId="1E412244" w14:textId="1C2285E9" w:rsidR="000710E0" w:rsidRPr="00FD13BE" w:rsidRDefault="006C15F4" w:rsidP="00FD13BE">
      <w:pPr>
        <w:pStyle w:val="Heading1"/>
        <w:ind w:left="142"/>
        <w:rPr>
          <w:color w:val="FFFFFF" w:themeColor="background1"/>
          <w:lang w:val="en-NZ"/>
        </w:rPr>
      </w:pPr>
      <w:r w:rsidRPr="006C15F4">
        <w:rPr>
          <w:color w:val="FFFFFF" w:themeColor="background1"/>
          <w:lang w:val="en-NZ"/>
        </w:rPr>
        <w:t>Disability Support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6E35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B17A6"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A1092"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5E908"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BDA9C"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87BA7"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7D040"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CC44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BF568"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4F50E122" w14:textId="15280ED9" w:rsidR="00DF3FEC" w:rsidRDefault="00DF3FEC" w:rsidP="00DF3FEC">
      <w:r>
        <w:t>The Procurement and Commercial Lead role will lead and manage our most complex commercial work and oversee a range of end-to-end procurement activities within a commissioning cycle</w:t>
      </w:r>
      <w:r w:rsidRPr="00B72DA1">
        <w:t xml:space="preserve">. </w:t>
      </w:r>
      <w:r w:rsidR="00B72DA1" w:rsidRPr="00B72DA1">
        <w:t>The Ministry of Social Development</w:t>
      </w:r>
      <w:r w:rsidRPr="00B72DA1">
        <w:t xml:space="preserve"> commissions</w:t>
      </w:r>
      <w:r>
        <w:t xml:space="preserve"> approximately $2.</w:t>
      </w:r>
      <w:r w:rsidR="005E2616">
        <w:t>5</w:t>
      </w:r>
      <w:r>
        <w:t>b of disability support annually</w:t>
      </w:r>
      <w:r w:rsidR="000C49A7">
        <w:t xml:space="preserve"> through the Disability Support Service (DSS)</w:t>
      </w:r>
      <w:r>
        <w:t>.</w:t>
      </w:r>
    </w:p>
    <w:p w14:paraId="6CD9A632" w14:textId="77777777" w:rsidR="00DF3FEC" w:rsidRDefault="00DF3FEC" w:rsidP="00DF3FEC">
      <w:r>
        <w:t>This includes:</w:t>
      </w:r>
    </w:p>
    <w:p w14:paraId="74C9CBFD" w14:textId="77777777" w:rsidR="00DF3FEC" w:rsidRDefault="00DF3FEC" w:rsidP="00AA3111">
      <w:pPr>
        <w:spacing w:before="60" w:after="60"/>
        <w:ind w:left="357" w:hanging="357"/>
      </w:pPr>
      <w:r>
        <w:t>•</w:t>
      </w:r>
      <w:r>
        <w:tab/>
        <w:t>leading annual procurement planning;</w:t>
      </w:r>
    </w:p>
    <w:p w14:paraId="7CA3A49D" w14:textId="77777777" w:rsidR="00DF3FEC" w:rsidRDefault="00DF3FEC" w:rsidP="00AA3111">
      <w:pPr>
        <w:spacing w:before="60" w:after="60"/>
        <w:ind w:left="357" w:hanging="357"/>
      </w:pPr>
      <w:r>
        <w:t>•</w:t>
      </w:r>
      <w:r>
        <w:tab/>
        <w:t xml:space="preserve">providing commercial support and specialist procurement advice; </w:t>
      </w:r>
    </w:p>
    <w:p w14:paraId="2CEF170B" w14:textId="77777777" w:rsidR="00DF3FEC" w:rsidRDefault="00DF3FEC" w:rsidP="00AA3111">
      <w:pPr>
        <w:spacing w:before="60" w:after="60"/>
        <w:ind w:left="357" w:hanging="357"/>
      </w:pPr>
      <w:r>
        <w:t>•</w:t>
      </w:r>
      <w:r>
        <w:tab/>
        <w:t>analysing markets;</w:t>
      </w:r>
    </w:p>
    <w:p w14:paraId="6B53CC26" w14:textId="77777777" w:rsidR="00DF3FEC" w:rsidRDefault="00DF3FEC" w:rsidP="00AA3111">
      <w:pPr>
        <w:spacing w:before="60" w:after="60"/>
        <w:ind w:left="357" w:hanging="357"/>
      </w:pPr>
      <w:r>
        <w:t>•</w:t>
      </w:r>
      <w:r>
        <w:tab/>
        <w:t xml:space="preserve">implementing market growth strategies; </w:t>
      </w:r>
    </w:p>
    <w:p w14:paraId="08CBAEC4" w14:textId="77777777" w:rsidR="00DF3FEC" w:rsidRDefault="00DF3FEC" w:rsidP="00AA3111">
      <w:pPr>
        <w:spacing w:before="60" w:after="60"/>
        <w:ind w:left="357" w:hanging="357"/>
      </w:pPr>
      <w:r>
        <w:t>•</w:t>
      </w:r>
      <w:r>
        <w:tab/>
        <w:t>managing procurement processes;</w:t>
      </w:r>
    </w:p>
    <w:p w14:paraId="08FC4A7B" w14:textId="77777777" w:rsidR="00DF3FEC" w:rsidRDefault="00DF3FEC" w:rsidP="00AA3111">
      <w:pPr>
        <w:spacing w:before="60" w:after="60"/>
        <w:ind w:left="357" w:hanging="357"/>
      </w:pPr>
      <w:r>
        <w:t>•</w:t>
      </w:r>
      <w:r>
        <w:tab/>
        <w:t xml:space="preserve">supporting complex decisions based on clear analysis; </w:t>
      </w:r>
    </w:p>
    <w:p w14:paraId="51C209C7" w14:textId="77777777" w:rsidR="00DF3FEC" w:rsidRDefault="00DF3FEC" w:rsidP="00AA3111">
      <w:pPr>
        <w:spacing w:before="60" w:after="60"/>
        <w:ind w:left="357" w:hanging="357"/>
      </w:pPr>
      <w:r>
        <w:t>•</w:t>
      </w:r>
      <w:r>
        <w:tab/>
        <w:t>applying risk management techniques; and</w:t>
      </w:r>
    </w:p>
    <w:p w14:paraId="17D5C64E" w14:textId="017137E5" w:rsidR="00AA3111" w:rsidRDefault="00DF3FEC" w:rsidP="00AA3111">
      <w:pPr>
        <w:spacing w:before="60" w:after="60"/>
        <w:ind w:left="357" w:hanging="357"/>
      </w:pPr>
      <w:r>
        <w:t>•</w:t>
      </w:r>
      <w:r>
        <w:tab/>
        <w:t>negotiating and reviewing adequacy of contractual terms and commercial benefits.</w:t>
      </w:r>
    </w:p>
    <w:p w14:paraId="051C9C15" w14:textId="77777777" w:rsidR="00B72DA1" w:rsidRDefault="00B72DA1" w:rsidP="00DF3FEC"/>
    <w:p w14:paraId="279E6F57" w14:textId="2A3DC633" w:rsidR="005F26E8" w:rsidRDefault="00DF3FEC" w:rsidP="00DF3FEC">
      <w:r>
        <w:t xml:space="preserve">This role supports an increased focus </w:t>
      </w:r>
      <w:r w:rsidRPr="00B72DA1">
        <w:t xml:space="preserve">across </w:t>
      </w:r>
      <w:r w:rsidR="00B72DA1" w:rsidRPr="00B72DA1">
        <w:t>MSD</w:t>
      </w:r>
      <w:r w:rsidRPr="00B72DA1">
        <w:t xml:space="preserve"> to</w:t>
      </w:r>
      <w:r>
        <w:t xml:space="preserve"> strengthen probity and will foster the development, growth and procurement expertise across the commissioning team and the wider organisation. </w:t>
      </w:r>
    </w:p>
    <w:p w14:paraId="2EC18287" w14:textId="77777777" w:rsidR="0080061F" w:rsidRPr="00B72DA1" w:rsidRDefault="0080061F" w:rsidP="0080061F">
      <w:pPr>
        <w:pStyle w:val="Heading3"/>
      </w:pPr>
      <w:r w:rsidRPr="00B72DA1">
        <w:t>Location</w:t>
      </w:r>
    </w:p>
    <w:p w14:paraId="50B953AD" w14:textId="05693A66" w:rsidR="0080061F" w:rsidRDefault="009074F1" w:rsidP="0080061F">
      <w:r>
        <w:t xml:space="preserve">National Office, </w:t>
      </w:r>
      <w:r w:rsidR="00B72DA1">
        <w:t>Wellington</w:t>
      </w:r>
    </w:p>
    <w:p w14:paraId="70CBFD7E" w14:textId="77777777" w:rsidR="0080061F" w:rsidRDefault="0080061F" w:rsidP="0080061F">
      <w:pPr>
        <w:pStyle w:val="Heading3"/>
      </w:pPr>
      <w:r>
        <w:t>Reports to</w:t>
      </w:r>
    </w:p>
    <w:p w14:paraId="031FC9D3" w14:textId="3C90B480" w:rsidR="00DF3FEC" w:rsidRDefault="00DF3FEC" w:rsidP="00DF3FEC">
      <w:pPr>
        <w:spacing w:after="0" w:line="240" w:lineRule="auto"/>
      </w:pPr>
      <w:r>
        <w:t xml:space="preserve">Director, Commissioning </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49C4C5E7" w:rsidR="0080061F" w:rsidRDefault="00DF3FEC" w:rsidP="0080061F">
      <w:pPr>
        <w:pStyle w:val="Heading3"/>
      </w:pPr>
      <w:r w:rsidRPr="00DF3FEC">
        <w:t>Strategic Sourcing</w:t>
      </w:r>
    </w:p>
    <w:p w14:paraId="4DD0ED19" w14:textId="5344CD09" w:rsidR="00DF3FEC" w:rsidRDefault="00DF3FEC" w:rsidP="00AA3111">
      <w:pPr>
        <w:spacing w:before="60" w:after="60"/>
        <w:ind w:left="357" w:hanging="357"/>
      </w:pPr>
      <w:r>
        <w:t>•</w:t>
      </w:r>
      <w:r>
        <w:tab/>
        <w:t>Provide expert knowledge and understanding of all components of the commissioning cycle.</w:t>
      </w:r>
    </w:p>
    <w:p w14:paraId="6324C3E7" w14:textId="77777777" w:rsidR="00DF3FEC" w:rsidRDefault="00DF3FEC" w:rsidP="00AA3111">
      <w:pPr>
        <w:spacing w:before="60" w:after="60"/>
        <w:ind w:left="357" w:hanging="357"/>
      </w:pPr>
      <w:r>
        <w:t>•</w:t>
      </w:r>
      <w:r>
        <w:tab/>
        <w:t>Lead annual strategic procurement planning.</w:t>
      </w:r>
    </w:p>
    <w:p w14:paraId="147C5D5F" w14:textId="3FB40894" w:rsidR="00DF3FEC" w:rsidRDefault="00DF3FEC" w:rsidP="00AA3111">
      <w:pPr>
        <w:spacing w:before="60" w:after="60"/>
        <w:ind w:left="357" w:hanging="357"/>
      </w:pPr>
      <w:r>
        <w:t>•</w:t>
      </w:r>
      <w:r>
        <w:tab/>
        <w:t xml:space="preserve">Provide advice on approach to market options that align with the commissioning framework and strategic direction of </w:t>
      </w:r>
      <w:r w:rsidR="00B72DA1">
        <w:t>MSD</w:t>
      </w:r>
      <w:r>
        <w:t>.</w:t>
      </w:r>
    </w:p>
    <w:p w14:paraId="0216C0EF" w14:textId="77777777" w:rsidR="00DF3FEC" w:rsidRDefault="00DF3FEC" w:rsidP="00AA3111">
      <w:pPr>
        <w:spacing w:before="60" w:after="60"/>
        <w:ind w:left="357" w:hanging="357"/>
      </w:pPr>
      <w:r>
        <w:t>•</w:t>
      </w:r>
      <w:r>
        <w:tab/>
        <w:t>Engage with underrepresented providers to understand barriers to procurement, particularly Māori and Pacific communities.</w:t>
      </w:r>
    </w:p>
    <w:p w14:paraId="3DF445E0" w14:textId="77777777" w:rsidR="00DF3FEC" w:rsidRDefault="00DF3FEC" w:rsidP="00AA3111">
      <w:pPr>
        <w:spacing w:before="60" w:after="60"/>
        <w:ind w:left="357" w:hanging="357"/>
      </w:pPr>
      <w:r>
        <w:t>•</w:t>
      </w:r>
      <w:r>
        <w:tab/>
        <w:t>Develop strategies to grow market capability and engagement and achieve broader outcomes through market insights and stakeholder engagement.</w:t>
      </w:r>
    </w:p>
    <w:p w14:paraId="4A3B8772" w14:textId="78E56792" w:rsidR="0080061F" w:rsidRDefault="00DF3FEC" w:rsidP="00AA3111">
      <w:pPr>
        <w:spacing w:before="60" w:after="60"/>
        <w:ind w:left="357" w:hanging="357"/>
      </w:pPr>
      <w:r>
        <w:t>•</w:t>
      </w:r>
      <w:r>
        <w:tab/>
        <w:t>Engage and maintain business relationships for social, commercial and portfolio planning internally and identify options that deliver greater value.</w:t>
      </w:r>
    </w:p>
    <w:p w14:paraId="198AF419" w14:textId="42595499" w:rsidR="006C15F4" w:rsidRDefault="00DF3FEC" w:rsidP="006C15F4">
      <w:pPr>
        <w:pStyle w:val="Heading3"/>
      </w:pPr>
      <w:r w:rsidRPr="00DF3FEC">
        <w:lastRenderedPageBreak/>
        <w:t>Suppliers and Contracts</w:t>
      </w:r>
    </w:p>
    <w:p w14:paraId="23420F5E" w14:textId="334A4E96" w:rsidR="00DF3FEC" w:rsidRDefault="00DF3FEC" w:rsidP="00AA3111">
      <w:pPr>
        <w:spacing w:before="60" w:after="60"/>
        <w:ind w:left="357" w:hanging="357"/>
      </w:pPr>
      <w:r>
        <w:t>•</w:t>
      </w:r>
      <w:r>
        <w:tab/>
        <w:t>Negotiate and review the adequacy of contractual terms and commercial benefits to ensure achievement of outcomes.</w:t>
      </w:r>
    </w:p>
    <w:p w14:paraId="38544E62" w14:textId="77777777" w:rsidR="00DF3FEC" w:rsidRDefault="00DF3FEC" w:rsidP="00AA3111">
      <w:pPr>
        <w:spacing w:before="60" w:after="60"/>
        <w:ind w:left="357" w:hanging="357"/>
      </w:pPr>
      <w:r>
        <w:t>•</w:t>
      </w:r>
      <w:r>
        <w:tab/>
        <w:t>Ensure requirements for new contracts are clearly defined and aligned with the organisation’s needs.</w:t>
      </w:r>
    </w:p>
    <w:p w14:paraId="02C3337C" w14:textId="6FCCA322" w:rsidR="006C15F4" w:rsidRDefault="00DF3FEC" w:rsidP="00AA3111">
      <w:pPr>
        <w:spacing w:before="60" w:after="60"/>
        <w:ind w:left="357" w:hanging="357"/>
      </w:pPr>
      <w:r>
        <w:t>•</w:t>
      </w:r>
      <w:r>
        <w:tab/>
        <w:t>Ensure that benefits are obtained from all engagements and are aligned with the organisation’s strategic plans and priorities.</w:t>
      </w:r>
    </w:p>
    <w:p w14:paraId="159ACBB4" w14:textId="2E5EB9B1" w:rsidR="006C15F4" w:rsidRDefault="00DF3FEC" w:rsidP="006C15F4">
      <w:pPr>
        <w:pStyle w:val="Heading3"/>
      </w:pPr>
      <w:r w:rsidRPr="00DF3FEC">
        <w:t>Supplier Relationship Management</w:t>
      </w:r>
    </w:p>
    <w:p w14:paraId="1A31F859" w14:textId="40C5D78D" w:rsidR="00DF3FEC" w:rsidRDefault="00DF3FEC" w:rsidP="00AA3111">
      <w:pPr>
        <w:spacing w:before="60" w:after="60"/>
        <w:ind w:left="357" w:hanging="357"/>
      </w:pPr>
      <w:r>
        <w:t>•</w:t>
      </w:r>
      <w:r>
        <w:tab/>
        <w:t>Build collaborative relationships with suppliers to drive strategic value beyond pricing.</w:t>
      </w:r>
    </w:p>
    <w:p w14:paraId="0A113644" w14:textId="77777777" w:rsidR="00DF3FEC" w:rsidRDefault="00DF3FEC" w:rsidP="00AA3111">
      <w:pPr>
        <w:spacing w:before="60" w:after="60"/>
        <w:ind w:left="357" w:hanging="357"/>
      </w:pPr>
      <w:r>
        <w:t>•</w:t>
      </w:r>
      <w:r>
        <w:tab/>
        <w:t>Develop products and protocols that enable Ministry suppliers to work collaboratively with each other.</w:t>
      </w:r>
    </w:p>
    <w:p w14:paraId="6E857FF2" w14:textId="00EB2401" w:rsidR="006C15F4" w:rsidRDefault="00DF3FEC" w:rsidP="00AA3111">
      <w:pPr>
        <w:spacing w:before="60" w:after="60"/>
        <w:ind w:left="357" w:hanging="357"/>
      </w:pPr>
      <w:r>
        <w:t>•</w:t>
      </w:r>
      <w:r>
        <w:tab/>
        <w:t>Develop strategies that anticipate, manage, mitigate and monitor risks associated with providing reliable organisation wide procurement support.</w:t>
      </w:r>
    </w:p>
    <w:p w14:paraId="128A69AB" w14:textId="5EF4E764" w:rsidR="006C15F4" w:rsidRDefault="00DF3FEC" w:rsidP="006C15F4">
      <w:pPr>
        <w:pStyle w:val="Heading3"/>
      </w:pPr>
      <w:r w:rsidRPr="00DF3FEC">
        <w:t>Delivery</w:t>
      </w:r>
    </w:p>
    <w:p w14:paraId="43AF0810" w14:textId="56671AA5" w:rsidR="00DF3FEC" w:rsidRDefault="00DF3FEC" w:rsidP="00AA3111">
      <w:pPr>
        <w:spacing w:before="60" w:after="60"/>
        <w:ind w:left="357" w:hanging="357"/>
      </w:pPr>
      <w:r>
        <w:t>•</w:t>
      </w:r>
      <w:r>
        <w:tab/>
        <w:t>Deliver major/significant procurement projects to scope, time and budget and achieve successful procurement outcomes.</w:t>
      </w:r>
    </w:p>
    <w:p w14:paraId="2CD51C6A" w14:textId="77777777" w:rsidR="00DF3FEC" w:rsidRDefault="00DF3FEC" w:rsidP="00AA3111">
      <w:pPr>
        <w:spacing w:before="60" w:after="60"/>
        <w:ind w:left="357" w:hanging="357"/>
      </w:pPr>
      <w:r>
        <w:t>•</w:t>
      </w:r>
      <w:r>
        <w:tab/>
        <w:t>Manage significant programmes of work ensuring all reporting requirements are met.</w:t>
      </w:r>
    </w:p>
    <w:p w14:paraId="06AFD6BE" w14:textId="77777777" w:rsidR="00DF3FEC" w:rsidRDefault="00DF3FEC" w:rsidP="00AA3111">
      <w:pPr>
        <w:spacing w:before="60" w:after="60"/>
        <w:ind w:left="357" w:hanging="357"/>
      </w:pPr>
      <w:r>
        <w:t>•</w:t>
      </w:r>
      <w:r>
        <w:tab/>
        <w:t>Develop and manage strategies that anticipate, manage, mitigate and monitor the risks associated with providing commercial services.</w:t>
      </w:r>
    </w:p>
    <w:p w14:paraId="22CDEE66" w14:textId="38664102" w:rsidR="00DF3FEC" w:rsidRDefault="00DF3FEC" w:rsidP="00AA3111">
      <w:pPr>
        <w:spacing w:before="60" w:after="60"/>
        <w:ind w:left="357" w:hanging="357"/>
      </w:pPr>
      <w:r>
        <w:t>•</w:t>
      </w:r>
      <w:r>
        <w:tab/>
        <w:t xml:space="preserve">Collaborate with management and kaimahi regarding changes to existing or new commercial management practices as part of </w:t>
      </w:r>
      <w:r w:rsidR="00B72DA1">
        <w:t xml:space="preserve">MSD’s </w:t>
      </w:r>
      <w:r>
        <w:t>Commissioning Framework.</w:t>
      </w:r>
    </w:p>
    <w:p w14:paraId="513F7B72" w14:textId="77777777" w:rsidR="00DF3FEC" w:rsidRDefault="00DF3FEC" w:rsidP="00AA3111">
      <w:pPr>
        <w:spacing w:before="60" w:after="60"/>
        <w:ind w:left="357" w:hanging="357"/>
      </w:pPr>
      <w:r>
        <w:t>•</w:t>
      </w:r>
      <w:r>
        <w:tab/>
        <w:t>Commit to continuous improvement and promote effective integration, planning and co-ordination of procurement activity across the Ministry.</w:t>
      </w:r>
    </w:p>
    <w:p w14:paraId="6304773F" w14:textId="2C0B5DE6" w:rsidR="006C15F4" w:rsidRDefault="00DF3FEC" w:rsidP="00AA3111">
      <w:pPr>
        <w:spacing w:before="60" w:after="60"/>
        <w:ind w:left="357" w:hanging="357"/>
      </w:pPr>
      <w:r>
        <w:t>•</w:t>
      </w:r>
      <w:r>
        <w:tab/>
        <w:t>Ensure the highest standards of probity and ethics in the commercial practice. This includes ensuring conflicts are effectively managed.</w:t>
      </w:r>
    </w:p>
    <w:p w14:paraId="3D5F9995" w14:textId="4B558B45" w:rsidR="006C15F4" w:rsidRDefault="00DF3FEC" w:rsidP="006C15F4">
      <w:pPr>
        <w:pStyle w:val="Heading3"/>
      </w:pPr>
      <w:r w:rsidRPr="00DF3FEC">
        <w:t>Relationship Management</w:t>
      </w:r>
    </w:p>
    <w:p w14:paraId="7BEE0910" w14:textId="7EF2FDDD" w:rsidR="00DF3FEC" w:rsidRDefault="00DF3FEC" w:rsidP="00AA3111">
      <w:pPr>
        <w:spacing w:before="60" w:after="60"/>
        <w:ind w:left="357" w:hanging="357"/>
      </w:pPr>
      <w:r>
        <w:t>•</w:t>
      </w:r>
      <w:r>
        <w:tab/>
        <w:t xml:space="preserve">Build and maintain collaborative and positive relationships across </w:t>
      </w:r>
      <w:r w:rsidR="00B72DA1">
        <w:t>MSD</w:t>
      </w:r>
      <w:r>
        <w:t>. Establish and maintain sound working relationships with key contacts at relevant government departments and agencies, the disability community, non-government organisations, interest groups and other key stakeholders.</w:t>
      </w:r>
    </w:p>
    <w:p w14:paraId="75DEA23F" w14:textId="3FD39CAC" w:rsidR="00DF3FEC" w:rsidRDefault="00DF3FEC" w:rsidP="00AA3111">
      <w:pPr>
        <w:spacing w:before="60" w:after="60"/>
        <w:ind w:left="357" w:hanging="357"/>
      </w:pPr>
      <w:r>
        <w:t>•</w:t>
      </w:r>
      <w:r>
        <w:tab/>
        <w:t xml:space="preserve">Work proactively with partners in ways that are most likely to deliver tangible </w:t>
      </w:r>
      <w:r w:rsidR="005E2616">
        <w:t xml:space="preserve">outcomes </w:t>
      </w:r>
      <w:r>
        <w:t xml:space="preserve">for disabled people, tāngata whaikaha Māori and Pacific disabled people, whānau and caregivers. </w:t>
      </w:r>
    </w:p>
    <w:p w14:paraId="79033967" w14:textId="77777777" w:rsidR="00DF3FEC" w:rsidRDefault="00DF3FEC" w:rsidP="00AA3111">
      <w:pPr>
        <w:spacing w:before="60" w:after="60"/>
        <w:ind w:left="357" w:hanging="357"/>
      </w:pPr>
      <w:r>
        <w:t>•</w:t>
      </w:r>
      <w:r>
        <w:tab/>
        <w:t xml:space="preserve">Recognise and value the voice of the disability community. Work collaboratively with community groups, disabled people, tāngata Whaikaha Māori, Pacific disabled people, whānau and providers reflecting their concerns and aspirations.  </w:t>
      </w:r>
    </w:p>
    <w:p w14:paraId="0BBE21A0" w14:textId="77777777" w:rsidR="00DF3FEC" w:rsidRDefault="00DF3FEC" w:rsidP="00AA3111">
      <w:pPr>
        <w:spacing w:before="60" w:after="60"/>
        <w:ind w:left="357" w:hanging="357"/>
      </w:pPr>
      <w:r>
        <w:t>•</w:t>
      </w:r>
      <w:r>
        <w:tab/>
        <w:t>Partner with key stakeholders to ensure the work programme reflects the Crown’s relationship with Māori and improves outcomes and equity and reflects our Te Tiriti o Waitangi obligations.</w:t>
      </w:r>
    </w:p>
    <w:p w14:paraId="181CBEAF" w14:textId="342E559E" w:rsidR="00DF3FEC" w:rsidRDefault="00DF3FEC" w:rsidP="00AA3111">
      <w:pPr>
        <w:spacing w:before="60" w:after="60"/>
        <w:ind w:left="357" w:hanging="357"/>
      </w:pPr>
      <w:r>
        <w:t>•</w:t>
      </w:r>
      <w:r>
        <w:tab/>
        <w:t xml:space="preserve">Manage the relationship between </w:t>
      </w:r>
      <w:r w:rsidR="005E2616">
        <w:t>DSS</w:t>
      </w:r>
      <w:r>
        <w:t xml:space="preserve"> and other business groups in the Ministry.</w:t>
      </w:r>
    </w:p>
    <w:p w14:paraId="21CC04F6" w14:textId="7A186C24" w:rsidR="00DF3FEC" w:rsidRDefault="00DF3FEC" w:rsidP="00AA3111">
      <w:pPr>
        <w:spacing w:before="60" w:after="60"/>
        <w:ind w:left="357" w:hanging="357"/>
      </w:pPr>
      <w:r>
        <w:t>•</w:t>
      </w:r>
      <w:r>
        <w:tab/>
        <w:t xml:space="preserve">Engage with a customer focus to support the delivery of commissioning outcomes for </w:t>
      </w:r>
      <w:r w:rsidR="00B72DA1">
        <w:t>MSD</w:t>
      </w:r>
    </w:p>
    <w:p w14:paraId="1793BFF9" w14:textId="16E90894" w:rsidR="006C15F4" w:rsidRDefault="00DF3FEC" w:rsidP="00AA3111">
      <w:pPr>
        <w:spacing w:before="60" w:after="60"/>
        <w:ind w:left="357" w:hanging="357"/>
      </w:pPr>
      <w:r>
        <w:t>•</w:t>
      </w:r>
      <w:r>
        <w:tab/>
        <w:t>Become a trusted probity and procurement advisor to stakeholders.</w:t>
      </w:r>
    </w:p>
    <w:p w14:paraId="1A387AF1" w14:textId="06B27DB3" w:rsidR="006C15F4" w:rsidRDefault="00DF3FEC" w:rsidP="006C15F4">
      <w:pPr>
        <w:pStyle w:val="Heading3"/>
      </w:pPr>
      <w:r w:rsidRPr="00DF3FEC">
        <w:lastRenderedPageBreak/>
        <w:t xml:space="preserve">Risk Management </w:t>
      </w:r>
    </w:p>
    <w:p w14:paraId="08812EB1" w14:textId="2BB8FAA5" w:rsidR="00DF3FEC" w:rsidRDefault="00DF3FEC" w:rsidP="00AA3111">
      <w:pPr>
        <w:spacing w:before="60" w:after="60"/>
        <w:ind w:left="357" w:hanging="357"/>
      </w:pPr>
      <w:r>
        <w:t>•</w:t>
      </w:r>
      <w:r>
        <w:tab/>
        <w:t xml:space="preserve">Identify any organisational risks and take action and or seek support to minimise their impact. </w:t>
      </w:r>
    </w:p>
    <w:p w14:paraId="03D12DF8" w14:textId="62A32BA1" w:rsidR="006C15F4" w:rsidRDefault="00DF3FEC" w:rsidP="00AA3111">
      <w:pPr>
        <w:spacing w:before="60" w:after="60"/>
        <w:ind w:left="357" w:hanging="357"/>
      </w:pPr>
      <w:r>
        <w:t>•</w:t>
      </w:r>
      <w:r>
        <w:tab/>
        <w:t xml:space="preserve">Keep your manager informed of any risk issues that may impact on the success of </w:t>
      </w:r>
      <w:r w:rsidR="00B72DA1">
        <w:t>MSD</w:t>
      </w:r>
      <w:r>
        <w:t>.</w:t>
      </w:r>
    </w:p>
    <w:p w14:paraId="0ADD4256" w14:textId="674841CA" w:rsidR="006C15F4" w:rsidRDefault="00DF3FEC" w:rsidP="006C15F4">
      <w:pPr>
        <w:pStyle w:val="Heading3"/>
      </w:pPr>
      <w:r w:rsidRPr="00DF3FEC">
        <w:t xml:space="preserve">Embedding accessibility </w:t>
      </w:r>
    </w:p>
    <w:p w14:paraId="65469C68" w14:textId="765D75E7" w:rsidR="006C15F4" w:rsidRDefault="00DF3FEC" w:rsidP="00AA3111">
      <w:pPr>
        <w:spacing w:before="60" w:after="60"/>
        <w:ind w:left="357" w:hanging="357"/>
      </w:pPr>
      <w:r w:rsidRPr="00DF3FEC">
        <w:t>•</w:t>
      </w:r>
      <w:r w:rsidRPr="00DF3FEC">
        <w:tab/>
        <w:t>Embed a culture of genuine accessibility within teams where people work actively to identify and remove barriers and recognise individual strengths and needs.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Create the conditions for Te Ao Māori and Te Tiriti o Waitangi in all decisions to ensure Te Pae Tata is delivered and embedded in your business group.</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Ensure health, safety, security and wellbeing policies and procedures are understood, followed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Ensure that policies and procedures encompassing emergency management, business continuity and crisis management arrangements are understood, followed and implemented by employees.</w:t>
      </w:r>
    </w:p>
    <w:p w14:paraId="1A1B18FC" w14:textId="77777777" w:rsidR="0080061F" w:rsidRPr="0076538D" w:rsidRDefault="0080061F" w:rsidP="0055724C">
      <w:pPr>
        <w:pStyle w:val="Heading2"/>
        <w:spacing w:before="360"/>
      </w:pPr>
      <w:r>
        <w:t>Know-how</w:t>
      </w:r>
    </w:p>
    <w:p w14:paraId="631B219F" w14:textId="470F6673" w:rsidR="00DF3FEC" w:rsidRDefault="00DF3FEC" w:rsidP="00AA3111">
      <w:pPr>
        <w:spacing w:before="60" w:after="60"/>
        <w:ind w:left="357" w:hanging="357"/>
      </w:pPr>
      <w:r>
        <w:t>•</w:t>
      </w:r>
      <w:r>
        <w:tab/>
        <w:t xml:space="preserve">Tertiary qualification in procurement or related discipline. </w:t>
      </w:r>
    </w:p>
    <w:p w14:paraId="22E5B910" w14:textId="77777777" w:rsidR="00DF3FEC" w:rsidRDefault="00DF3FEC" w:rsidP="00AA3111">
      <w:pPr>
        <w:spacing w:before="60" w:after="60"/>
        <w:ind w:left="357" w:hanging="357"/>
      </w:pPr>
      <w:r>
        <w:t>•</w:t>
      </w:r>
      <w:r>
        <w:tab/>
        <w:t xml:space="preserve">Successful experience providing senior expertise on commercial and social procurement. </w:t>
      </w:r>
    </w:p>
    <w:p w14:paraId="61F96EA8" w14:textId="77777777" w:rsidR="00DF3FEC" w:rsidRDefault="00DF3FEC" w:rsidP="00AA3111">
      <w:pPr>
        <w:spacing w:before="60" w:after="60"/>
        <w:ind w:left="357" w:hanging="357"/>
      </w:pPr>
      <w:r>
        <w:t>•</w:t>
      </w:r>
      <w:r>
        <w:tab/>
        <w:t>Deep knowledge and experience of government procurement policy.</w:t>
      </w:r>
    </w:p>
    <w:p w14:paraId="391706B0" w14:textId="77777777" w:rsidR="00DF3FEC" w:rsidRDefault="00DF3FEC" w:rsidP="00AA3111">
      <w:pPr>
        <w:spacing w:before="60" w:after="60"/>
        <w:ind w:left="357" w:hanging="357"/>
      </w:pPr>
      <w:r>
        <w:t>•</w:t>
      </w:r>
      <w:r>
        <w:tab/>
        <w:t>Proven leadership skills and business acumen.</w:t>
      </w:r>
    </w:p>
    <w:p w14:paraId="436857BE" w14:textId="77777777" w:rsidR="00DF3FEC" w:rsidRDefault="00DF3FEC" w:rsidP="00AA3111">
      <w:pPr>
        <w:spacing w:before="60" w:after="60"/>
        <w:ind w:left="357" w:hanging="357"/>
      </w:pPr>
      <w:r>
        <w:t>•</w:t>
      </w:r>
      <w:r>
        <w:tab/>
        <w:t>Proven project management experience.</w:t>
      </w:r>
    </w:p>
    <w:p w14:paraId="14FAEAA5" w14:textId="77777777" w:rsidR="00DF3FEC" w:rsidRDefault="00DF3FEC" w:rsidP="00AA3111">
      <w:pPr>
        <w:spacing w:before="60" w:after="60"/>
        <w:ind w:left="357" w:hanging="357"/>
      </w:pPr>
      <w:r>
        <w:t>•</w:t>
      </w:r>
      <w:r>
        <w:tab/>
        <w:t>Successful relationship management experience and expertise in a complex and demanding environment.</w:t>
      </w:r>
    </w:p>
    <w:p w14:paraId="79086E84" w14:textId="77777777" w:rsidR="00DF3FEC" w:rsidRDefault="00DF3FEC" w:rsidP="00AA3111">
      <w:pPr>
        <w:spacing w:before="60" w:after="60"/>
        <w:ind w:left="357" w:hanging="357"/>
      </w:pPr>
      <w:r>
        <w:t>•</w:t>
      </w:r>
      <w:r>
        <w:tab/>
        <w:t>Proven experience and expertise in change management and implementing best practice.</w:t>
      </w:r>
    </w:p>
    <w:p w14:paraId="5384AF18" w14:textId="77777777" w:rsidR="00DF3FEC" w:rsidRDefault="00DF3FEC" w:rsidP="00AA3111">
      <w:pPr>
        <w:spacing w:before="60" w:after="60"/>
        <w:ind w:left="357" w:hanging="357"/>
      </w:pPr>
      <w:r>
        <w:t>•</w:t>
      </w:r>
      <w:r>
        <w:tab/>
        <w:t>Experience in strengthening organisational probity and procurement capability.</w:t>
      </w:r>
    </w:p>
    <w:p w14:paraId="243E1059" w14:textId="77777777" w:rsidR="00DF3FEC" w:rsidRDefault="00DF3FEC" w:rsidP="00AA3111">
      <w:pPr>
        <w:spacing w:before="60" w:after="60"/>
        <w:ind w:left="357" w:hanging="357"/>
      </w:pPr>
      <w:r>
        <w:t>•</w:t>
      </w:r>
      <w:r>
        <w:tab/>
        <w:t>Experience in a public sector context and working knowledge of New Zealand machinery of government and government procurement policy.</w:t>
      </w:r>
    </w:p>
    <w:p w14:paraId="7C05FDFF" w14:textId="77777777" w:rsidR="00DF3FEC" w:rsidRDefault="00DF3FEC" w:rsidP="00AA3111">
      <w:pPr>
        <w:spacing w:before="60" w:after="60"/>
        <w:ind w:left="357" w:hanging="357"/>
      </w:pPr>
      <w:r>
        <w:t>•</w:t>
      </w:r>
      <w:r>
        <w:tab/>
        <w:t xml:space="preserve">Experience influencing and engaging stakeholders.  </w:t>
      </w:r>
    </w:p>
    <w:p w14:paraId="0CEE0D69" w14:textId="77777777" w:rsidR="00DF3FEC" w:rsidRDefault="00DF3FEC" w:rsidP="00AA3111">
      <w:pPr>
        <w:spacing w:before="60" w:after="60"/>
        <w:ind w:left="357" w:hanging="357"/>
      </w:pPr>
      <w:r>
        <w:t>•</w:t>
      </w:r>
      <w:r>
        <w:tab/>
        <w:t>Experience providing technical leadership or senior advice to others.</w:t>
      </w:r>
    </w:p>
    <w:p w14:paraId="7462F486" w14:textId="34DA2ACF" w:rsidR="0080061F" w:rsidRDefault="00DF3FEC" w:rsidP="00AA3111">
      <w:pPr>
        <w:spacing w:before="60" w:after="60"/>
        <w:ind w:left="357" w:hanging="357"/>
      </w:pPr>
      <w:r>
        <w:t>•</w:t>
      </w:r>
      <w:r>
        <w:tab/>
        <w:t xml:space="preserve">Understanding of Te Tiriti o Waitangi. </w:t>
      </w:r>
    </w:p>
    <w:p w14:paraId="134BA960" w14:textId="77777777" w:rsidR="0080061F" w:rsidRDefault="0080061F" w:rsidP="0055724C">
      <w:pPr>
        <w:pStyle w:val="Heading2"/>
        <w:spacing w:before="360"/>
      </w:pPr>
      <w:r w:rsidRPr="00B27E44">
        <w:lastRenderedPageBreak/>
        <w:t>Attributes</w:t>
      </w:r>
    </w:p>
    <w:p w14:paraId="0D291804" w14:textId="77777777" w:rsidR="009074F1" w:rsidRPr="00B070F1" w:rsidRDefault="009074F1" w:rsidP="009074F1">
      <w:pPr>
        <w:pStyle w:val="Bullet1"/>
        <w:numPr>
          <w:ilvl w:val="0"/>
          <w:numId w:val="2"/>
        </w:numPr>
        <w:tabs>
          <w:tab w:val="clear" w:pos="454"/>
        </w:tabs>
        <w:spacing w:before="60" w:after="60"/>
      </w:pPr>
      <w:r w:rsidRPr="007C569B">
        <w:t>Strong influencing skills.</w:t>
      </w:r>
    </w:p>
    <w:p w14:paraId="7C8AFE2F" w14:textId="77777777" w:rsidR="009074F1" w:rsidRPr="00B070F1" w:rsidRDefault="009074F1" w:rsidP="009074F1">
      <w:pPr>
        <w:pStyle w:val="Bullet1"/>
        <w:numPr>
          <w:ilvl w:val="0"/>
          <w:numId w:val="2"/>
        </w:numPr>
        <w:tabs>
          <w:tab w:val="clear" w:pos="454"/>
        </w:tabs>
        <w:spacing w:before="60" w:after="60"/>
      </w:pPr>
      <w:r w:rsidRPr="007C569B">
        <w:t>Strong relationship and engagement skills.</w:t>
      </w:r>
    </w:p>
    <w:p w14:paraId="7B463BC5" w14:textId="77777777" w:rsidR="009074F1" w:rsidRPr="00B070F1" w:rsidRDefault="009074F1" w:rsidP="009074F1">
      <w:pPr>
        <w:pStyle w:val="Bullet1"/>
        <w:numPr>
          <w:ilvl w:val="0"/>
          <w:numId w:val="2"/>
        </w:numPr>
        <w:tabs>
          <w:tab w:val="clear" w:pos="454"/>
        </w:tabs>
        <w:spacing w:before="60" w:after="60"/>
      </w:pPr>
      <w:r w:rsidRPr="007C569B">
        <w:t>Excellent skills in critical thinking and problem solving skills.</w:t>
      </w:r>
    </w:p>
    <w:p w14:paraId="506FE795" w14:textId="77777777" w:rsidR="009074F1" w:rsidRPr="007C569B" w:rsidRDefault="009074F1" w:rsidP="009074F1">
      <w:pPr>
        <w:pStyle w:val="Bullet1"/>
        <w:numPr>
          <w:ilvl w:val="0"/>
          <w:numId w:val="2"/>
        </w:numPr>
        <w:tabs>
          <w:tab w:val="clear" w:pos="454"/>
        </w:tabs>
        <w:spacing w:before="60" w:after="60"/>
      </w:pPr>
      <w:r>
        <w:rPr>
          <w:rFonts w:eastAsiaTheme="minorEastAsia" w:hint="eastAsia"/>
        </w:rPr>
        <w:t>High level of o</w:t>
      </w:r>
      <w:r w:rsidRPr="007C569B">
        <w:t>rganisational and environmental awareness.</w:t>
      </w:r>
    </w:p>
    <w:p w14:paraId="4D063FAA" w14:textId="77777777" w:rsidR="009074F1" w:rsidRPr="007C569B" w:rsidRDefault="009074F1" w:rsidP="009074F1">
      <w:pPr>
        <w:pStyle w:val="Bullet1"/>
        <w:numPr>
          <w:ilvl w:val="0"/>
          <w:numId w:val="2"/>
        </w:numPr>
        <w:tabs>
          <w:tab w:val="clear" w:pos="454"/>
        </w:tabs>
        <w:spacing w:before="60" w:after="60"/>
      </w:pPr>
      <w:r>
        <w:t>Strong</w:t>
      </w:r>
      <w:r w:rsidRPr="006127AE">
        <w:t xml:space="preserve"> problem solving and decision-making skills</w:t>
      </w:r>
      <w:r>
        <w:rPr>
          <w:rFonts w:eastAsiaTheme="minorEastAsia" w:hint="eastAsia"/>
        </w:rPr>
        <w:t>.</w:t>
      </w:r>
      <w:r w:rsidRPr="007C569B">
        <w:t xml:space="preserve"> </w:t>
      </w:r>
    </w:p>
    <w:p w14:paraId="03C531CE" w14:textId="77777777" w:rsidR="009074F1" w:rsidRPr="00487AB6" w:rsidRDefault="009074F1" w:rsidP="009074F1">
      <w:pPr>
        <w:pStyle w:val="Bullet1"/>
        <w:numPr>
          <w:ilvl w:val="0"/>
          <w:numId w:val="2"/>
        </w:numPr>
        <w:tabs>
          <w:tab w:val="clear" w:pos="454"/>
        </w:tabs>
        <w:spacing w:before="60" w:after="60"/>
      </w:pPr>
      <w:r w:rsidRPr="007C569B">
        <w:t>Exercises sound judgement and political sensitivity.</w:t>
      </w:r>
    </w:p>
    <w:p w14:paraId="3F146588" w14:textId="77777777" w:rsidR="009074F1" w:rsidRDefault="009074F1" w:rsidP="009074F1">
      <w:pPr>
        <w:pStyle w:val="ListBullet"/>
      </w:pPr>
      <w:r w:rsidRPr="008A5E27">
        <w:t>Excellent research, numerical, planning and organisational skills</w:t>
      </w:r>
    </w:p>
    <w:p w14:paraId="0C87E701" w14:textId="77777777" w:rsidR="009074F1" w:rsidRPr="00487AB6" w:rsidRDefault="009074F1" w:rsidP="009074F1">
      <w:pPr>
        <w:pStyle w:val="ListBullet"/>
      </w:pPr>
      <w:r w:rsidRPr="008A5E27">
        <w:rPr>
          <w:rFonts w:eastAsia="Times New Roman"/>
        </w:rPr>
        <w:t>Organisational and environmental awareness</w:t>
      </w:r>
    </w:p>
    <w:p w14:paraId="54B5C79C" w14:textId="77777777" w:rsidR="009074F1" w:rsidRPr="007C569B" w:rsidRDefault="009074F1" w:rsidP="009074F1">
      <w:pPr>
        <w:pStyle w:val="Bullet1"/>
        <w:numPr>
          <w:ilvl w:val="0"/>
          <w:numId w:val="2"/>
        </w:numPr>
        <w:tabs>
          <w:tab w:val="clear" w:pos="454"/>
        </w:tabs>
        <w:spacing w:before="60" w:after="60"/>
      </w:pPr>
      <w:r>
        <w:rPr>
          <w:rFonts w:eastAsiaTheme="minorEastAsia" w:hint="eastAsia"/>
        </w:rPr>
        <w:t>Ability to think strategically with a view of future requirement</w:t>
      </w:r>
    </w:p>
    <w:p w14:paraId="5CB798FE" w14:textId="77777777" w:rsidR="009074F1" w:rsidRPr="00487AB6" w:rsidRDefault="009074F1" w:rsidP="009074F1">
      <w:pPr>
        <w:pStyle w:val="Bullet1"/>
        <w:numPr>
          <w:ilvl w:val="0"/>
          <w:numId w:val="2"/>
        </w:numPr>
        <w:tabs>
          <w:tab w:val="clear" w:pos="454"/>
        </w:tabs>
        <w:spacing w:before="60" w:after="60"/>
      </w:pPr>
      <w:r>
        <w:rPr>
          <w:rFonts w:eastAsiaTheme="minorEastAsia" w:hint="eastAsia"/>
        </w:rPr>
        <w:t>Highly effective</w:t>
      </w:r>
      <w:r w:rsidRPr="007C569B">
        <w:t xml:space="preserve"> communication skills</w:t>
      </w:r>
      <w:r>
        <w:rPr>
          <w:rFonts w:eastAsiaTheme="minorEastAsia" w:hint="eastAsia"/>
        </w:rPr>
        <w:t>.</w:t>
      </w:r>
      <w:r w:rsidRPr="007C569B">
        <w:t xml:space="preserve"> </w:t>
      </w:r>
    </w:p>
    <w:p w14:paraId="0A7522A4" w14:textId="77777777" w:rsidR="009074F1" w:rsidRPr="00B070F1" w:rsidRDefault="009074F1" w:rsidP="009074F1">
      <w:pPr>
        <w:pStyle w:val="ListBullet"/>
      </w:pPr>
      <w:r>
        <w:t>Flexible,</w:t>
      </w:r>
      <w:r>
        <w:rPr>
          <w:spacing w:val="-10"/>
        </w:rPr>
        <w:t xml:space="preserve"> </w:t>
      </w:r>
      <w:r>
        <w:t>adaptable</w:t>
      </w:r>
      <w:r>
        <w:rPr>
          <w:spacing w:val="-10"/>
        </w:rPr>
        <w:t xml:space="preserve"> </w:t>
      </w:r>
      <w:r>
        <w:t>and</w:t>
      </w:r>
      <w:r>
        <w:rPr>
          <w:spacing w:val="-7"/>
        </w:rPr>
        <w:t xml:space="preserve"> </w:t>
      </w:r>
      <w:r>
        <w:rPr>
          <w:spacing w:val="-2"/>
        </w:rPr>
        <w:t>pragmatic</w:t>
      </w:r>
    </w:p>
    <w:p w14:paraId="4ABEA34D" w14:textId="77777777" w:rsidR="009074F1" w:rsidRDefault="009074F1" w:rsidP="009074F1">
      <w:pPr>
        <w:pStyle w:val="Bullet1"/>
        <w:numPr>
          <w:ilvl w:val="0"/>
          <w:numId w:val="2"/>
        </w:numPr>
        <w:spacing w:before="60" w:after="60"/>
        <w:textAlignment w:val="auto"/>
      </w:pPr>
      <w:r>
        <w:t>Strong client focus</w:t>
      </w:r>
    </w:p>
    <w:p w14:paraId="0E8BA3E2" w14:textId="77777777" w:rsidR="009074F1" w:rsidRPr="002F03F9" w:rsidRDefault="009074F1" w:rsidP="009074F1">
      <w:pPr>
        <w:pStyle w:val="Bullet1"/>
        <w:numPr>
          <w:ilvl w:val="0"/>
          <w:numId w:val="2"/>
        </w:numPr>
        <w:spacing w:before="60" w:after="60"/>
        <w:textAlignment w:val="auto"/>
      </w:pPr>
      <w:r>
        <w:t>Establishes a high-performing culture</w:t>
      </w:r>
    </w:p>
    <w:p w14:paraId="1E1ABF97" w14:textId="77777777" w:rsidR="009074F1" w:rsidRPr="002F03F9" w:rsidRDefault="009074F1" w:rsidP="009074F1">
      <w:pPr>
        <w:pStyle w:val="Bullet1"/>
        <w:numPr>
          <w:ilvl w:val="0"/>
          <w:numId w:val="2"/>
        </w:numPr>
        <w:spacing w:before="60" w:after="60"/>
        <w:textAlignment w:val="auto"/>
      </w:pPr>
      <w:r>
        <w:t xml:space="preserve">Welcomes and values diversity, and contributes to an inclusive working environment where differences are acknowledged and </w:t>
      </w:r>
      <w:proofErr w:type="gramStart"/>
      <w:r>
        <w:t>respected</w:t>
      </w:r>
      <w:proofErr w:type="gramEnd"/>
    </w:p>
    <w:p w14:paraId="7699D827" w14:textId="77777777" w:rsidR="009074F1" w:rsidRPr="009074F1" w:rsidRDefault="009074F1" w:rsidP="00AA3111">
      <w:pPr>
        <w:spacing w:before="60" w:after="60"/>
        <w:ind w:left="357" w:hanging="357"/>
        <w:rPr>
          <w:lang w:val="en-US"/>
        </w:rPr>
      </w:pP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2CF05C71" w14:textId="730EE482" w:rsidR="009074F1" w:rsidRDefault="00B72DA1" w:rsidP="009074F1">
      <w:pPr>
        <w:pStyle w:val="ListBullet"/>
        <w:rPr>
          <w:rFonts w:eastAsia="Times New Roman"/>
          <w:kern w:val="28"/>
          <w:szCs w:val="20"/>
          <w:lang w:val="en-US"/>
        </w:rPr>
      </w:pPr>
      <w:r>
        <w:rPr>
          <w:rFonts w:eastAsia="Times New Roman"/>
          <w:kern w:val="28"/>
          <w:szCs w:val="20"/>
          <w:lang w:val="en-US"/>
        </w:rPr>
        <w:t>Disability Support Services</w:t>
      </w:r>
      <w:r w:rsidR="00DF3FEC" w:rsidRPr="00DF3FEC">
        <w:rPr>
          <w:rFonts w:eastAsia="Times New Roman"/>
          <w:kern w:val="28"/>
          <w:szCs w:val="20"/>
          <w:lang w:val="en-US"/>
        </w:rPr>
        <w:t xml:space="preserve"> </w:t>
      </w:r>
      <w:r w:rsidR="009074F1">
        <w:rPr>
          <w:rFonts w:eastAsia="Times New Roman"/>
          <w:kern w:val="28"/>
          <w:szCs w:val="20"/>
          <w:lang w:val="en-US"/>
        </w:rPr>
        <w:t>Business Group</w:t>
      </w:r>
    </w:p>
    <w:p w14:paraId="34F3F2B2" w14:textId="2751B83A" w:rsidR="002A47DB" w:rsidRDefault="002A47DB" w:rsidP="009074F1">
      <w:pPr>
        <w:pStyle w:val="ListBullet"/>
        <w:rPr>
          <w:rFonts w:eastAsia="Times New Roman"/>
          <w:kern w:val="28"/>
          <w:szCs w:val="20"/>
          <w:lang w:val="en-US"/>
        </w:rPr>
      </w:pPr>
      <w:r>
        <w:rPr>
          <w:rFonts w:eastAsia="Times New Roman"/>
          <w:kern w:val="28"/>
          <w:szCs w:val="20"/>
          <w:lang w:val="en-US"/>
        </w:rPr>
        <w:t xml:space="preserve">Procurement Board </w:t>
      </w:r>
    </w:p>
    <w:p w14:paraId="4E41B588" w14:textId="3A653732" w:rsidR="00160432" w:rsidRDefault="00160432" w:rsidP="00160432">
      <w:pPr>
        <w:pStyle w:val="ListBullet"/>
        <w:rPr>
          <w:rFonts w:ascii="Arial" w:hAnsi="Arial"/>
          <w:szCs w:val="20"/>
          <w:lang w:val="en-NZ"/>
        </w:rPr>
      </w:pPr>
      <w:r w:rsidRPr="00160432">
        <w:rPr>
          <w:rFonts w:eastAsia="Times New Roman"/>
          <w:kern w:val="28"/>
          <w:szCs w:val="20"/>
          <w:lang w:val="en-US"/>
        </w:rPr>
        <w:t xml:space="preserve">Group managers and Team managers across </w:t>
      </w:r>
      <w:r>
        <w:rPr>
          <w:rFonts w:eastAsia="Times New Roman"/>
          <w:kern w:val="28"/>
          <w:szCs w:val="20"/>
          <w:lang w:val="en-US"/>
        </w:rPr>
        <w:t xml:space="preserve">the </w:t>
      </w:r>
      <w:proofErr w:type="gramStart"/>
      <w:r w:rsidRPr="00160432">
        <w:rPr>
          <w:rFonts w:eastAsia="Times New Roman"/>
          <w:kern w:val="28"/>
          <w:szCs w:val="20"/>
          <w:lang w:val="en-US"/>
        </w:rPr>
        <w:t>Ministry</w:t>
      </w:r>
      <w:proofErr w:type="gramEnd"/>
      <w:r w:rsidRPr="00160432">
        <w:rPr>
          <w:rFonts w:eastAsia="Times New Roman"/>
          <w:kern w:val="28"/>
          <w:szCs w:val="20"/>
          <w:lang w:val="en-US"/>
        </w:rPr>
        <w:t xml:space="preserve"> </w:t>
      </w:r>
    </w:p>
    <w:p w14:paraId="48DBAD43" w14:textId="77777777" w:rsidR="0080061F" w:rsidRDefault="0080061F" w:rsidP="000469A5">
      <w:pPr>
        <w:pStyle w:val="Heading3"/>
      </w:pPr>
      <w:r w:rsidRPr="00E83550">
        <w:t xml:space="preserve">External </w:t>
      </w:r>
    </w:p>
    <w:p w14:paraId="57A6F953" w14:textId="62A3D426" w:rsidR="00DF3FEC" w:rsidRPr="00DF3FEC" w:rsidRDefault="00DF3FEC" w:rsidP="00DF3FEC">
      <w:pPr>
        <w:pStyle w:val="ListBullet"/>
        <w:rPr>
          <w:rFonts w:eastAsia="Times New Roman"/>
          <w:kern w:val="28"/>
          <w:szCs w:val="20"/>
          <w:lang w:val="en-US"/>
        </w:rPr>
      </w:pPr>
      <w:r w:rsidRPr="00DF3FEC">
        <w:rPr>
          <w:rFonts w:eastAsia="Times New Roman"/>
          <w:kern w:val="28"/>
          <w:szCs w:val="20"/>
          <w:lang w:val="en-US"/>
        </w:rPr>
        <w:t xml:space="preserve">Commissioned providers </w:t>
      </w:r>
    </w:p>
    <w:p w14:paraId="3BB7B733" w14:textId="77777777" w:rsidR="00DF3FEC" w:rsidRPr="00DF3FEC" w:rsidRDefault="00DF3FEC" w:rsidP="00DF3FEC">
      <w:pPr>
        <w:pStyle w:val="ListBullet"/>
        <w:rPr>
          <w:rFonts w:eastAsia="Times New Roman"/>
          <w:kern w:val="28"/>
          <w:szCs w:val="20"/>
          <w:lang w:val="en-US"/>
        </w:rPr>
      </w:pPr>
      <w:r w:rsidRPr="00DF3FEC">
        <w:rPr>
          <w:rFonts w:eastAsia="Times New Roman"/>
          <w:kern w:val="28"/>
          <w:szCs w:val="20"/>
          <w:lang w:val="en-US"/>
        </w:rPr>
        <w:t>Non commissioned providers</w:t>
      </w:r>
    </w:p>
    <w:p w14:paraId="11FBF566" w14:textId="77777777" w:rsidR="00DF3FEC" w:rsidRPr="00DF3FEC" w:rsidRDefault="00DF3FEC" w:rsidP="00DF3FEC">
      <w:pPr>
        <w:pStyle w:val="ListBullet"/>
        <w:rPr>
          <w:rFonts w:eastAsia="Times New Roman"/>
          <w:kern w:val="28"/>
          <w:szCs w:val="20"/>
          <w:lang w:val="en-US"/>
        </w:rPr>
      </w:pPr>
      <w:r w:rsidRPr="00DF3FEC">
        <w:rPr>
          <w:rFonts w:eastAsia="Times New Roman"/>
          <w:kern w:val="28"/>
          <w:szCs w:val="20"/>
          <w:lang w:val="en-US"/>
        </w:rPr>
        <w:t>Health New Zealand – Te Whatu Ora</w:t>
      </w:r>
    </w:p>
    <w:p w14:paraId="0E1B0316" w14:textId="416FA4B7" w:rsidR="009074F1" w:rsidRPr="00DF3FEC" w:rsidRDefault="00197259" w:rsidP="00DF3FEC">
      <w:pPr>
        <w:pStyle w:val="ListBullet"/>
        <w:rPr>
          <w:rFonts w:eastAsia="Times New Roman"/>
          <w:kern w:val="28"/>
          <w:szCs w:val="20"/>
          <w:lang w:val="en-US"/>
        </w:rPr>
      </w:pPr>
      <w:proofErr w:type="spellStart"/>
      <w:r>
        <w:rPr>
          <w:rFonts w:eastAsia="Times New Roman"/>
          <w:kern w:val="28"/>
          <w:szCs w:val="20"/>
          <w:lang w:val="en-US"/>
        </w:rPr>
        <w:t>Whaikaha</w:t>
      </w:r>
      <w:proofErr w:type="spellEnd"/>
      <w:r>
        <w:rPr>
          <w:rFonts w:eastAsia="Times New Roman"/>
          <w:kern w:val="28"/>
          <w:szCs w:val="20"/>
          <w:lang w:val="en-US"/>
        </w:rPr>
        <w:t>- Ministry of Disabled People</w:t>
      </w:r>
    </w:p>
    <w:p w14:paraId="0A53D17A" w14:textId="77777777" w:rsidR="00DF3FEC" w:rsidRPr="00DF3FEC" w:rsidRDefault="00DF3FEC" w:rsidP="00DF3FEC">
      <w:pPr>
        <w:pStyle w:val="ListBullet"/>
        <w:rPr>
          <w:rFonts w:eastAsia="Times New Roman"/>
          <w:kern w:val="28"/>
          <w:szCs w:val="20"/>
          <w:lang w:val="en-US"/>
        </w:rPr>
      </w:pPr>
      <w:r w:rsidRPr="00DF3FEC">
        <w:rPr>
          <w:rFonts w:eastAsia="Times New Roman"/>
          <w:kern w:val="28"/>
          <w:szCs w:val="20"/>
          <w:lang w:val="en-US"/>
        </w:rPr>
        <w:t xml:space="preserve">Ministry of Education </w:t>
      </w:r>
    </w:p>
    <w:p w14:paraId="4C97EFB0" w14:textId="77777777" w:rsidR="00DF3FEC" w:rsidRPr="00DF3FEC" w:rsidRDefault="00DF3FEC" w:rsidP="00DF3FEC">
      <w:pPr>
        <w:pStyle w:val="ListBullet"/>
        <w:rPr>
          <w:rFonts w:eastAsia="Times New Roman"/>
          <w:kern w:val="28"/>
          <w:szCs w:val="20"/>
          <w:lang w:val="en-US"/>
        </w:rPr>
      </w:pPr>
      <w:r w:rsidRPr="00DF3FEC">
        <w:rPr>
          <w:rFonts w:eastAsia="Times New Roman"/>
          <w:kern w:val="28"/>
          <w:szCs w:val="20"/>
          <w:lang w:val="en-US"/>
        </w:rPr>
        <w:t>ACC</w:t>
      </w:r>
    </w:p>
    <w:p w14:paraId="7BD31FE1" w14:textId="77777777" w:rsidR="00DF3FEC" w:rsidRPr="00DF3FEC" w:rsidRDefault="00DF3FEC" w:rsidP="00DF3FEC">
      <w:pPr>
        <w:pStyle w:val="ListBullet"/>
        <w:rPr>
          <w:rFonts w:eastAsia="Times New Roman"/>
          <w:kern w:val="28"/>
          <w:szCs w:val="20"/>
          <w:lang w:val="en-US"/>
        </w:rPr>
      </w:pPr>
      <w:r w:rsidRPr="00DF3FEC">
        <w:rPr>
          <w:rFonts w:eastAsia="Times New Roman"/>
          <w:kern w:val="28"/>
          <w:szCs w:val="20"/>
          <w:lang w:val="en-US"/>
        </w:rPr>
        <w:t xml:space="preserve">NZ Government Procurement Functional Leadership (MBIE) </w:t>
      </w:r>
    </w:p>
    <w:p w14:paraId="6D7AFEFC" w14:textId="77777777" w:rsidR="00DF3FEC" w:rsidRPr="00DF3FEC" w:rsidRDefault="00DF3FEC" w:rsidP="00DF3FEC">
      <w:pPr>
        <w:pStyle w:val="ListBullet"/>
        <w:rPr>
          <w:rFonts w:eastAsia="Times New Roman"/>
          <w:kern w:val="28"/>
          <w:szCs w:val="20"/>
          <w:lang w:val="en-US"/>
        </w:rPr>
      </w:pPr>
      <w:r w:rsidRPr="00DF3FEC">
        <w:rPr>
          <w:rFonts w:eastAsia="Times New Roman"/>
          <w:kern w:val="28"/>
          <w:szCs w:val="20"/>
          <w:lang w:val="en-US"/>
        </w:rPr>
        <w:t>External Legal advisors</w:t>
      </w:r>
    </w:p>
    <w:p w14:paraId="2294FA51" w14:textId="77777777" w:rsidR="00DF3FEC" w:rsidRPr="00DF3FEC" w:rsidRDefault="00DF3FEC" w:rsidP="00DF3FEC">
      <w:pPr>
        <w:pStyle w:val="ListBullet"/>
        <w:rPr>
          <w:rFonts w:eastAsia="Times New Roman"/>
          <w:kern w:val="28"/>
          <w:szCs w:val="20"/>
          <w:lang w:val="en-US"/>
        </w:rPr>
      </w:pPr>
      <w:r w:rsidRPr="00DF3FEC">
        <w:rPr>
          <w:rFonts w:eastAsia="Times New Roman"/>
          <w:kern w:val="28"/>
          <w:szCs w:val="20"/>
          <w:lang w:val="en-US"/>
        </w:rPr>
        <w:t>Other Public Sector Agencies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709C468" w:rsidR="0080061F" w:rsidRPr="00B27E44" w:rsidRDefault="0080061F" w:rsidP="00086206">
      <w:pPr>
        <w:pStyle w:val="Bullet1"/>
        <w:numPr>
          <w:ilvl w:val="0"/>
          <w:numId w:val="2"/>
        </w:numPr>
        <w:tabs>
          <w:tab w:val="clear" w:pos="454"/>
        </w:tabs>
        <w:spacing w:before="60" w:after="60"/>
      </w:pPr>
      <w:r w:rsidRPr="00B27E44">
        <w:t>Financial – N</w:t>
      </w:r>
      <w:r w:rsidR="00AA3111">
        <w:t>o</w:t>
      </w:r>
    </w:p>
    <w:p w14:paraId="1A13EE12" w14:textId="5EFFAEBF" w:rsidR="0080061F" w:rsidRDefault="0080061F" w:rsidP="00086206">
      <w:pPr>
        <w:pStyle w:val="Bullet1"/>
        <w:numPr>
          <w:ilvl w:val="0"/>
          <w:numId w:val="2"/>
        </w:numPr>
        <w:tabs>
          <w:tab w:val="clear" w:pos="454"/>
        </w:tabs>
        <w:spacing w:before="60" w:after="60"/>
      </w:pPr>
      <w:r w:rsidRPr="00B27E44">
        <w:t>Hum</w:t>
      </w:r>
      <w:r>
        <w:t xml:space="preserve">an Resources </w:t>
      </w:r>
      <w:r w:rsidR="006C15F4" w:rsidRPr="00B27E44">
        <w:t xml:space="preserve">– </w:t>
      </w:r>
      <w:r w:rsidRPr="0074781A">
        <w:t>No</w:t>
      </w:r>
    </w:p>
    <w:p w14:paraId="09A0D619" w14:textId="67F20CE7" w:rsidR="0080061F" w:rsidRDefault="0080061F" w:rsidP="000469A5">
      <w:pPr>
        <w:pStyle w:val="Heading3"/>
      </w:pPr>
      <w:r w:rsidRPr="00096E86">
        <w:lastRenderedPageBreak/>
        <w:t>Direct reports</w:t>
      </w:r>
      <w:r w:rsidR="006C15F4">
        <w:t>:</w:t>
      </w:r>
      <w:r>
        <w:t xml:space="preserve"> </w:t>
      </w:r>
      <w:r w:rsidRPr="0074781A">
        <w:t>No</w:t>
      </w:r>
    </w:p>
    <w:p w14:paraId="7A424157" w14:textId="52327969" w:rsidR="0080061F" w:rsidRDefault="0080061F" w:rsidP="000469A5">
      <w:pPr>
        <w:pStyle w:val="Heading3"/>
      </w:pPr>
      <w:r>
        <w:t>Security clearance</w:t>
      </w:r>
      <w:r w:rsidR="006C15F4">
        <w:t xml:space="preserve">: </w:t>
      </w:r>
      <w:r w:rsidRPr="0074781A">
        <w:t>No</w:t>
      </w:r>
    </w:p>
    <w:p w14:paraId="5AD192A7" w14:textId="7A9F8965" w:rsidR="0080061F" w:rsidRPr="0076538D" w:rsidRDefault="0080061F" w:rsidP="000469A5">
      <w:pPr>
        <w:pStyle w:val="Heading3"/>
      </w:pPr>
      <w:r>
        <w:t>Children’s worker</w:t>
      </w:r>
      <w:r w:rsidR="006C15F4">
        <w:t>:</w:t>
      </w:r>
      <w:r>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78A82DBB" w14:textId="595B0DAA"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60432">
        <w:t xml:space="preserve">November </w:t>
      </w:r>
      <w:r w:rsidR="006C15F4">
        <w:t>2024</w:t>
      </w:r>
    </w:p>
    <w:p w14:paraId="7F8071E6" w14:textId="390898EF" w:rsidR="0080061F" w:rsidRDefault="0080061F" w:rsidP="0080061F">
      <w:pPr>
        <w:rPr>
          <w:b/>
        </w:rPr>
      </w:pPr>
    </w:p>
    <w:p w14:paraId="211086BA" w14:textId="00A2B7E2" w:rsidR="0080061F" w:rsidRDefault="0080061F" w:rsidP="0055724C">
      <w:pPr>
        <w:pStyle w:val="subtext"/>
        <w:ind w:left="0"/>
        <w:rPr>
          <w:b w:val="0"/>
          <w:bCs w:val="0"/>
          <w:lang w:eastAsia="en-GB"/>
        </w:rPr>
      </w:pP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EFB8" w14:textId="77777777" w:rsidR="00EB46F5" w:rsidRDefault="00EB46F5" w:rsidP="0077711D">
      <w:pPr>
        <w:spacing w:after="0" w:line="240" w:lineRule="auto"/>
      </w:pPr>
      <w:r>
        <w:separator/>
      </w:r>
    </w:p>
  </w:endnote>
  <w:endnote w:type="continuationSeparator" w:id="0">
    <w:p w14:paraId="073B7B3D" w14:textId="77777777" w:rsidR="00EB46F5" w:rsidRDefault="00EB46F5"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688EF4F"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DF3FEC" w:rsidRPr="00DF3FEC">
      <w:t>Procurement and Commercial Lead</w:t>
    </w:r>
    <w:r w:rsidR="00DF3FEC">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24FF1AC" w:rsidR="00803002" w:rsidRPr="002E5827" w:rsidRDefault="0015069B" w:rsidP="0080061F">
    <w:pPr>
      <w:pStyle w:val="Footer"/>
      <w:pBdr>
        <w:top w:val="single" w:sz="4" w:space="1" w:color="auto"/>
      </w:pBdr>
      <w:tabs>
        <w:tab w:val="clear" w:pos="9026"/>
        <w:tab w:val="right" w:pos="10206"/>
      </w:tabs>
      <w:rPr>
        <w:szCs w:val="18"/>
      </w:rPr>
    </w:pPr>
    <w:r w:rsidRPr="008B5C31">
      <w:t xml:space="preserve">Position Description – </w:t>
    </w:r>
    <w:r w:rsidR="00DF3FEC" w:rsidRPr="00DF3FEC">
      <w:t>Procurement and Commercial Lead</w:t>
    </w:r>
    <w:r>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9CAB" w14:textId="77777777" w:rsidR="00EB46F5" w:rsidRDefault="00EB46F5" w:rsidP="0077711D">
      <w:pPr>
        <w:spacing w:after="0" w:line="240" w:lineRule="auto"/>
      </w:pPr>
      <w:r>
        <w:separator/>
      </w:r>
    </w:p>
  </w:footnote>
  <w:footnote w:type="continuationSeparator" w:id="0">
    <w:p w14:paraId="1D82B994" w14:textId="77777777" w:rsidR="00EB46F5" w:rsidRDefault="00EB46F5"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6222" w14:textId="071EDEF6" w:rsidR="0015069B" w:rsidRDefault="0015069B">
    <w:pPr>
      <w:pStyle w:val="Header"/>
    </w:pPr>
    <w:r>
      <w:rPr>
        <w:noProof/>
      </w:rPr>
      <mc:AlternateContent>
        <mc:Choice Requires="wps">
          <w:drawing>
            <wp:anchor distT="0" distB="0" distL="0" distR="0" simplePos="0" relativeHeight="251660288" behindDoc="0" locked="0" layoutInCell="1" allowOverlap="1" wp14:anchorId="465C399D" wp14:editId="6330AEA8">
              <wp:simplePos x="723900" y="2921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2A553" w14:textId="0B8DC609" w:rsidR="0015069B" w:rsidRPr="0015069B" w:rsidRDefault="0015069B" w:rsidP="0015069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C399D"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EE2A553" w14:textId="0B8DC609" w:rsidR="0015069B" w:rsidRPr="0015069B" w:rsidRDefault="0015069B" w:rsidP="0015069B">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900" w14:textId="0C88C43B" w:rsidR="0015069B" w:rsidRDefault="0015069B">
    <w:pPr>
      <w:pStyle w:val="Header"/>
    </w:pPr>
    <w:r>
      <w:rPr>
        <w:noProof/>
      </w:rPr>
      <mc:AlternateContent>
        <mc:Choice Requires="wps">
          <w:drawing>
            <wp:anchor distT="0" distB="0" distL="0" distR="0" simplePos="0" relativeHeight="251658240" behindDoc="0" locked="0" layoutInCell="1" allowOverlap="1" wp14:anchorId="75DCB996" wp14:editId="322F643E">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69F9F" w14:textId="3C428183" w:rsidR="0015069B" w:rsidRPr="00D92AD3"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CB996"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4869F9F" w14:textId="3C428183" w:rsidR="0015069B" w:rsidRPr="00D92AD3"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6D137133" w:rsidR="0015069B" w:rsidRDefault="0015069B">
    <w:pPr>
      <w:pStyle w:val="Header"/>
    </w:pPr>
    <w:r>
      <w:rPr>
        <w:noProof/>
      </w:rPr>
      <mc:AlternateContent>
        <mc:Choice Requires="wps">
          <w:drawing>
            <wp:anchor distT="0" distB="0" distL="0" distR="0" simplePos="0" relativeHeight="251663360" behindDoc="0" locked="0" layoutInCell="1" allowOverlap="1" wp14:anchorId="1DEAA9F1" wp14:editId="53A2555F">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3A10F" w14:textId="2B4BB165" w:rsidR="0015069B" w:rsidRPr="0015069B" w:rsidRDefault="0015069B" w:rsidP="0015069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AA9F1"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03A10F" w14:textId="2B4BB165" w:rsidR="0015069B" w:rsidRPr="0015069B" w:rsidRDefault="0015069B" w:rsidP="0015069B">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806353">
    <w:abstractNumId w:val="5"/>
  </w:num>
  <w:num w:numId="2" w16cid:durableId="1783107178">
    <w:abstractNumId w:val="1"/>
  </w:num>
  <w:num w:numId="3" w16cid:durableId="520969469">
    <w:abstractNumId w:val="0"/>
  </w:num>
  <w:num w:numId="4" w16cid:durableId="41952399">
    <w:abstractNumId w:val="3"/>
  </w:num>
  <w:num w:numId="5" w16cid:durableId="459498169">
    <w:abstractNumId w:val="4"/>
  </w:num>
  <w:num w:numId="6" w16cid:durableId="1428235273">
    <w:abstractNumId w:val="10"/>
  </w:num>
  <w:num w:numId="7" w16cid:durableId="101803501">
    <w:abstractNumId w:val="7"/>
  </w:num>
  <w:num w:numId="8" w16cid:durableId="108086667">
    <w:abstractNumId w:val="2"/>
  </w:num>
  <w:num w:numId="9" w16cid:durableId="1485195578">
    <w:abstractNumId w:val="6"/>
  </w:num>
  <w:num w:numId="10" w16cid:durableId="1505703867">
    <w:abstractNumId w:val="11"/>
  </w:num>
  <w:num w:numId="11" w16cid:durableId="1379696147">
    <w:abstractNumId w:val="9"/>
  </w:num>
  <w:num w:numId="12" w16cid:durableId="21456129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907885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142D"/>
    <w:rsid w:val="00034336"/>
    <w:rsid w:val="00037CB0"/>
    <w:rsid w:val="000469A5"/>
    <w:rsid w:val="000710E0"/>
    <w:rsid w:val="00086206"/>
    <w:rsid w:val="000964FE"/>
    <w:rsid w:val="000969AE"/>
    <w:rsid w:val="000A576B"/>
    <w:rsid w:val="000C1F92"/>
    <w:rsid w:val="000C49A7"/>
    <w:rsid w:val="000E3BB9"/>
    <w:rsid w:val="001026C0"/>
    <w:rsid w:val="00106AED"/>
    <w:rsid w:val="0015069B"/>
    <w:rsid w:val="00160432"/>
    <w:rsid w:val="00197259"/>
    <w:rsid w:val="001B360A"/>
    <w:rsid w:val="001D3744"/>
    <w:rsid w:val="00213DA6"/>
    <w:rsid w:val="00216302"/>
    <w:rsid w:val="00233BCC"/>
    <w:rsid w:val="00236D2D"/>
    <w:rsid w:val="00245A2B"/>
    <w:rsid w:val="00252382"/>
    <w:rsid w:val="002A47DB"/>
    <w:rsid w:val="002C1DC4"/>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610D4"/>
    <w:rsid w:val="004710B8"/>
    <w:rsid w:val="004957D3"/>
    <w:rsid w:val="00495E9D"/>
    <w:rsid w:val="004A33AD"/>
    <w:rsid w:val="004D1E30"/>
    <w:rsid w:val="00533E65"/>
    <w:rsid w:val="0055724C"/>
    <w:rsid w:val="0056681E"/>
    <w:rsid w:val="00572AA9"/>
    <w:rsid w:val="00595906"/>
    <w:rsid w:val="005B11F9"/>
    <w:rsid w:val="005E2616"/>
    <w:rsid w:val="005F26E8"/>
    <w:rsid w:val="00631D73"/>
    <w:rsid w:val="006B19BD"/>
    <w:rsid w:val="006C15F4"/>
    <w:rsid w:val="0077711D"/>
    <w:rsid w:val="00782548"/>
    <w:rsid w:val="007B201A"/>
    <w:rsid w:val="007C2143"/>
    <w:rsid w:val="007F3ACD"/>
    <w:rsid w:val="0080061F"/>
    <w:rsid w:val="0080133F"/>
    <w:rsid w:val="00803002"/>
    <w:rsid w:val="0080498F"/>
    <w:rsid w:val="00860654"/>
    <w:rsid w:val="008C20D5"/>
    <w:rsid w:val="00903467"/>
    <w:rsid w:val="00906EAA"/>
    <w:rsid w:val="009074F1"/>
    <w:rsid w:val="00965C35"/>
    <w:rsid w:val="00970DD2"/>
    <w:rsid w:val="0099555E"/>
    <w:rsid w:val="009A077C"/>
    <w:rsid w:val="009D15F1"/>
    <w:rsid w:val="009D2B10"/>
    <w:rsid w:val="00A2199C"/>
    <w:rsid w:val="00A43896"/>
    <w:rsid w:val="00A43F21"/>
    <w:rsid w:val="00A6244E"/>
    <w:rsid w:val="00A678E1"/>
    <w:rsid w:val="00AA3111"/>
    <w:rsid w:val="00B41635"/>
    <w:rsid w:val="00B52748"/>
    <w:rsid w:val="00B5357A"/>
    <w:rsid w:val="00B72DA1"/>
    <w:rsid w:val="00C503A7"/>
    <w:rsid w:val="00C5215F"/>
    <w:rsid w:val="00C647DB"/>
    <w:rsid w:val="00CB4A28"/>
    <w:rsid w:val="00D34EA0"/>
    <w:rsid w:val="00D637C3"/>
    <w:rsid w:val="00D92AD3"/>
    <w:rsid w:val="00DD3676"/>
    <w:rsid w:val="00DD62A5"/>
    <w:rsid w:val="00DD6907"/>
    <w:rsid w:val="00DD7526"/>
    <w:rsid w:val="00DE3537"/>
    <w:rsid w:val="00DF3FEC"/>
    <w:rsid w:val="00E22E32"/>
    <w:rsid w:val="00E43B69"/>
    <w:rsid w:val="00E4584F"/>
    <w:rsid w:val="00E671C3"/>
    <w:rsid w:val="00E90142"/>
    <w:rsid w:val="00E9269E"/>
    <w:rsid w:val="00EB46F5"/>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docId w15:val="{4891F847-02E3-4A36-8E22-3147B192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5F26E8"/>
    <w:rPr>
      <w:rFonts w:ascii="Verdana" w:hAnsi="Verdana" w:cs="Arial"/>
      <w:szCs w:val="22"/>
      <w:lang w:val="en-GB"/>
    </w:rPr>
  </w:style>
  <w:style w:type="paragraph" w:customStyle="1" w:styleId="pf0">
    <w:name w:val="pf0"/>
    <w:basedOn w:val="Normal"/>
    <w:rsid w:val="00160432"/>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character" w:customStyle="1" w:styleId="cf01">
    <w:name w:val="cf01"/>
    <w:basedOn w:val="DefaultParagraphFont"/>
    <w:rsid w:val="001604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2024-11-28T22:33:00Z</dcterms:created>
  <dcterms:modified xsi:type="dcterms:W3CDTF">2024-11-28T22:34:00Z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