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35A22B93">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66390C85" w:rsidR="00F05C09" w:rsidRDefault="00024E9C" w:rsidP="006C0831">
      <w:pPr>
        <w:pStyle w:val="Heading1"/>
        <w:spacing w:before="360"/>
        <w:ind w:left="0" w:firstLine="0"/>
        <w:rPr>
          <w:color w:val="121F6B"/>
        </w:rPr>
      </w:pPr>
      <w:r>
        <w:rPr>
          <w:color w:val="121F6B"/>
        </w:rPr>
        <w:t xml:space="preserve">Technology </w:t>
      </w:r>
      <w:r w:rsidR="00D96588">
        <w:rPr>
          <w:color w:val="121F6B"/>
        </w:rPr>
        <w:t xml:space="preserve">Security </w:t>
      </w:r>
      <w:r w:rsidR="00370E3C">
        <w:rPr>
          <w:color w:val="121F6B"/>
        </w:rPr>
        <w:t>Engineer</w:t>
      </w:r>
      <w:r w:rsidR="00A5026A">
        <w:rPr>
          <w:color w:val="121F6B"/>
        </w:rPr>
        <w:t xml:space="preserve"> </w:t>
      </w:r>
      <w:r w:rsidR="0002216D">
        <w:rPr>
          <w:color w:val="121F6B"/>
        </w:rPr>
        <w:t>Information Group</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6C0831">
      <w:pPr>
        <w:spacing w:after="320"/>
        <w:ind w:left="0" w:firstLine="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6C0831">
            <w:pPr>
              <w:pStyle w:val="Valuesintables"/>
              <w:ind w:left="0" w:firstLine="0"/>
              <w:rPr>
                <w:sz w:val="22"/>
                <w:szCs w:val="18"/>
                <w:lang w:val="mi-NZ"/>
              </w:rPr>
            </w:pPr>
            <w:r w:rsidRPr="00BB6450">
              <w:rPr>
                <w:sz w:val="22"/>
                <w:szCs w:val="18"/>
                <w:lang w:val="mi-NZ"/>
              </w:rPr>
              <w:t>Manaaki</w:t>
            </w:r>
          </w:p>
          <w:p w14:paraId="042D2A7B" w14:textId="77777777" w:rsidR="00E42617" w:rsidRPr="00582BA4" w:rsidRDefault="00E42617" w:rsidP="006C0831">
            <w:pPr>
              <w:pStyle w:val="Paragraphstyleinsidetables"/>
              <w:ind w:left="0" w:firstLine="0"/>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6C0831">
            <w:pPr>
              <w:pStyle w:val="Valuesintables"/>
              <w:ind w:left="0" w:firstLine="0"/>
              <w:rPr>
                <w:sz w:val="22"/>
                <w:szCs w:val="18"/>
                <w:lang w:val="mi-NZ"/>
              </w:rPr>
            </w:pPr>
            <w:r w:rsidRPr="00BB6450">
              <w:rPr>
                <w:sz w:val="22"/>
                <w:szCs w:val="18"/>
                <w:lang w:val="mi-NZ"/>
              </w:rPr>
              <w:t>Whānau</w:t>
            </w:r>
          </w:p>
          <w:p w14:paraId="081A5F43" w14:textId="77777777" w:rsidR="00E42617" w:rsidRPr="00582BA4" w:rsidRDefault="00E42617" w:rsidP="006C0831">
            <w:pPr>
              <w:pStyle w:val="Paragraphstyleinsidetables"/>
              <w:ind w:left="0" w:firstLine="0"/>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6C0831">
            <w:pPr>
              <w:pStyle w:val="Valuesintables"/>
              <w:ind w:left="0" w:firstLine="0"/>
              <w:rPr>
                <w:sz w:val="22"/>
                <w:szCs w:val="18"/>
                <w:lang w:val="mi-NZ"/>
              </w:rPr>
            </w:pPr>
            <w:r w:rsidRPr="00BB6450">
              <w:rPr>
                <w:sz w:val="22"/>
                <w:szCs w:val="18"/>
                <w:lang w:val="mi-NZ"/>
              </w:rPr>
              <w:t>Mahi tahi</w:t>
            </w:r>
          </w:p>
          <w:p w14:paraId="095717F6" w14:textId="09720316" w:rsidR="00E42617" w:rsidRPr="00582BA4" w:rsidRDefault="00E42617" w:rsidP="006C0831">
            <w:pPr>
              <w:pStyle w:val="Paragraphstyleinsidetables"/>
              <w:ind w:left="0" w:firstLine="0"/>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6C0831">
            <w:pPr>
              <w:pStyle w:val="Valuesintables"/>
              <w:ind w:left="0" w:firstLine="0"/>
              <w:rPr>
                <w:sz w:val="22"/>
                <w:szCs w:val="18"/>
                <w:lang w:val="mi-NZ"/>
              </w:rPr>
            </w:pPr>
            <w:r w:rsidRPr="00BB6450">
              <w:rPr>
                <w:sz w:val="22"/>
                <w:szCs w:val="18"/>
                <w:lang w:val="mi-NZ"/>
              </w:rPr>
              <w:t>Tika me te pono</w:t>
            </w:r>
          </w:p>
          <w:p w14:paraId="23C1F9EF" w14:textId="77777777" w:rsidR="00E42617" w:rsidRPr="00582BA4" w:rsidRDefault="00E42617" w:rsidP="006C0831">
            <w:pPr>
              <w:pStyle w:val="Paragraphstyleinsidetables"/>
              <w:ind w:left="0" w:firstLine="0"/>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6C0831">
      <w:pPr>
        <w:spacing w:before="40" w:after="0"/>
        <w:ind w:left="0" w:firstLine="0"/>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6C0831">
      <w:pPr>
        <w:spacing w:before="40" w:after="0"/>
        <w:ind w:left="0" w:firstLine="0"/>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The outcomes we want to achieve</w:t>
      </w:r>
    </w:p>
    <w:p w14:paraId="2F2B9247" w14:textId="77777777" w:rsidR="00BC35AE" w:rsidRPr="00582BA4" w:rsidRDefault="00BC35AE" w:rsidP="00BC35AE">
      <w:pPr>
        <w:pStyle w:val="Bulletsstyle"/>
        <w:rPr>
          <w:szCs w:val="18"/>
          <w:lang w:val="en"/>
        </w:rPr>
      </w:pPr>
      <w:r w:rsidRPr="00582BA4">
        <w:rPr>
          <w:szCs w:val="18"/>
        </w:rPr>
        <w:t>New Zealanders get the support they require</w:t>
      </w:r>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communities </w:t>
      </w:r>
    </w:p>
    <w:p w14:paraId="0C83D9D8" w14:textId="77777777" w:rsidR="00BC35AE" w:rsidRPr="00582BA4" w:rsidRDefault="00BC35AE" w:rsidP="00BC35AE">
      <w:pPr>
        <w:pStyle w:val="Bulletsstyle"/>
        <w:rPr>
          <w:szCs w:val="18"/>
          <w:lang w:val="en"/>
        </w:rPr>
      </w:pPr>
      <w:r w:rsidRPr="00582BA4">
        <w:rPr>
          <w:szCs w:val="18"/>
        </w:rPr>
        <w:t>New Zealanders participate positively in society and reach their potential</w:t>
      </w:r>
    </w:p>
    <w:p w14:paraId="791B80DD" w14:textId="473374CC" w:rsidR="00BC35AE" w:rsidRDefault="00BC35AE" w:rsidP="00BC35AE">
      <w:pPr>
        <w:pStyle w:val="Heading3"/>
      </w:pPr>
      <w:r w:rsidRPr="00BC35AE">
        <w:t>We carry out a range of responsibilities and functions including</w:t>
      </w:r>
    </w:p>
    <w:p w14:paraId="7A19E166" w14:textId="77777777" w:rsidR="00BC35AE" w:rsidRPr="00582BA4" w:rsidRDefault="00BC35AE" w:rsidP="006C0831">
      <w:pPr>
        <w:pStyle w:val="Bulletsstyle"/>
        <w:ind w:left="714" w:hanging="357"/>
        <w:rPr>
          <w:szCs w:val="18"/>
        </w:rPr>
      </w:pPr>
      <w:r w:rsidRPr="00582BA4">
        <w:rPr>
          <w:szCs w:val="18"/>
        </w:rPr>
        <w:t>Employment, income support and superannuation</w:t>
      </w:r>
    </w:p>
    <w:p w14:paraId="4DE91265" w14:textId="58FC36CB" w:rsidR="00BC35AE" w:rsidRPr="00582BA4" w:rsidRDefault="00BC35AE" w:rsidP="006C0831">
      <w:pPr>
        <w:pStyle w:val="Bulletsstyle"/>
        <w:ind w:left="714" w:hanging="357"/>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6C0831">
      <w:pPr>
        <w:pStyle w:val="Bulletsstyle"/>
        <w:ind w:left="714" w:hanging="357"/>
        <w:rPr>
          <w:szCs w:val="18"/>
        </w:rPr>
      </w:pPr>
      <w:r w:rsidRPr="00582BA4">
        <w:rPr>
          <w:szCs w:val="18"/>
        </w:rPr>
        <w:t>Advocacy for seniors, disabled people, and youth</w:t>
      </w:r>
    </w:p>
    <w:p w14:paraId="493912DA" w14:textId="77777777" w:rsidR="00BC35AE" w:rsidRPr="00582BA4" w:rsidRDefault="00BC35AE" w:rsidP="006C0831">
      <w:pPr>
        <w:pStyle w:val="Bulletsstyle"/>
        <w:ind w:left="714" w:hanging="357"/>
        <w:rPr>
          <w:szCs w:val="18"/>
        </w:rPr>
      </w:pPr>
      <w:r w:rsidRPr="00582BA4">
        <w:rPr>
          <w:szCs w:val="18"/>
        </w:rPr>
        <w:t xml:space="preserve">Public housing assistance and emergency housing </w:t>
      </w:r>
    </w:p>
    <w:p w14:paraId="2D9515A1" w14:textId="77777777" w:rsidR="00BC35AE" w:rsidRDefault="00BC35AE" w:rsidP="006C0831">
      <w:pPr>
        <w:pStyle w:val="Bulletsstyle"/>
        <w:ind w:left="714" w:hanging="357"/>
        <w:rPr>
          <w:szCs w:val="18"/>
        </w:rPr>
      </w:pPr>
      <w:r w:rsidRPr="00582BA4">
        <w:rPr>
          <w:szCs w:val="18"/>
        </w:rPr>
        <w:t>Resolving claims of abuse and neglect in state care</w:t>
      </w:r>
    </w:p>
    <w:p w14:paraId="4B6B9E06" w14:textId="77777777" w:rsidR="00BC35AE" w:rsidRPr="00067863" w:rsidRDefault="00BC35AE" w:rsidP="006C0831">
      <w:pPr>
        <w:pStyle w:val="Bulletsstyle"/>
        <w:ind w:left="714" w:hanging="357"/>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46"/>
      </w:tblGrid>
      <w:tr w:rsidR="00BC35AE" w:rsidRPr="00582BA4" w14:paraId="6E1252CF" w14:textId="77777777" w:rsidTr="006C0831">
        <w:trPr>
          <w:trHeight w:val="273"/>
        </w:trPr>
        <w:tc>
          <w:tcPr>
            <w:tcW w:w="4395" w:type="dxa"/>
          </w:tcPr>
          <w:p w14:paraId="5BE0E19E" w14:textId="77777777" w:rsidR="00BC35AE" w:rsidRPr="00001691" w:rsidRDefault="00BC35AE" w:rsidP="006C0831">
            <w:pPr>
              <w:spacing w:before="40" w:after="0" w:line="240" w:lineRule="auto"/>
              <w:ind w:left="0" w:firstLine="0"/>
              <w:rPr>
                <w:sz w:val="22"/>
                <w:szCs w:val="18"/>
                <w:lang w:val="mi-NZ"/>
              </w:rPr>
            </w:pPr>
            <w:r w:rsidRPr="00001691">
              <w:rPr>
                <w:sz w:val="22"/>
                <w:szCs w:val="18"/>
                <w:lang w:val="mi-NZ"/>
              </w:rPr>
              <w:t>Unuhia te rito o te harakeke</w:t>
            </w:r>
          </w:p>
        </w:tc>
        <w:tc>
          <w:tcPr>
            <w:tcW w:w="5346" w:type="dxa"/>
          </w:tcPr>
          <w:p w14:paraId="5D3C5193" w14:textId="77777777" w:rsidR="00BC35AE" w:rsidRPr="00582BA4" w:rsidRDefault="00BC35AE" w:rsidP="006C0831">
            <w:pPr>
              <w:spacing w:before="40" w:after="0" w:line="240" w:lineRule="auto"/>
              <w:ind w:left="0" w:firstLine="0"/>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6C0831">
        <w:trPr>
          <w:trHeight w:val="110"/>
        </w:trPr>
        <w:tc>
          <w:tcPr>
            <w:tcW w:w="4395" w:type="dxa"/>
          </w:tcPr>
          <w:p w14:paraId="4FFFCA4E" w14:textId="77777777" w:rsidR="00BC35AE" w:rsidRPr="00001691" w:rsidRDefault="00BC35AE" w:rsidP="006C0831">
            <w:pPr>
              <w:spacing w:before="40" w:after="0" w:line="240" w:lineRule="auto"/>
              <w:ind w:left="0" w:firstLine="0"/>
              <w:rPr>
                <w:sz w:val="22"/>
                <w:szCs w:val="18"/>
                <w:lang w:val="mi-NZ"/>
              </w:rPr>
            </w:pPr>
            <w:r w:rsidRPr="00001691">
              <w:rPr>
                <w:sz w:val="22"/>
                <w:szCs w:val="18"/>
                <w:lang w:val="mi-NZ"/>
              </w:rPr>
              <w:t>Kei hea te kōmako e kō?</w:t>
            </w:r>
          </w:p>
        </w:tc>
        <w:tc>
          <w:tcPr>
            <w:tcW w:w="5346" w:type="dxa"/>
          </w:tcPr>
          <w:p w14:paraId="2300FCF6" w14:textId="77777777" w:rsidR="00BC35AE" w:rsidRPr="00582BA4" w:rsidRDefault="00BC35AE" w:rsidP="006C0831">
            <w:pPr>
              <w:spacing w:before="40" w:after="0" w:line="240" w:lineRule="auto"/>
              <w:ind w:left="0" w:firstLine="0"/>
              <w:rPr>
                <w:sz w:val="22"/>
                <w:szCs w:val="18"/>
              </w:rPr>
            </w:pPr>
            <w:r w:rsidRPr="00582BA4">
              <w:rPr>
                <w:sz w:val="22"/>
                <w:szCs w:val="18"/>
              </w:rPr>
              <w:t>Where will the bellbird find rest?</w:t>
            </w:r>
          </w:p>
        </w:tc>
      </w:tr>
      <w:tr w:rsidR="00BC35AE" w:rsidRPr="00582BA4" w14:paraId="33FA8CF6" w14:textId="77777777" w:rsidTr="006C0831">
        <w:trPr>
          <w:trHeight w:val="230"/>
        </w:trPr>
        <w:tc>
          <w:tcPr>
            <w:tcW w:w="4395" w:type="dxa"/>
          </w:tcPr>
          <w:p w14:paraId="141ADCB8" w14:textId="77777777" w:rsidR="00BC35AE" w:rsidRPr="00001691" w:rsidRDefault="00BC35AE" w:rsidP="006C0831">
            <w:pPr>
              <w:spacing w:before="40" w:after="0" w:line="240" w:lineRule="auto"/>
              <w:ind w:left="0" w:firstLine="0"/>
              <w:rPr>
                <w:sz w:val="22"/>
                <w:szCs w:val="18"/>
                <w:lang w:val="mi-NZ"/>
              </w:rPr>
            </w:pPr>
            <w:r w:rsidRPr="00001691">
              <w:rPr>
                <w:sz w:val="22"/>
                <w:szCs w:val="18"/>
                <w:lang w:val="mi-NZ"/>
              </w:rPr>
              <w:t>Whakatairangitia, rere ki uta, rere ki tai;</w:t>
            </w:r>
          </w:p>
        </w:tc>
        <w:tc>
          <w:tcPr>
            <w:tcW w:w="5346" w:type="dxa"/>
          </w:tcPr>
          <w:p w14:paraId="65922DF9" w14:textId="77777777" w:rsidR="00BC35AE" w:rsidRPr="00582BA4" w:rsidRDefault="00BC35AE" w:rsidP="006C0831">
            <w:pPr>
              <w:spacing w:before="40" w:after="0" w:line="240" w:lineRule="auto"/>
              <w:ind w:left="0" w:firstLine="0"/>
              <w:rPr>
                <w:sz w:val="22"/>
                <w:szCs w:val="18"/>
              </w:rPr>
            </w:pPr>
            <w:r w:rsidRPr="00582BA4">
              <w:rPr>
                <w:sz w:val="22"/>
                <w:szCs w:val="18"/>
              </w:rPr>
              <w:t>Will it fly inland, fly out to sea, or fly aimlessly;</w:t>
            </w:r>
          </w:p>
        </w:tc>
      </w:tr>
      <w:tr w:rsidR="00BC35AE" w:rsidRPr="00582BA4" w14:paraId="01BD963F" w14:textId="77777777" w:rsidTr="006C0831">
        <w:trPr>
          <w:trHeight w:val="68"/>
        </w:trPr>
        <w:tc>
          <w:tcPr>
            <w:tcW w:w="4395" w:type="dxa"/>
          </w:tcPr>
          <w:p w14:paraId="2DFE9B99" w14:textId="77777777" w:rsidR="00BC35AE" w:rsidRPr="00001691" w:rsidRDefault="00BC35AE" w:rsidP="006C0831">
            <w:pPr>
              <w:spacing w:before="40" w:after="0" w:line="240" w:lineRule="auto"/>
              <w:ind w:left="0" w:firstLine="0"/>
              <w:rPr>
                <w:sz w:val="22"/>
                <w:szCs w:val="18"/>
                <w:lang w:val="mi-NZ"/>
              </w:rPr>
            </w:pPr>
            <w:r w:rsidRPr="00001691">
              <w:rPr>
                <w:sz w:val="22"/>
                <w:szCs w:val="18"/>
                <w:lang w:val="mi-NZ"/>
              </w:rPr>
              <w:t>Ui mai ki ahau,</w:t>
            </w:r>
          </w:p>
        </w:tc>
        <w:tc>
          <w:tcPr>
            <w:tcW w:w="5346" w:type="dxa"/>
          </w:tcPr>
          <w:p w14:paraId="1BA41B72" w14:textId="77777777" w:rsidR="00BC35AE" w:rsidRPr="00582BA4" w:rsidRDefault="00BC35AE" w:rsidP="006C0831">
            <w:pPr>
              <w:spacing w:before="40" w:after="0" w:line="240" w:lineRule="auto"/>
              <w:ind w:left="0" w:firstLine="0"/>
              <w:rPr>
                <w:sz w:val="22"/>
                <w:szCs w:val="18"/>
              </w:rPr>
            </w:pPr>
            <w:r w:rsidRPr="00582BA4">
              <w:rPr>
                <w:sz w:val="22"/>
                <w:szCs w:val="18"/>
              </w:rPr>
              <w:t>If you were to ask me,</w:t>
            </w:r>
          </w:p>
        </w:tc>
      </w:tr>
      <w:tr w:rsidR="00BC35AE" w:rsidRPr="00582BA4" w14:paraId="15E88599" w14:textId="77777777" w:rsidTr="006C0831">
        <w:trPr>
          <w:trHeight w:val="68"/>
        </w:trPr>
        <w:tc>
          <w:tcPr>
            <w:tcW w:w="4395" w:type="dxa"/>
          </w:tcPr>
          <w:p w14:paraId="61399A58" w14:textId="77777777" w:rsidR="00BC35AE" w:rsidRPr="00001691" w:rsidRDefault="00BC35AE" w:rsidP="006C0831">
            <w:pPr>
              <w:spacing w:before="40" w:after="0" w:line="240" w:lineRule="auto"/>
              <w:ind w:left="0" w:firstLine="0"/>
              <w:rPr>
                <w:sz w:val="22"/>
                <w:szCs w:val="18"/>
                <w:lang w:val="mi-NZ"/>
              </w:rPr>
            </w:pPr>
            <w:r w:rsidRPr="00001691">
              <w:rPr>
                <w:sz w:val="22"/>
                <w:szCs w:val="18"/>
                <w:lang w:val="mi-NZ"/>
              </w:rPr>
              <w:t>He aha te mea nui o te ao?</w:t>
            </w:r>
          </w:p>
        </w:tc>
        <w:tc>
          <w:tcPr>
            <w:tcW w:w="5346" w:type="dxa"/>
          </w:tcPr>
          <w:p w14:paraId="79E3094B" w14:textId="77777777" w:rsidR="00BC35AE" w:rsidRPr="00582BA4" w:rsidRDefault="00BC35AE" w:rsidP="006C0831">
            <w:pPr>
              <w:spacing w:before="40" w:after="0" w:line="240" w:lineRule="auto"/>
              <w:ind w:left="0" w:firstLine="0"/>
              <w:rPr>
                <w:sz w:val="22"/>
                <w:szCs w:val="18"/>
              </w:rPr>
            </w:pPr>
            <w:r w:rsidRPr="00582BA4">
              <w:rPr>
                <w:sz w:val="22"/>
                <w:szCs w:val="18"/>
              </w:rPr>
              <w:t>What is the most important thing in the world?</w:t>
            </w:r>
          </w:p>
        </w:tc>
      </w:tr>
      <w:tr w:rsidR="00BC35AE" w:rsidRPr="00582BA4" w14:paraId="4B363241" w14:textId="77777777" w:rsidTr="006C0831">
        <w:trPr>
          <w:trHeight w:val="68"/>
        </w:trPr>
        <w:tc>
          <w:tcPr>
            <w:tcW w:w="4395" w:type="dxa"/>
          </w:tcPr>
          <w:p w14:paraId="145A0218" w14:textId="77777777" w:rsidR="00BC35AE" w:rsidRPr="00001691" w:rsidRDefault="00BC35AE" w:rsidP="006C0831">
            <w:pPr>
              <w:spacing w:before="40" w:after="0" w:line="240" w:lineRule="auto"/>
              <w:ind w:left="0" w:firstLine="0"/>
              <w:rPr>
                <w:sz w:val="22"/>
                <w:szCs w:val="18"/>
                <w:lang w:val="mi-NZ"/>
              </w:rPr>
            </w:pPr>
            <w:r w:rsidRPr="00001691">
              <w:rPr>
                <w:sz w:val="22"/>
                <w:szCs w:val="18"/>
                <w:lang w:val="mi-NZ"/>
              </w:rPr>
              <w:t>Māku e kī atu,</w:t>
            </w:r>
          </w:p>
        </w:tc>
        <w:tc>
          <w:tcPr>
            <w:tcW w:w="5346" w:type="dxa"/>
          </w:tcPr>
          <w:p w14:paraId="5C0F1F72" w14:textId="77777777" w:rsidR="00BC35AE" w:rsidRPr="00582BA4" w:rsidRDefault="00BC35AE" w:rsidP="006C0831">
            <w:pPr>
              <w:spacing w:before="40" w:after="0" w:line="240" w:lineRule="auto"/>
              <w:ind w:left="0" w:firstLine="0"/>
              <w:rPr>
                <w:sz w:val="22"/>
                <w:szCs w:val="18"/>
              </w:rPr>
            </w:pPr>
            <w:r w:rsidRPr="00582BA4">
              <w:rPr>
                <w:sz w:val="22"/>
                <w:szCs w:val="18"/>
              </w:rPr>
              <w:t>I will tell you,</w:t>
            </w:r>
          </w:p>
        </w:tc>
      </w:tr>
      <w:tr w:rsidR="00BC35AE" w:rsidRPr="00582BA4" w14:paraId="1D11FEF2" w14:textId="77777777" w:rsidTr="006C0831">
        <w:trPr>
          <w:trHeight w:val="274"/>
        </w:trPr>
        <w:tc>
          <w:tcPr>
            <w:tcW w:w="4395" w:type="dxa"/>
          </w:tcPr>
          <w:p w14:paraId="7932B948" w14:textId="77777777" w:rsidR="00BC35AE" w:rsidRPr="00001691" w:rsidRDefault="00BC35AE" w:rsidP="006C0831">
            <w:pPr>
              <w:spacing w:before="40" w:after="0" w:line="240" w:lineRule="auto"/>
              <w:rPr>
                <w:sz w:val="22"/>
                <w:szCs w:val="18"/>
                <w:lang w:val="mi-NZ"/>
              </w:rPr>
            </w:pPr>
            <w:r w:rsidRPr="00001691">
              <w:rPr>
                <w:sz w:val="22"/>
                <w:szCs w:val="18"/>
                <w:lang w:val="mi-NZ"/>
              </w:rPr>
              <w:t>He tangata, he tangata, he tangata*</w:t>
            </w:r>
          </w:p>
        </w:tc>
        <w:tc>
          <w:tcPr>
            <w:tcW w:w="5346" w:type="dxa"/>
          </w:tcPr>
          <w:p w14:paraId="29FAFEE9" w14:textId="77777777" w:rsidR="00BC35AE" w:rsidRPr="00582BA4" w:rsidRDefault="00BC35AE" w:rsidP="006C0831">
            <w:pPr>
              <w:spacing w:before="40" w:after="0" w:line="240" w:lineRule="auto"/>
              <w:rPr>
                <w:sz w:val="22"/>
                <w:szCs w:val="18"/>
              </w:rPr>
            </w:pPr>
            <w:r w:rsidRPr="00582BA4">
              <w:rPr>
                <w:sz w:val="22"/>
                <w:szCs w:val="18"/>
              </w:rPr>
              <w:t>It is people, it is people, it is people</w:t>
            </w:r>
          </w:p>
        </w:tc>
      </w:tr>
    </w:tbl>
    <w:p w14:paraId="5C8E585D" w14:textId="5A6A9FE4" w:rsidR="00BC35AE" w:rsidRPr="003E655B" w:rsidRDefault="00BC35AE" w:rsidP="006C0831">
      <w:pPr>
        <w:spacing w:before="40" w:after="0" w:line="240" w:lineRule="auto"/>
        <w:ind w:left="0" w:firstLine="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5CCE71E9" w14:textId="539EC493" w:rsidR="00D96588" w:rsidRDefault="00121686" w:rsidP="006C0831">
      <w:pPr>
        <w:pStyle w:val="Paragraphstyleinsidetables"/>
        <w:spacing w:after="60" w:line="288" w:lineRule="auto"/>
        <w:ind w:left="0" w:firstLine="0"/>
      </w:pPr>
      <w:r w:rsidRPr="00D80805">
        <w:t xml:space="preserve">The </w:t>
      </w:r>
      <w:r w:rsidR="0002216D">
        <w:t>Technology Security Engineer</w:t>
      </w:r>
      <w:r w:rsidRPr="00D80805">
        <w:t xml:space="preserve"> </w:t>
      </w:r>
      <w:r>
        <w:t xml:space="preserve">is part of </w:t>
      </w:r>
      <w:r w:rsidRPr="00D80805">
        <w:t xml:space="preserve">the </w:t>
      </w:r>
      <w:r>
        <w:t xml:space="preserve">Technology Security and Identity Practice and </w:t>
      </w:r>
      <w:r w:rsidRPr="00D80805">
        <w:t>drive</w:t>
      </w:r>
      <w:r>
        <w:t>s</w:t>
      </w:r>
      <w:r w:rsidRPr="00D80805">
        <w:t xml:space="preserve"> </w:t>
      </w:r>
      <w:r w:rsidR="00EC419C">
        <w:t xml:space="preserve">effective </w:t>
      </w:r>
      <w:r w:rsidRPr="00D80805">
        <w:t xml:space="preserve">and efficient </w:t>
      </w:r>
      <w:r>
        <w:t xml:space="preserve">security engineering and </w:t>
      </w:r>
      <w:r w:rsidRPr="00D80805">
        <w:t>operat</w:t>
      </w:r>
      <w:r>
        <w:t>ion</w:t>
      </w:r>
      <w:r w:rsidRPr="00D80805">
        <w:t xml:space="preserve"> of </w:t>
      </w:r>
      <w:r>
        <w:t>MSD’s</w:t>
      </w:r>
      <w:r w:rsidRPr="00D80805">
        <w:t xml:space="preserve"> information </w:t>
      </w:r>
      <w:r w:rsidR="00EC419C">
        <w:t>technologies</w:t>
      </w:r>
      <w:r w:rsidRPr="00D80805">
        <w:t>.</w:t>
      </w:r>
      <w:r>
        <w:t xml:space="preserve"> They </w:t>
      </w:r>
      <w:r w:rsidR="00D96588">
        <w:t xml:space="preserve">provide security operational support and project work within a multi-platform integrated environment, liaising with </w:t>
      </w:r>
      <w:r w:rsidR="007E493A">
        <w:t>IST technical and delivery teams, vendors and MSD business</w:t>
      </w:r>
      <w:r w:rsidR="00EC419C">
        <w:t xml:space="preserve"> stakeholders.</w:t>
      </w:r>
      <w:r w:rsidR="007E493A">
        <w:t xml:space="preserve"> </w:t>
      </w:r>
    </w:p>
    <w:p w14:paraId="57556973" w14:textId="3BF8A6C8" w:rsidR="00D96588" w:rsidRDefault="007E493A" w:rsidP="006C0831">
      <w:pPr>
        <w:pStyle w:val="Paragraphstyleinsidetables"/>
        <w:spacing w:after="60" w:line="288" w:lineRule="auto"/>
        <w:ind w:left="0" w:firstLine="0"/>
      </w:pPr>
      <w:r>
        <w:t xml:space="preserve">The </w:t>
      </w:r>
      <w:r w:rsidR="0002216D">
        <w:t xml:space="preserve">Technology Security Engineer </w:t>
      </w:r>
      <w:r w:rsidR="00D96588">
        <w:t>perform</w:t>
      </w:r>
      <w:r>
        <w:t>s</w:t>
      </w:r>
      <w:r w:rsidR="00D96588">
        <w:t xml:space="preserve"> a wide variety of tasks </w:t>
      </w:r>
      <w:r w:rsidR="00D80805">
        <w:t xml:space="preserve">across MSD’s </w:t>
      </w:r>
      <w:r w:rsidR="00EC419C">
        <w:t xml:space="preserve">technology </w:t>
      </w:r>
      <w:r w:rsidR="00D80805">
        <w:t>security services</w:t>
      </w:r>
      <w:r w:rsidR="00D96588">
        <w:t xml:space="preserve">. They are responsible for </w:t>
      </w:r>
      <w:r w:rsidR="00216501">
        <w:t xml:space="preserve">security </w:t>
      </w:r>
      <w:r w:rsidR="00D96588">
        <w:t xml:space="preserve">aspects of </w:t>
      </w:r>
      <w:r w:rsidR="00216501">
        <w:t>engineering design, build, configure, test</w:t>
      </w:r>
      <w:r w:rsidR="00B60C0E">
        <w:t xml:space="preserve">, maintenance and </w:t>
      </w:r>
      <w:r w:rsidR="00216501">
        <w:t xml:space="preserve">support for </w:t>
      </w:r>
      <w:r w:rsidR="00D96588">
        <w:t>security services and associated technology</w:t>
      </w:r>
      <w:r w:rsidR="00D80805">
        <w:t xml:space="preserve"> and tools</w:t>
      </w:r>
      <w:r w:rsidR="00D96588">
        <w:t>.</w:t>
      </w:r>
      <w:r w:rsidR="00F16266">
        <w:t xml:space="preserve"> </w:t>
      </w:r>
      <w:proofErr w:type="gramStart"/>
      <w:r w:rsidR="00F16266">
        <w:t>In order to</w:t>
      </w:r>
      <w:proofErr w:type="gramEnd"/>
      <w:r w:rsidR="00F16266">
        <w:t xml:space="preserve"> be successful in doing this, a breadth of understanding around different engineering disciplines is required to be able to plan and integrate these security engineering principles. </w:t>
      </w:r>
    </w:p>
    <w:p w14:paraId="500B1035" w14:textId="0FED45F8" w:rsidR="00EC4006" w:rsidRDefault="00EC4006" w:rsidP="006C0831">
      <w:pPr>
        <w:pStyle w:val="Paragraphstyleinsidetables"/>
        <w:spacing w:after="60" w:line="288" w:lineRule="auto"/>
        <w:ind w:left="0" w:firstLine="0"/>
      </w:pPr>
      <w:r>
        <w:t>The Technology Security Engineer plays a vital role in shaping the design and strategic direction of new and existing security infrastructure and services. They are instrumental in developing robust security engineering practices, ensuring they adapt to the evolving needs of our dynamic security landscape at the Ministry.</w:t>
      </w:r>
    </w:p>
    <w:p w14:paraId="2C231FAE" w14:textId="4BE127CA" w:rsidR="0091459D" w:rsidRDefault="00B60C0E" w:rsidP="006C0831">
      <w:pPr>
        <w:pStyle w:val="Paragraphstyleinsidetables"/>
        <w:spacing w:after="60" w:line="288" w:lineRule="auto"/>
        <w:ind w:left="0" w:firstLine="0"/>
      </w:pPr>
      <w:r>
        <w:t xml:space="preserve">The </w:t>
      </w:r>
      <w:r w:rsidR="0002216D">
        <w:t>Technology Security Engineer</w:t>
      </w:r>
      <w:r>
        <w:t xml:space="preserve"> will work with Practice Managers</w:t>
      </w:r>
      <w:r w:rsidR="00EC419C">
        <w:t>,</w:t>
      </w:r>
      <w:r>
        <w:t xml:space="preserve"> Security Architects </w:t>
      </w:r>
      <w:r w:rsidR="00EC419C">
        <w:t xml:space="preserve">and Technology Security Specialists </w:t>
      </w:r>
      <w:r>
        <w:t>to ensure that security solutions are</w:t>
      </w:r>
      <w:r w:rsidR="00A05F1C">
        <w:t xml:space="preserve"> planned and</w:t>
      </w:r>
      <w:r>
        <w:t xml:space="preserve"> engineered with appropriate controls in accordance with the security </w:t>
      </w:r>
      <w:r w:rsidR="0083540C">
        <w:t xml:space="preserve">and identity </w:t>
      </w:r>
      <w:r>
        <w:t>architecture and design</w:t>
      </w:r>
      <w:r w:rsidR="0086709A">
        <w:t xml:space="preserve"> standards</w:t>
      </w:r>
      <w:r>
        <w:t>.</w:t>
      </w:r>
      <w:r w:rsidR="0086709A">
        <w:t xml:space="preserve"> They will manage and maintain configuration of security services and ensure configuration documentation is kept </w:t>
      </w:r>
      <w:r w:rsidR="00EC419C">
        <w:t>up to date</w:t>
      </w:r>
      <w:r w:rsidR="00D80805">
        <w:t xml:space="preserve"> throughout the service </w:t>
      </w:r>
      <w:r w:rsidR="00BB34A0">
        <w:t>lifecycle</w:t>
      </w:r>
      <w:r w:rsidR="0086709A">
        <w:t>.</w:t>
      </w:r>
      <w:r w:rsidR="00D80805">
        <w:t xml:space="preserve"> </w:t>
      </w:r>
    </w:p>
    <w:p w14:paraId="0C3904BF" w14:textId="21C47E7D" w:rsidR="002E0223" w:rsidRDefault="0091459D" w:rsidP="006C0831">
      <w:pPr>
        <w:pStyle w:val="Paragraphstyleinsidetables"/>
        <w:spacing w:after="60" w:line="288" w:lineRule="auto"/>
        <w:ind w:left="0" w:firstLine="0"/>
      </w:pPr>
      <w:r>
        <w:t xml:space="preserve">The </w:t>
      </w:r>
      <w:r w:rsidR="0002216D">
        <w:t>Technology Security Engineer</w:t>
      </w:r>
      <w:r w:rsidR="00BB34A0">
        <w:t xml:space="preserve"> will </w:t>
      </w:r>
      <w:r w:rsidR="00A05F1C">
        <w:t xml:space="preserve">plan and </w:t>
      </w:r>
      <w:r w:rsidR="00BB34A0">
        <w:t>collaborate with other engineers</w:t>
      </w:r>
      <w:r>
        <w:t xml:space="preserve"> and business stakeholders to understand business requirements and propose solutions.</w:t>
      </w:r>
      <w:r w:rsidR="00BB34A0">
        <w:t xml:space="preserve"> </w:t>
      </w:r>
      <w:r w:rsidR="00D80805">
        <w:t>The</w:t>
      </w:r>
      <w:r w:rsidR="00E378CF">
        <w:t>y</w:t>
      </w:r>
      <w:r w:rsidR="00D80805">
        <w:t xml:space="preserve"> also support Security Analysts by providing security engineering advice when it comes to the development and maintenance of security operations technology and tools.</w:t>
      </w:r>
    </w:p>
    <w:p w14:paraId="2B4DA0C6" w14:textId="129C53A4" w:rsidR="00F773CD" w:rsidRDefault="002E0223" w:rsidP="006C0831">
      <w:pPr>
        <w:pStyle w:val="Paragraphstyleinsidetables"/>
        <w:spacing w:after="60" w:line="288" w:lineRule="auto"/>
        <w:ind w:left="0" w:firstLine="0"/>
      </w:pPr>
      <w:bookmarkStart w:id="0" w:name="_Hlk165582344"/>
      <w:r>
        <w:t xml:space="preserve">The </w:t>
      </w:r>
      <w:r w:rsidR="0002216D">
        <w:t>Technology Security Engineer</w:t>
      </w:r>
      <w:r>
        <w:t xml:space="preserve"> will</w:t>
      </w:r>
      <w:r w:rsidRPr="008E6F64">
        <w:t xml:space="preserve"> also assist with resolving any security </w:t>
      </w:r>
      <w:r>
        <w:t>incidents</w:t>
      </w:r>
      <w:r w:rsidRPr="008E6F64">
        <w:t xml:space="preserve"> </w:t>
      </w:r>
      <w:r>
        <w:t>requiring</w:t>
      </w:r>
      <w:r w:rsidRPr="008E6F64">
        <w:t xml:space="preserve"> </w:t>
      </w:r>
      <w:r>
        <w:t>security engineering expertise</w:t>
      </w:r>
      <w:r w:rsidRPr="008E6F64">
        <w:t>.</w:t>
      </w:r>
      <w:bookmarkEnd w:id="0"/>
    </w:p>
    <w:p w14:paraId="366616C8" w14:textId="2A09EFF3" w:rsidR="00481590" w:rsidRDefault="00481590" w:rsidP="00A5026A">
      <w:pPr>
        <w:pStyle w:val="Heading3"/>
      </w:pPr>
      <w:r>
        <w:t>Location</w:t>
      </w:r>
    </w:p>
    <w:p w14:paraId="0584CF13" w14:textId="1D9E3939" w:rsidR="00481590" w:rsidRPr="009357ED" w:rsidRDefault="00481590" w:rsidP="00481590">
      <w:pPr>
        <w:pStyle w:val="Paragraphstyleinsidetables"/>
        <w:rPr>
          <w:b/>
          <w:bCs/>
        </w:rPr>
      </w:pPr>
      <w:r w:rsidRPr="000A03A0">
        <w:t>National Office, Wellington</w:t>
      </w:r>
      <w:r>
        <w:t xml:space="preserve"> and Aucklan</w:t>
      </w:r>
      <w:r w:rsidR="00CC5FDE">
        <w:t>d</w:t>
      </w:r>
      <w:r w:rsidRPr="000A03A0">
        <w:t xml:space="preserve">. </w:t>
      </w:r>
    </w:p>
    <w:p w14:paraId="5308CC44" w14:textId="77777777" w:rsidR="00481590" w:rsidRDefault="00481590" w:rsidP="00481590">
      <w:pPr>
        <w:pStyle w:val="Heading3"/>
      </w:pPr>
      <w:r>
        <w:lastRenderedPageBreak/>
        <w:t>Reports to</w:t>
      </w:r>
    </w:p>
    <w:p w14:paraId="260321A5" w14:textId="18D2BE40" w:rsidR="00481590" w:rsidRDefault="006F0AFA" w:rsidP="00481590">
      <w:bookmarkStart w:id="1" w:name="_Hlk165582909"/>
      <w:r>
        <w:t xml:space="preserve">Practice Manager </w:t>
      </w:r>
      <w:r w:rsidR="00F65A1D">
        <w:t>Technology Security</w:t>
      </w:r>
      <w:bookmarkEnd w:id="1"/>
    </w:p>
    <w:p w14:paraId="5661E589" w14:textId="2B959F0B" w:rsidR="009357ED" w:rsidRDefault="009357ED" w:rsidP="009357ED">
      <w:pPr>
        <w:pStyle w:val="Heading2"/>
      </w:pPr>
      <w:r>
        <w:t>Key responsibilities</w:t>
      </w:r>
    </w:p>
    <w:p w14:paraId="733A8D42" w14:textId="5CD13DB5" w:rsidR="009357ED" w:rsidRDefault="009357ED" w:rsidP="009357ED">
      <w:pPr>
        <w:pStyle w:val="Heading3"/>
      </w:pPr>
      <w:r>
        <w:t>Required skills</w:t>
      </w:r>
      <w:r w:rsidR="00A5026A">
        <w:t xml:space="preserve"> (SFIA8)</w:t>
      </w:r>
    </w:p>
    <w:p w14:paraId="793EDB47" w14:textId="37D07D96" w:rsidR="00E378CF" w:rsidRDefault="00E378CF" w:rsidP="00AE2D80">
      <w:pPr>
        <w:pStyle w:val="Heading3"/>
      </w:pPr>
      <w:bookmarkStart w:id="2" w:name="_Hlk165582886"/>
      <w:r>
        <w:t xml:space="preserve">Systems Design (DESN) Level </w:t>
      </w:r>
      <w:r w:rsidR="006D6C10">
        <w:t>5</w:t>
      </w:r>
    </w:p>
    <w:p w14:paraId="7DCC0F72" w14:textId="77777777" w:rsidR="006D6C10" w:rsidRPr="006D6C10" w:rsidRDefault="006D6C10" w:rsidP="006C0831">
      <w:pPr>
        <w:pStyle w:val="Heading3"/>
        <w:numPr>
          <w:ilvl w:val="0"/>
          <w:numId w:val="11"/>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Designs large or complex systems and undertakes impact analysis on major design options and trade-offs.</w:t>
      </w:r>
    </w:p>
    <w:p w14:paraId="18797AFB" w14:textId="77777777" w:rsidR="006D6C10" w:rsidRPr="006D6C10" w:rsidRDefault="006D6C10" w:rsidP="006C0831">
      <w:pPr>
        <w:pStyle w:val="Heading3"/>
        <w:numPr>
          <w:ilvl w:val="0"/>
          <w:numId w:val="11"/>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Ensures that the system design balances functional and non-functional requirements.</w:t>
      </w:r>
    </w:p>
    <w:p w14:paraId="076FBEB0" w14:textId="77777777" w:rsidR="006D6C10" w:rsidRPr="006D6C10" w:rsidRDefault="006D6C10" w:rsidP="006C0831">
      <w:pPr>
        <w:pStyle w:val="Heading3"/>
        <w:numPr>
          <w:ilvl w:val="0"/>
          <w:numId w:val="11"/>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Reviews systems designs and ensures that appropriate methods, tools and techniques are applied effectively. Makes recommendations and assesses and manages associated risks.</w:t>
      </w:r>
    </w:p>
    <w:p w14:paraId="37DBAAF7" w14:textId="77777777" w:rsidR="006D6C10" w:rsidRDefault="006D6C10" w:rsidP="006C0831">
      <w:pPr>
        <w:pStyle w:val="Heading3"/>
        <w:numPr>
          <w:ilvl w:val="0"/>
          <w:numId w:val="11"/>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Adopts and adapts system design methods, tools and techniques. Contributes to development of system design policies, standards and selection of architecture components.</w:t>
      </w:r>
    </w:p>
    <w:p w14:paraId="4450F9B9" w14:textId="46CE30EA" w:rsidR="00E378CF" w:rsidRDefault="00E378CF" w:rsidP="006D6C10">
      <w:pPr>
        <w:pStyle w:val="Heading3"/>
      </w:pPr>
      <w:r>
        <w:t xml:space="preserve">System Software (SYSP) Level </w:t>
      </w:r>
      <w:r w:rsidR="006D6C10">
        <w:t>5</w:t>
      </w:r>
    </w:p>
    <w:p w14:paraId="060213F5" w14:textId="526FBD08" w:rsidR="006F0AFA" w:rsidRPr="006F0AFA" w:rsidRDefault="006D6C10" w:rsidP="006C0831">
      <w:pPr>
        <w:pStyle w:val="ListParagraph"/>
        <w:numPr>
          <w:ilvl w:val="0"/>
          <w:numId w:val="15"/>
        </w:numPr>
        <w:ind w:left="714" w:hanging="357"/>
        <w:contextualSpacing w:val="0"/>
      </w:pPr>
      <w:r w:rsidRPr="006D6C10">
        <w:t>Ensures that system software is provisioned and configured to facilitate the achievement of service objectives.</w:t>
      </w:r>
    </w:p>
    <w:p w14:paraId="5C35C579" w14:textId="77777777" w:rsidR="006D6C10" w:rsidRPr="006D6C10" w:rsidRDefault="006D6C10" w:rsidP="006C0831">
      <w:pPr>
        <w:pStyle w:val="Heading3"/>
        <w:numPr>
          <w:ilvl w:val="0"/>
          <w:numId w:val="12"/>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Evaluates new system software and recommends adoption if appropriate. Plans the provisioning and testing of new versions of system software.</w:t>
      </w:r>
    </w:p>
    <w:p w14:paraId="15E5A021" w14:textId="77777777" w:rsidR="006D6C10" w:rsidRPr="006D6C10" w:rsidRDefault="006D6C10" w:rsidP="006C0831">
      <w:pPr>
        <w:pStyle w:val="Heading3"/>
        <w:numPr>
          <w:ilvl w:val="0"/>
          <w:numId w:val="12"/>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Investigates and coordinates the resolution of potential and actual service problems.</w:t>
      </w:r>
    </w:p>
    <w:p w14:paraId="7E968DA2" w14:textId="77777777" w:rsidR="006D6C10" w:rsidRDefault="006D6C10" w:rsidP="006C0831">
      <w:pPr>
        <w:pStyle w:val="Heading3"/>
        <w:numPr>
          <w:ilvl w:val="0"/>
          <w:numId w:val="12"/>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Ensures that operational procedures and diagnostics for system software are current, accessible and well understood.</w:t>
      </w:r>
    </w:p>
    <w:p w14:paraId="23D366E8" w14:textId="40645127" w:rsidR="00AE2D80" w:rsidRDefault="00AE2D80" w:rsidP="006D6C10">
      <w:pPr>
        <w:pStyle w:val="Heading3"/>
      </w:pPr>
      <w:r w:rsidRPr="0002216D">
        <w:t xml:space="preserve">Systems and </w:t>
      </w:r>
      <w:r w:rsidR="00933F28">
        <w:t>S</w:t>
      </w:r>
      <w:r w:rsidRPr="0002216D">
        <w:t xml:space="preserve">oftware </w:t>
      </w:r>
      <w:r w:rsidR="00933F28">
        <w:t>L</w:t>
      </w:r>
      <w:r w:rsidRPr="0002216D">
        <w:t xml:space="preserve">ife cycle </w:t>
      </w:r>
      <w:r w:rsidR="00933F28">
        <w:t>E</w:t>
      </w:r>
      <w:r w:rsidRPr="0002216D">
        <w:t>ngineering</w:t>
      </w:r>
      <w:r>
        <w:t xml:space="preserve"> (SLEN) </w:t>
      </w:r>
      <w:r w:rsidRPr="0002216D">
        <w:t xml:space="preserve">Level </w:t>
      </w:r>
      <w:r w:rsidR="006D6C10">
        <w:t>5</w:t>
      </w:r>
    </w:p>
    <w:p w14:paraId="0ECE46F3" w14:textId="77777777" w:rsidR="006C0831" w:rsidRPr="006C0831" w:rsidRDefault="006D6C10" w:rsidP="006C0831">
      <w:pPr>
        <w:pStyle w:val="Bulletsstyle"/>
        <w:numPr>
          <w:ilvl w:val="0"/>
          <w:numId w:val="13"/>
        </w:numPr>
        <w:spacing w:before="0" w:line="288" w:lineRule="auto"/>
        <w:ind w:left="714" w:hanging="357"/>
        <w:rPr>
          <w:rFonts w:asciiTheme="minorHAnsi" w:eastAsiaTheme="minorHAnsi" w:hAnsiTheme="minorHAnsi" w:cstheme="minorBidi"/>
        </w:rPr>
      </w:pPr>
      <w:r w:rsidRPr="006C0831">
        <w:rPr>
          <w:rFonts w:asciiTheme="minorHAnsi" w:eastAsiaTheme="minorHAnsi" w:hAnsiTheme="minorHAnsi" w:cstheme="minorBidi"/>
          <w:kern w:val="0"/>
          <w:szCs w:val="22"/>
        </w:rPr>
        <w:t>Collaborates with those responsible for ongoing systems and software life cycle management to select, adopt and adapt working practices.</w:t>
      </w:r>
    </w:p>
    <w:p w14:paraId="3F6FBB79" w14:textId="77777777" w:rsidR="006C0831" w:rsidRDefault="006D6C10" w:rsidP="006C0831">
      <w:pPr>
        <w:pStyle w:val="Bulletsstyle"/>
        <w:numPr>
          <w:ilvl w:val="0"/>
          <w:numId w:val="13"/>
        </w:numPr>
        <w:spacing w:before="0" w:line="288" w:lineRule="auto"/>
        <w:ind w:left="714" w:hanging="357"/>
        <w:rPr>
          <w:rFonts w:asciiTheme="minorHAnsi" w:eastAsiaTheme="minorHAnsi" w:hAnsiTheme="minorHAnsi" w:cstheme="minorBidi"/>
        </w:rPr>
      </w:pPr>
      <w:r w:rsidRPr="006C0831">
        <w:rPr>
          <w:rFonts w:asciiTheme="minorHAnsi" w:eastAsiaTheme="minorHAnsi" w:hAnsiTheme="minorHAnsi" w:cstheme="minorBidi"/>
        </w:rPr>
        <w:t>Supports deployment of the working environment for systems and software life cycle working practices.</w:t>
      </w:r>
    </w:p>
    <w:p w14:paraId="272710EF" w14:textId="77777777" w:rsidR="006C0831" w:rsidRDefault="006D6C10" w:rsidP="006C0831">
      <w:pPr>
        <w:pStyle w:val="Bulletsstyle"/>
        <w:numPr>
          <w:ilvl w:val="0"/>
          <w:numId w:val="13"/>
        </w:numPr>
        <w:spacing w:before="0" w:line="288" w:lineRule="auto"/>
        <w:ind w:left="714" w:hanging="357"/>
        <w:rPr>
          <w:rFonts w:asciiTheme="minorHAnsi" w:eastAsiaTheme="minorHAnsi" w:hAnsiTheme="minorHAnsi" w:cstheme="minorBidi"/>
        </w:rPr>
      </w:pPr>
      <w:r w:rsidRPr="006C0831">
        <w:rPr>
          <w:rFonts w:asciiTheme="minorHAnsi" w:eastAsiaTheme="minorHAnsi" w:hAnsiTheme="minorHAnsi" w:cstheme="minorBidi"/>
        </w:rPr>
        <w:t>Provides effective feedback to encourage development of the individuals and teams responsible for systems and software life cycle working practices. Provides guidance and makes suggestions to support continual improvement and learning approach.</w:t>
      </w:r>
    </w:p>
    <w:p w14:paraId="3AFD653F" w14:textId="2B604440" w:rsidR="006D6C10" w:rsidRPr="006C0831" w:rsidRDefault="006D6C10" w:rsidP="006C0831">
      <w:pPr>
        <w:pStyle w:val="Bulletsstyle"/>
        <w:numPr>
          <w:ilvl w:val="0"/>
          <w:numId w:val="13"/>
        </w:numPr>
        <w:spacing w:before="0" w:line="288" w:lineRule="auto"/>
        <w:ind w:left="714" w:hanging="357"/>
        <w:rPr>
          <w:rFonts w:asciiTheme="minorHAnsi" w:eastAsiaTheme="minorHAnsi" w:hAnsiTheme="minorHAnsi" w:cstheme="minorBidi"/>
        </w:rPr>
      </w:pPr>
      <w:r w:rsidRPr="006C0831">
        <w:rPr>
          <w:rFonts w:asciiTheme="minorHAnsi" w:eastAsiaTheme="minorHAnsi" w:hAnsiTheme="minorHAnsi" w:cstheme="minorBidi"/>
        </w:rPr>
        <w:lastRenderedPageBreak/>
        <w:t>Contributes to identifying new domains within the organisation where systems and software life cycle working practices can be deployed.</w:t>
      </w:r>
    </w:p>
    <w:p w14:paraId="04BF7054" w14:textId="5B683BE2" w:rsidR="0008130A" w:rsidRDefault="0008130A" w:rsidP="006D6C10">
      <w:pPr>
        <w:pStyle w:val="Heading3"/>
      </w:pPr>
      <w:r>
        <w:t xml:space="preserve">Configuration Management (CFMG) Level </w:t>
      </w:r>
      <w:r w:rsidR="006D6C10">
        <w:t>5</w:t>
      </w:r>
    </w:p>
    <w:p w14:paraId="462D2BA0" w14:textId="77777777" w:rsidR="006D6C10" w:rsidRPr="006D6C10" w:rsidRDefault="006D6C10" w:rsidP="006C0831">
      <w:pPr>
        <w:pStyle w:val="Heading3"/>
        <w:numPr>
          <w:ilvl w:val="0"/>
          <w:numId w:val="16"/>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Plans the capture and management of CIs and related information.</w:t>
      </w:r>
    </w:p>
    <w:p w14:paraId="4DEF63E7" w14:textId="77777777" w:rsidR="006D6C10" w:rsidRPr="006D6C10" w:rsidRDefault="006D6C10" w:rsidP="006C0831">
      <w:pPr>
        <w:pStyle w:val="Heading3"/>
        <w:numPr>
          <w:ilvl w:val="0"/>
          <w:numId w:val="14"/>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Agrees scope of configuration management processes and the configuration items (CIs) and related information to be controlled.</w:t>
      </w:r>
    </w:p>
    <w:p w14:paraId="73D87965" w14:textId="77777777" w:rsidR="006D6C10" w:rsidRPr="006D6C10" w:rsidRDefault="006D6C10" w:rsidP="006C0831">
      <w:pPr>
        <w:pStyle w:val="Heading3"/>
        <w:numPr>
          <w:ilvl w:val="0"/>
          <w:numId w:val="14"/>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Identifies, evaluates and manages the adoption of appropriate tools, techniques and processes (including automation) for configuration management.</w:t>
      </w:r>
    </w:p>
    <w:p w14:paraId="36ED567C" w14:textId="77777777" w:rsidR="006D6C10" w:rsidRDefault="006D6C10" w:rsidP="006C0831">
      <w:pPr>
        <w:pStyle w:val="Heading3"/>
        <w:numPr>
          <w:ilvl w:val="0"/>
          <w:numId w:val="14"/>
        </w:numPr>
        <w:spacing w:before="60" w:after="60" w:line="288" w:lineRule="auto"/>
        <w:ind w:left="714" w:hanging="357"/>
        <w:rPr>
          <w:rFonts w:ascii="Verdana Pro" w:eastAsia="Calibri" w:hAnsi="Verdana Pro" w:cs="Arial"/>
          <w:b w:val="0"/>
          <w:bCs w:val="0"/>
          <w:kern w:val="28"/>
          <w:szCs w:val="20"/>
        </w:rPr>
      </w:pPr>
      <w:r w:rsidRPr="006D6C10">
        <w:rPr>
          <w:rFonts w:ascii="Verdana Pro" w:eastAsia="Calibri" w:hAnsi="Verdana Pro" w:cs="Arial"/>
          <w:b w:val="0"/>
          <w:bCs w:val="0"/>
          <w:kern w:val="28"/>
          <w:szCs w:val="20"/>
        </w:rPr>
        <w:t xml:space="preserve">Contributes to the development of configuration management strategies, policies, standards, and guidelines. </w:t>
      </w:r>
    </w:p>
    <w:p w14:paraId="7664F33D" w14:textId="6B038956" w:rsidR="00AE2D80" w:rsidRPr="00F773CD" w:rsidRDefault="00AE2D80" w:rsidP="006D6C10">
      <w:pPr>
        <w:pStyle w:val="Heading3"/>
      </w:pPr>
      <w:r>
        <w:t xml:space="preserve">Information Security (SCTY) Level </w:t>
      </w:r>
      <w:r w:rsidR="006D6C10">
        <w:t>4</w:t>
      </w:r>
    </w:p>
    <w:bookmarkEnd w:id="2"/>
    <w:p w14:paraId="5D6CB2C3" w14:textId="77777777" w:rsidR="006D6C10" w:rsidRPr="006D6C10" w:rsidRDefault="006D6C10" w:rsidP="006C0831">
      <w:pPr>
        <w:pStyle w:val="Heading3"/>
        <w:numPr>
          <w:ilvl w:val="0"/>
          <w:numId w:val="17"/>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Provides guidance on the application and operation of elementary physical, procedural and technical security controls.</w:t>
      </w:r>
    </w:p>
    <w:p w14:paraId="2E12B9E8" w14:textId="77777777" w:rsidR="006D6C10" w:rsidRPr="006D6C10" w:rsidRDefault="006D6C10" w:rsidP="006C0831">
      <w:pPr>
        <w:pStyle w:val="Heading3"/>
        <w:numPr>
          <w:ilvl w:val="0"/>
          <w:numId w:val="17"/>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Explains the purpose of security controls and performs security risk and business impact analysis for medium complexity information systems.</w:t>
      </w:r>
    </w:p>
    <w:p w14:paraId="1F72D5AC" w14:textId="77777777" w:rsidR="006D6C10" w:rsidRPr="006D6C10" w:rsidRDefault="006D6C10" w:rsidP="006C0831">
      <w:pPr>
        <w:pStyle w:val="Heading3"/>
        <w:numPr>
          <w:ilvl w:val="0"/>
          <w:numId w:val="17"/>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Identifies risks that arise from potential technical solution architectures. Designs alternate solutions or countermeasures and ensures they mitigate identified risks.</w:t>
      </w:r>
    </w:p>
    <w:p w14:paraId="456F5B86" w14:textId="77777777" w:rsidR="006D6C10" w:rsidRDefault="006D6C10" w:rsidP="006C0831">
      <w:pPr>
        <w:pStyle w:val="Heading3"/>
        <w:numPr>
          <w:ilvl w:val="0"/>
          <w:numId w:val="17"/>
        </w:numPr>
        <w:spacing w:before="60" w:after="60" w:line="288" w:lineRule="auto"/>
        <w:ind w:left="714" w:hanging="357"/>
        <w:rPr>
          <w:rFonts w:asciiTheme="minorHAnsi" w:eastAsiaTheme="minorHAnsi" w:hAnsiTheme="minorHAnsi" w:cstheme="minorBidi"/>
          <w:b w:val="0"/>
          <w:bCs w:val="0"/>
        </w:rPr>
      </w:pPr>
      <w:r w:rsidRPr="006D6C10">
        <w:rPr>
          <w:rFonts w:asciiTheme="minorHAnsi" w:eastAsiaTheme="minorHAnsi" w:hAnsiTheme="minorHAnsi" w:cstheme="minorBidi"/>
          <w:b w:val="0"/>
          <w:bCs w:val="0"/>
        </w:rPr>
        <w:t xml:space="preserve">Investigates suspected attacks and supports security incident management. </w:t>
      </w:r>
    </w:p>
    <w:p w14:paraId="33DCE9D0" w14:textId="495B0F86" w:rsidR="001C711B" w:rsidRDefault="001C711B" w:rsidP="006D6C10">
      <w:pPr>
        <w:pStyle w:val="Heading3"/>
      </w:pPr>
      <w:r w:rsidRPr="001C711B">
        <w:t>Levels of responsibility</w:t>
      </w:r>
    </w:p>
    <w:p w14:paraId="50CA300D" w14:textId="77777777" w:rsidR="00D02F32" w:rsidRDefault="00D02F32" w:rsidP="00D02F32">
      <w:pPr>
        <w:pStyle w:val="PDHeading4"/>
        <w:tabs>
          <w:tab w:val="left" w:pos="3505"/>
        </w:tabs>
      </w:pPr>
      <w:r>
        <w:t>Autonomy – Level 5</w:t>
      </w:r>
    </w:p>
    <w:p w14:paraId="77A232F8" w14:textId="77777777" w:rsidR="00D02F32" w:rsidRDefault="00D02F32" w:rsidP="00D02F32">
      <w:pPr>
        <w:pStyle w:val="Bulletsstyle"/>
        <w:spacing w:before="60" w:after="60" w:line="288" w:lineRule="auto"/>
      </w:pPr>
      <w:r>
        <w:t xml:space="preserve">Works under broad direction. </w:t>
      </w:r>
    </w:p>
    <w:p w14:paraId="248A428A" w14:textId="77777777" w:rsidR="00D02F32" w:rsidRDefault="00D02F32" w:rsidP="00D02F32">
      <w:pPr>
        <w:pStyle w:val="Bulletsstyle"/>
        <w:spacing w:before="60" w:after="60" w:line="288" w:lineRule="auto"/>
      </w:pPr>
      <w:r>
        <w:t xml:space="preserve">Work is often self-initiated. </w:t>
      </w:r>
    </w:p>
    <w:p w14:paraId="67277814" w14:textId="77777777" w:rsidR="00D02F32" w:rsidRDefault="00D02F32" w:rsidP="00D02F32">
      <w:pPr>
        <w:pStyle w:val="Bulletsstyle"/>
        <w:spacing w:before="60" w:after="60" w:line="288" w:lineRule="auto"/>
      </w:pPr>
      <w:r>
        <w:t xml:space="preserve">Is fully responsible for meeting allocated technical and/or group objectives. </w:t>
      </w:r>
    </w:p>
    <w:p w14:paraId="70369033" w14:textId="77777777" w:rsidR="00D02F32" w:rsidRDefault="00D02F32" w:rsidP="00D02F32">
      <w:pPr>
        <w:pStyle w:val="Bulletsstyle"/>
        <w:spacing w:before="60" w:after="60" w:line="288" w:lineRule="auto"/>
      </w:pPr>
      <w:r>
        <w:t xml:space="preserve">Analyses, designs, plans, executes, and evaluates work to time, cost and quality targets. </w:t>
      </w:r>
    </w:p>
    <w:p w14:paraId="7846D4CF" w14:textId="77777777" w:rsidR="00D02F32" w:rsidRDefault="00D02F32" w:rsidP="00D02F32">
      <w:pPr>
        <w:pStyle w:val="Bulletsstyle"/>
        <w:spacing w:before="60" w:after="60" w:line="288" w:lineRule="auto"/>
      </w:pPr>
      <w:r>
        <w:t>Establishes milestones and has a significant role in the assignment of tasks and/or responsibilities.</w:t>
      </w:r>
    </w:p>
    <w:p w14:paraId="2AF48B9C" w14:textId="77777777" w:rsidR="000E300A" w:rsidRPr="001C711B" w:rsidRDefault="000E300A" w:rsidP="000E300A">
      <w:pPr>
        <w:pStyle w:val="PDHeading4"/>
        <w:tabs>
          <w:tab w:val="left" w:pos="3505"/>
        </w:tabs>
      </w:pPr>
      <w:r>
        <w:t>Influence – Level 4</w:t>
      </w:r>
    </w:p>
    <w:p w14:paraId="029C9C5E" w14:textId="77777777" w:rsidR="000E300A" w:rsidRDefault="000E300A" w:rsidP="000E300A">
      <w:pPr>
        <w:pStyle w:val="ListParagraph"/>
        <w:numPr>
          <w:ilvl w:val="0"/>
          <w:numId w:val="8"/>
        </w:numPr>
      </w:pPr>
      <w:r>
        <w:t xml:space="preserve">Influences customers, suppliers and partners at account level. </w:t>
      </w:r>
    </w:p>
    <w:p w14:paraId="4D277A92" w14:textId="77777777" w:rsidR="000E300A" w:rsidRDefault="000E300A" w:rsidP="000E300A">
      <w:pPr>
        <w:pStyle w:val="ListParagraph"/>
        <w:numPr>
          <w:ilvl w:val="0"/>
          <w:numId w:val="8"/>
        </w:numPr>
      </w:pPr>
      <w:r>
        <w:lastRenderedPageBreak/>
        <w:t xml:space="preserve">Makes decisions which influence the success of projects and team objectives. </w:t>
      </w:r>
    </w:p>
    <w:p w14:paraId="7E960443" w14:textId="77777777" w:rsidR="000E300A" w:rsidRDefault="000E300A" w:rsidP="000E300A">
      <w:pPr>
        <w:pStyle w:val="ListParagraph"/>
        <w:numPr>
          <w:ilvl w:val="0"/>
          <w:numId w:val="8"/>
        </w:numPr>
      </w:pPr>
      <w:r>
        <w:t xml:space="preserve">May have some responsibility for the work of others and for the allocation of resources. </w:t>
      </w:r>
    </w:p>
    <w:p w14:paraId="5C2E6B49" w14:textId="77777777" w:rsidR="000E300A" w:rsidRDefault="000E300A" w:rsidP="000E300A">
      <w:pPr>
        <w:pStyle w:val="ListParagraph"/>
        <w:numPr>
          <w:ilvl w:val="0"/>
          <w:numId w:val="8"/>
        </w:numPr>
      </w:pPr>
      <w:r>
        <w:t xml:space="preserve">Engages with and contributes to the work of cross-functional teams to ensure that customers and user needs are being met throughout the deliverable/scope of work. </w:t>
      </w:r>
    </w:p>
    <w:p w14:paraId="7BD6AD8D" w14:textId="77777777" w:rsidR="000E300A" w:rsidRDefault="000E300A" w:rsidP="000E300A">
      <w:pPr>
        <w:pStyle w:val="ListParagraph"/>
        <w:numPr>
          <w:ilvl w:val="0"/>
          <w:numId w:val="8"/>
        </w:numPr>
      </w:pPr>
      <w:r>
        <w:t xml:space="preserve">Facilitates collaboration between stakeholders who share common objectives. </w:t>
      </w:r>
    </w:p>
    <w:p w14:paraId="75CCF8D9" w14:textId="77777777" w:rsidR="000E300A" w:rsidRPr="00045765" w:rsidRDefault="000E300A" w:rsidP="000E300A">
      <w:pPr>
        <w:pStyle w:val="ListParagraph"/>
        <w:numPr>
          <w:ilvl w:val="0"/>
          <w:numId w:val="8"/>
        </w:numPr>
      </w:pPr>
      <w:r>
        <w:t>Participates in external activities related to own specialism.</w:t>
      </w:r>
    </w:p>
    <w:p w14:paraId="2BA76A1A" w14:textId="77777777" w:rsidR="00C02932" w:rsidRDefault="00C02932" w:rsidP="00C02932">
      <w:pPr>
        <w:pStyle w:val="PDHeading4"/>
        <w:tabs>
          <w:tab w:val="left" w:pos="3505"/>
        </w:tabs>
      </w:pPr>
      <w:r>
        <w:t>Complexity – Level 5</w:t>
      </w:r>
    </w:p>
    <w:p w14:paraId="509E4182" w14:textId="77777777" w:rsidR="00C02932" w:rsidRDefault="00C02932" w:rsidP="00C02932">
      <w:pPr>
        <w:pStyle w:val="Bulletsstyle"/>
        <w:spacing w:before="60" w:after="60" w:line="288" w:lineRule="auto"/>
      </w:pPr>
      <w:r>
        <w:t xml:space="preserve">Implements and executes policies aligned to strategic plans. </w:t>
      </w:r>
    </w:p>
    <w:p w14:paraId="6243FECD" w14:textId="77777777" w:rsidR="00C02932" w:rsidRDefault="00C02932" w:rsidP="00C02932">
      <w:pPr>
        <w:pStyle w:val="Bulletsstyle"/>
        <w:spacing w:before="60" w:after="60" w:line="288" w:lineRule="auto"/>
      </w:pPr>
      <w:r>
        <w:t xml:space="preserve">Performs an extensive range and variety of complex technical and/or professional work activities. </w:t>
      </w:r>
    </w:p>
    <w:p w14:paraId="6592F1DC" w14:textId="77777777" w:rsidR="00C02932" w:rsidRDefault="00C02932" w:rsidP="00C02932">
      <w:pPr>
        <w:pStyle w:val="Bulletsstyle"/>
        <w:spacing w:before="60" w:after="60" w:line="288" w:lineRule="auto"/>
      </w:pPr>
      <w:r>
        <w:t xml:space="preserve">Undertakes work which requires the application of fundamental principles in a wide and often unpredictable range of contexts. </w:t>
      </w:r>
    </w:p>
    <w:p w14:paraId="51557AA2" w14:textId="77777777" w:rsidR="00C02932" w:rsidRDefault="00C02932" w:rsidP="00C02932">
      <w:pPr>
        <w:pStyle w:val="Bulletsstyle"/>
        <w:spacing w:before="60" w:after="60" w:line="288" w:lineRule="auto"/>
      </w:pPr>
      <w:r>
        <w:t xml:space="preserve">Engages and coordinates with subject matter experts to resolve complex issues as they relate to customer/organisational requirements. </w:t>
      </w:r>
    </w:p>
    <w:p w14:paraId="574E8067" w14:textId="77777777" w:rsidR="00C02932" w:rsidRDefault="00C02932" w:rsidP="00C02932">
      <w:pPr>
        <w:pStyle w:val="Bulletsstyle"/>
        <w:spacing w:before="60" w:after="60" w:line="288" w:lineRule="auto"/>
      </w:pPr>
      <w:r>
        <w:t>Understands the relationships between own specialism and customer/organisational requirements.</w:t>
      </w:r>
    </w:p>
    <w:p w14:paraId="63C06E95" w14:textId="77777777" w:rsidR="00785702" w:rsidRDefault="00785702" w:rsidP="00785702">
      <w:pPr>
        <w:pStyle w:val="PDHeading4"/>
        <w:tabs>
          <w:tab w:val="left" w:pos="3505"/>
        </w:tabs>
      </w:pPr>
      <w:r>
        <w:t>Business skills – Level 4</w:t>
      </w:r>
    </w:p>
    <w:p w14:paraId="685F314E" w14:textId="77777777" w:rsidR="00785702" w:rsidRDefault="00785702" w:rsidP="00785702">
      <w:pPr>
        <w:pStyle w:val="Bulletsstyle"/>
        <w:spacing w:before="60" w:after="60" w:line="288" w:lineRule="auto"/>
        <w:ind w:left="714" w:hanging="357"/>
      </w:pPr>
      <w:r>
        <w:t xml:space="preserve">Communicates fluently, orally and in writing, and can present complex information to both technical and non-technical audiences when engaging with colleagues, users/ customers, suppliers and partners. </w:t>
      </w:r>
    </w:p>
    <w:p w14:paraId="26F35BBF" w14:textId="77777777" w:rsidR="00785702" w:rsidRDefault="00785702" w:rsidP="00785702">
      <w:pPr>
        <w:pStyle w:val="Bulletsstyle"/>
        <w:spacing w:before="60" w:after="60" w:line="288" w:lineRule="auto"/>
        <w:ind w:left="714" w:hanging="357"/>
      </w:pPr>
      <w:r>
        <w:t xml:space="preserve">Selects appropriately from, and assesses the impact of change to applicable standards, methods, tools, applications and processes relevant to own specialism. </w:t>
      </w:r>
    </w:p>
    <w:p w14:paraId="61138321" w14:textId="77777777" w:rsidR="00785702" w:rsidRDefault="00785702" w:rsidP="00785702">
      <w:pPr>
        <w:pStyle w:val="Bulletsstyle"/>
        <w:spacing w:before="60" w:after="60" w:line="288" w:lineRule="auto"/>
        <w:ind w:left="714" w:hanging="357"/>
      </w:pPr>
      <w:r>
        <w:t xml:space="preserve">Demonstrates an awareness of risk and takes an analytical approach to work. </w:t>
      </w:r>
    </w:p>
    <w:p w14:paraId="449A7389" w14:textId="77777777" w:rsidR="00785702" w:rsidRDefault="00785702" w:rsidP="00785702">
      <w:pPr>
        <w:pStyle w:val="Bulletsstyle"/>
        <w:spacing w:before="60" w:after="60" w:line="288" w:lineRule="auto"/>
        <w:ind w:left="714" w:hanging="357"/>
      </w:pPr>
      <w:r>
        <w:t xml:space="preserve">Maximises the capabilities of applications for their role and evaluates and supports the use of new technologies and digital tools. </w:t>
      </w:r>
    </w:p>
    <w:p w14:paraId="744F33D8" w14:textId="77777777" w:rsidR="00785702" w:rsidRDefault="00785702" w:rsidP="00785702">
      <w:pPr>
        <w:pStyle w:val="Bulletsstyle"/>
        <w:spacing w:before="60" w:after="60" w:line="288" w:lineRule="auto"/>
        <w:ind w:left="714" w:hanging="357"/>
      </w:pPr>
      <w:r>
        <w:t xml:space="preserve">Contributes specialist expertise to requirements definition in support of proposals. </w:t>
      </w:r>
    </w:p>
    <w:p w14:paraId="1D84E6F2" w14:textId="77777777" w:rsidR="00785702" w:rsidRDefault="00785702" w:rsidP="00785702">
      <w:pPr>
        <w:pStyle w:val="Bulletsstyle"/>
        <w:spacing w:before="60" w:after="60" w:line="288" w:lineRule="auto"/>
        <w:ind w:left="714" w:hanging="357"/>
      </w:pPr>
      <w:r>
        <w:t xml:space="preserve">Shares knowledge and experience in own specialism to help others. </w:t>
      </w:r>
    </w:p>
    <w:p w14:paraId="0E9CA6F6" w14:textId="77777777" w:rsidR="00785702" w:rsidRDefault="00785702" w:rsidP="00785702">
      <w:pPr>
        <w:pStyle w:val="Bulletsstyle"/>
        <w:spacing w:before="60" w:after="60" w:line="288" w:lineRule="auto"/>
        <w:ind w:left="714" w:hanging="357"/>
      </w:pPr>
      <w:r>
        <w:lastRenderedPageBreak/>
        <w:t xml:space="preserve">Learning and professional development — maintains an awareness of developing practices and their application and takes responsibility for driving own development. </w:t>
      </w:r>
    </w:p>
    <w:p w14:paraId="2ABDE510" w14:textId="77777777" w:rsidR="00785702" w:rsidRDefault="00785702" w:rsidP="00785702">
      <w:pPr>
        <w:pStyle w:val="Bulletsstyle"/>
        <w:spacing w:before="60" w:after="60" w:line="288" w:lineRule="auto"/>
        <w:ind w:left="714" w:hanging="357"/>
      </w:pPr>
      <w:r>
        <w:t xml:space="preserve">Takes the initiative in identifying and negotiating their own and supporting team members’ appropriate development opportunities. </w:t>
      </w:r>
    </w:p>
    <w:p w14:paraId="52096B68" w14:textId="77777777" w:rsidR="00785702" w:rsidRDefault="00785702" w:rsidP="00785702">
      <w:pPr>
        <w:pStyle w:val="Bulletsstyle"/>
        <w:spacing w:before="60" w:after="60" w:line="288" w:lineRule="auto"/>
        <w:ind w:left="714" w:hanging="357"/>
      </w:pPr>
      <w:r>
        <w:t xml:space="preserve">Contributes to the development of others. </w:t>
      </w:r>
    </w:p>
    <w:p w14:paraId="4E6A5164" w14:textId="77777777" w:rsidR="00785702" w:rsidRDefault="00785702" w:rsidP="00785702">
      <w:pPr>
        <w:pStyle w:val="Bulletsstyle"/>
        <w:spacing w:before="60" w:after="60" w:line="288" w:lineRule="auto"/>
        <w:ind w:left="714" w:hanging="357"/>
      </w:pPr>
      <w:r>
        <w:t>Security, privacy, and ethics — fully understands the importance and application to own work and the operation of the organisation.</w:t>
      </w:r>
    </w:p>
    <w:p w14:paraId="5FC156A6" w14:textId="77777777" w:rsidR="00785702" w:rsidRDefault="00785702" w:rsidP="00785702">
      <w:pPr>
        <w:pStyle w:val="Bulletsstyle"/>
        <w:spacing w:before="60" w:after="60" w:line="288" w:lineRule="auto"/>
        <w:ind w:left="714" w:hanging="357"/>
      </w:pPr>
      <w:r>
        <w:t>Engages or works with specialists as necessary.</w:t>
      </w:r>
    </w:p>
    <w:p w14:paraId="3205E815" w14:textId="77777777" w:rsidR="00785702" w:rsidRPr="002B7675" w:rsidRDefault="00785702" w:rsidP="00785702">
      <w:pPr>
        <w:pStyle w:val="Bulletsstyle"/>
        <w:numPr>
          <w:ilvl w:val="0"/>
          <w:numId w:val="0"/>
        </w:numPr>
        <w:spacing w:before="60" w:after="60" w:line="288" w:lineRule="auto"/>
        <w:ind w:left="720" w:hanging="360"/>
      </w:pPr>
    </w:p>
    <w:p w14:paraId="0B00B0E4" w14:textId="77777777" w:rsidR="00B34BBB" w:rsidRPr="003D4F4D" w:rsidRDefault="00B34BBB" w:rsidP="00B34BBB">
      <w:pPr>
        <w:spacing w:after="120"/>
        <w:rPr>
          <w:rFonts w:asciiTheme="majorHAnsi" w:hAnsiTheme="majorHAnsi"/>
          <w:b/>
          <w:color w:val="002060"/>
          <w:szCs w:val="24"/>
        </w:rPr>
      </w:pPr>
      <w:r w:rsidRPr="003D4F4D">
        <w:rPr>
          <w:rFonts w:asciiTheme="majorHAnsi" w:hAnsiTheme="majorHAnsi"/>
          <w:b/>
          <w:color w:val="002060"/>
          <w:szCs w:val="24"/>
        </w:rPr>
        <w:t xml:space="preserve">Knowledge </w:t>
      </w:r>
      <w:r>
        <w:rPr>
          <w:rFonts w:asciiTheme="majorHAnsi" w:hAnsiTheme="majorHAnsi"/>
          <w:b/>
          <w:color w:val="002060"/>
          <w:szCs w:val="24"/>
        </w:rPr>
        <w:t xml:space="preserve">- </w:t>
      </w:r>
      <w:r w:rsidRPr="003D4F4D">
        <w:rPr>
          <w:rFonts w:asciiTheme="majorHAnsi" w:hAnsiTheme="majorHAnsi"/>
          <w:b/>
          <w:color w:val="002060"/>
          <w:szCs w:val="24"/>
        </w:rPr>
        <w:t>Level 4</w:t>
      </w:r>
    </w:p>
    <w:p w14:paraId="348EE190" w14:textId="77777777" w:rsidR="00B34BBB" w:rsidRPr="00B34BBB" w:rsidRDefault="00B34BBB" w:rsidP="00B34BBB">
      <w:pPr>
        <w:pStyle w:val="ListParagraph"/>
        <w:numPr>
          <w:ilvl w:val="0"/>
          <w:numId w:val="19"/>
        </w:numPr>
        <w:spacing w:before="0" w:after="200" w:line="256" w:lineRule="auto"/>
        <w:rPr>
          <w:szCs w:val="24"/>
        </w:rPr>
      </w:pPr>
      <w:r w:rsidRPr="00B34BBB">
        <w:rPr>
          <w:szCs w:val="24"/>
        </w:rPr>
        <w:t>Has a thorough understanding of recognised generic industry bodies of knowledge and specialist bodies of knowledge as necessary.</w:t>
      </w:r>
    </w:p>
    <w:p w14:paraId="687016C5" w14:textId="77777777" w:rsidR="00B34BBB" w:rsidRPr="00B34BBB" w:rsidRDefault="00B34BBB" w:rsidP="00B34BBB">
      <w:pPr>
        <w:pStyle w:val="ListParagraph"/>
        <w:numPr>
          <w:ilvl w:val="0"/>
          <w:numId w:val="19"/>
        </w:numPr>
        <w:spacing w:before="0" w:after="200" w:line="256" w:lineRule="auto"/>
        <w:rPr>
          <w:szCs w:val="24"/>
        </w:rPr>
      </w:pPr>
      <w:r w:rsidRPr="00B34BBB">
        <w:rPr>
          <w:szCs w:val="24"/>
        </w:rPr>
        <w:t>Has gained a thorough knowledge of the domain of the organisation.</w:t>
      </w:r>
    </w:p>
    <w:p w14:paraId="2F266C05" w14:textId="77777777" w:rsidR="00B34BBB" w:rsidRPr="00B34BBB" w:rsidRDefault="00B34BBB" w:rsidP="00B34BBB">
      <w:pPr>
        <w:pStyle w:val="ListParagraph"/>
        <w:numPr>
          <w:ilvl w:val="0"/>
          <w:numId w:val="19"/>
        </w:numPr>
        <w:spacing w:before="0" w:after="200" w:line="256" w:lineRule="auto"/>
        <w:rPr>
          <w:szCs w:val="24"/>
        </w:rPr>
      </w:pPr>
      <w:proofErr w:type="gramStart"/>
      <w:r w:rsidRPr="00B34BBB">
        <w:rPr>
          <w:szCs w:val="24"/>
        </w:rPr>
        <w:t>Is able to</w:t>
      </w:r>
      <w:proofErr w:type="gramEnd"/>
      <w:r w:rsidRPr="00B34BBB">
        <w:rPr>
          <w:szCs w:val="24"/>
        </w:rPr>
        <w:t xml:space="preserve"> apply the knowledge effectively in unfamiliar situations and actively maintains own knowledge and shares with others.</w:t>
      </w:r>
    </w:p>
    <w:p w14:paraId="700AB73B" w14:textId="77777777" w:rsidR="00B34BBB" w:rsidRPr="00B34BBB" w:rsidRDefault="00B34BBB" w:rsidP="00B34BBB">
      <w:pPr>
        <w:pStyle w:val="ListParagraph"/>
        <w:numPr>
          <w:ilvl w:val="0"/>
          <w:numId w:val="19"/>
        </w:numPr>
        <w:spacing w:before="0" w:after="200" w:line="256" w:lineRule="auto"/>
        <w:rPr>
          <w:szCs w:val="24"/>
        </w:rPr>
      </w:pPr>
      <w:r w:rsidRPr="00B34BBB">
        <w:rPr>
          <w:szCs w:val="24"/>
        </w:rPr>
        <w:t>Rapidly absorbs and critically assesses new information and applies it effectively.</w:t>
      </w:r>
    </w:p>
    <w:p w14:paraId="5688E1C4" w14:textId="77935B5C" w:rsidR="00CC5FDE" w:rsidRPr="00BE6537" w:rsidRDefault="00CC5FDE" w:rsidP="00CC5FDE">
      <w:pPr>
        <w:pStyle w:val="Heading3"/>
        <w:rPr>
          <w:sz w:val="28"/>
          <w:szCs w:val="28"/>
        </w:rPr>
      </w:pPr>
      <w:r w:rsidRPr="00BE6537">
        <w:rPr>
          <w:sz w:val="28"/>
          <w:szCs w:val="28"/>
        </w:rPr>
        <w:t xml:space="preserve">Embedding </w:t>
      </w:r>
      <w:bookmarkStart w:id="3"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3"/>
    </w:p>
    <w:p w14:paraId="53F5E702" w14:textId="77777777" w:rsidR="00BE6537" w:rsidRPr="00BE6537" w:rsidRDefault="00BE6537" w:rsidP="006C0831">
      <w:pPr>
        <w:numPr>
          <w:ilvl w:val="0"/>
          <w:numId w:val="3"/>
        </w:numPr>
        <w:suppressAutoHyphens/>
        <w:autoSpaceDE w:val="0"/>
        <w:autoSpaceDN w:val="0"/>
        <w:adjustRightInd w:val="0"/>
        <w:ind w:left="723"/>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1BAC0F52" w14:textId="77777777" w:rsidR="00BE6537" w:rsidRPr="00BE6537" w:rsidRDefault="00BE6537" w:rsidP="006C0831">
      <w:pPr>
        <w:numPr>
          <w:ilvl w:val="0"/>
          <w:numId w:val="3"/>
        </w:numPr>
        <w:suppressAutoHyphens/>
        <w:autoSpaceDE w:val="0"/>
        <w:autoSpaceDN w:val="0"/>
        <w:adjustRightInd w:val="0"/>
        <w:spacing w:line="240" w:lineRule="auto"/>
        <w:ind w:left="723"/>
        <w:textAlignment w:val="center"/>
        <w:rPr>
          <w:rFonts w:eastAsia="Times New Roman" w:cs="Arial"/>
          <w:kern w:val="28"/>
          <w:lang w:val="en-US"/>
        </w:rPr>
      </w:pPr>
      <w:r w:rsidRPr="00BE6537">
        <w:rPr>
          <w:rFonts w:eastAsia="Times New Roman" w:cs="Arial"/>
          <w:kern w:val="28"/>
          <w:lang w:val="en-US"/>
        </w:rPr>
        <w:t xml:space="preserve">Building more experience, knowledge, </w:t>
      </w:r>
      <w:proofErr w:type="gramStart"/>
      <w:r w:rsidRPr="00BE6537">
        <w:rPr>
          <w:rFonts w:eastAsia="Times New Roman" w:cs="Arial"/>
          <w:kern w:val="28"/>
          <w:lang w:val="en-US"/>
        </w:rPr>
        <w:t>skills</w:t>
      </w:r>
      <w:proofErr w:type="gramEnd"/>
      <w:r w:rsidRPr="00BE6537">
        <w:rPr>
          <w:rFonts w:eastAsia="Times New Roman" w:cs="Arial"/>
          <w:kern w:val="28"/>
          <w:lang w:val="en-US"/>
        </w:rPr>
        <w:t xml:space="preserve">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59311EB3" w14:textId="77777777" w:rsidR="00141BC1" w:rsidRPr="00141BC1" w:rsidRDefault="00141BC1" w:rsidP="006C0831">
      <w:pPr>
        <w:numPr>
          <w:ilvl w:val="0"/>
          <w:numId w:val="3"/>
        </w:numPr>
        <w:suppressAutoHyphens/>
        <w:autoSpaceDE w:val="0"/>
        <w:autoSpaceDN w:val="0"/>
        <w:adjustRightInd w:val="0"/>
        <w:ind w:left="723"/>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141BC1" w:rsidRDefault="00141BC1" w:rsidP="006C0831">
      <w:pPr>
        <w:numPr>
          <w:ilvl w:val="0"/>
          <w:numId w:val="3"/>
        </w:numPr>
        <w:suppressAutoHyphens/>
        <w:autoSpaceDE w:val="0"/>
        <w:autoSpaceDN w:val="0"/>
        <w:adjustRightInd w:val="0"/>
        <w:ind w:left="723"/>
        <w:textAlignment w:val="center"/>
        <w:rPr>
          <w:rFonts w:eastAsia="Times New Roman" w:cs="Arial"/>
          <w:kern w:val="28"/>
          <w:lang w:val="en-US"/>
        </w:rPr>
      </w:pPr>
      <w:r w:rsidRPr="00141BC1">
        <w:rPr>
          <w:rFonts w:eastAsia="Times New Roman" w:cs="Arial"/>
          <w:kern w:val="28"/>
          <w:lang w:val="en-US"/>
        </w:rPr>
        <w:t xml:space="preserve">Ensure you understand, </w:t>
      </w:r>
      <w:proofErr w:type="gramStart"/>
      <w:r w:rsidRPr="00141BC1">
        <w:rPr>
          <w:rFonts w:eastAsia="Times New Roman" w:cs="Arial"/>
          <w:kern w:val="28"/>
          <w:lang w:val="en-US"/>
        </w:rPr>
        <w:t>follow</w:t>
      </w:r>
      <w:proofErr w:type="gramEnd"/>
      <w:r w:rsidRPr="00141BC1">
        <w:rPr>
          <w:rFonts w:eastAsia="Times New Roman" w:cs="Arial"/>
          <w:kern w:val="28"/>
          <w:lang w:val="en-US"/>
        </w:rPr>
        <w:t xml:space="preserve"> and implement all Health, Safety and Security and wellbeing policies and procedures.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7CDC1564" w14:textId="77777777" w:rsidR="00141BC1" w:rsidRPr="00141BC1" w:rsidRDefault="00141BC1" w:rsidP="006C0831">
      <w:pPr>
        <w:numPr>
          <w:ilvl w:val="0"/>
          <w:numId w:val="9"/>
        </w:numPr>
        <w:ind w:left="788" w:hanging="425"/>
        <w:contextualSpacing/>
        <w:rPr>
          <w:rFonts w:eastAsia="Calibri" w:cs="Arial"/>
          <w:lang w:val="en-GB"/>
        </w:rPr>
      </w:pPr>
      <w:r w:rsidRPr="00141BC1">
        <w:rPr>
          <w:rFonts w:eastAsia="Calibri" w:cs="Arial"/>
          <w:lang w:val="en-GB"/>
        </w:rPr>
        <w:t>Remain familiar with the relevant provisions of the Emergency Management and Business Continuity Plans that impact your business group/team.</w:t>
      </w:r>
    </w:p>
    <w:p w14:paraId="1B827E01" w14:textId="77777777" w:rsidR="009A73F0" w:rsidRDefault="00141BC1" w:rsidP="006C0831">
      <w:pPr>
        <w:numPr>
          <w:ilvl w:val="0"/>
          <w:numId w:val="9"/>
        </w:numPr>
        <w:ind w:left="788" w:hanging="425"/>
        <w:contextualSpacing/>
        <w:rPr>
          <w:rFonts w:eastAsia="Calibri" w:cs="Arial"/>
          <w:lang w:val="en-GB"/>
        </w:rPr>
      </w:pPr>
      <w:r w:rsidRPr="00141BC1">
        <w:rPr>
          <w:rFonts w:eastAsia="Calibri" w:cs="Arial"/>
          <w:lang w:val="en-GB"/>
        </w:rPr>
        <w:t>Participate in periodic training, reviews and tests of the established Business Continuity Plans and operating procedures.</w:t>
      </w:r>
    </w:p>
    <w:p w14:paraId="22B2B74A" w14:textId="557F9BA2" w:rsidR="009A73F0" w:rsidRPr="000D28A7" w:rsidRDefault="009A73F0" w:rsidP="009A73F0">
      <w:pPr>
        <w:pStyle w:val="Heading3"/>
        <w:rPr>
          <w:sz w:val="28"/>
          <w:szCs w:val="28"/>
        </w:rPr>
      </w:pPr>
      <w:r w:rsidRPr="000D28A7">
        <w:rPr>
          <w:sz w:val="28"/>
          <w:szCs w:val="28"/>
        </w:rPr>
        <w:lastRenderedPageBreak/>
        <w:t>Know-how</w:t>
      </w:r>
    </w:p>
    <w:p w14:paraId="731CF047" w14:textId="3127BA05" w:rsidR="0037751D" w:rsidRDefault="0037751D" w:rsidP="006C0831">
      <w:pPr>
        <w:numPr>
          <w:ilvl w:val="0"/>
          <w:numId w:val="10"/>
        </w:numPr>
        <w:shd w:val="clear" w:color="auto" w:fill="FFFFFF"/>
        <w:ind w:left="714" w:hanging="357"/>
        <w:rPr>
          <w:rFonts w:eastAsia="Times New Roman" w:cs="Calibri"/>
          <w:szCs w:val="24"/>
          <w:bdr w:val="none" w:sz="0" w:space="0" w:color="auto" w:frame="1"/>
          <w:lang w:eastAsia="en-NZ"/>
        </w:rPr>
      </w:pPr>
      <w:bookmarkStart w:id="4" w:name="_Hlk165583085"/>
      <w:r>
        <w:rPr>
          <w:rFonts w:eastAsia="Times New Roman" w:cs="Calibri"/>
          <w:szCs w:val="24"/>
          <w:bdr w:val="none" w:sz="0" w:space="0" w:color="auto" w:frame="1"/>
          <w:lang w:eastAsia="en-NZ"/>
        </w:rPr>
        <w:t>Relevant qualification or equivalent experience in a systems engineer or senior security analyst role.</w:t>
      </w:r>
    </w:p>
    <w:p w14:paraId="383AB9EC" w14:textId="40C4D012" w:rsidR="0037751D" w:rsidRDefault="00701178" w:rsidP="3A336BF1">
      <w:pPr>
        <w:numPr>
          <w:ilvl w:val="0"/>
          <w:numId w:val="10"/>
        </w:numPr>
        <w:shd w:val="clear" w:color="auto" w:fill="FFFFFF" w:themeFill="background1"/>
        <w:ind w:left="714" w:hanging="357"/>
        <w:rPr>
          <w:lang w:eastAsia="en-NZ"/>
        </w:rPr>
      </w:pPr>
      <w:bookmarkStart w:id="5" w:name="_Hlk165583830"/>
      <w:bookmarkEnd w:id="4"/>
      <w:r w:rsidRPr="3A336BF1">
        <w:rPr>
          <w:rFonts w:eastAsia="Times New Roman" w:cs="Calibri"/>
          <w:bdr w:val="none" w:sz="0" w:space="0" w:color="auto" w:frame="1"/>
          <w:lang w:eastAsia="en-NZ"/>
        </w:rPr>
        <w:t>Demonstratable</w:t>
      </w:r>
      <w:bookmarkEnd w:id="5"/>
      <w:r w:rsidR="0037751D" w:rsidRPr="3A336BF1">
        <w:rPr>
          <w:rFonts w:eastAsia="Times New Roman" w:cs="Calibri"/>
          <w:bdr w:val="none" w:sz="0" w:space="0" w:color="auto" w:frame="1"/>
          <w:lang w:eastAsia="en-NZ"/>
        </w:rPr>
        <w:t xml:space="preserve"> </w:t>
      </w:r>
      <w:r w:rsidR="00D02F32" w:rsidRPr="3A336BF1">
        <w:rPr>
          <w:rFonts w:eastAsia="Times New Roman" w:cs="Calibri"/>
          <w:bdr w:val="none" w:sz="0" w:space="0" w:color="auto" w:frame="1"/>
          <w:lang w:eastAsia="en-NZ"/>
        </w:rPr>
        <w:t xml:space="preserve">experience </w:t>
      </w:r>
      <w:r w:rsidR="00364818">
        <w:rPr>
          <w:lang w:eastAsia="en-NZ"/>
        </w:rPr>
        <w:t>across a broad range of security services, including cloud security, data and information security, network security, endpoint security, boundary security, email security, Identity and Access Management, PKI, MDM, MAM, SSO/Federation and SIEM</w:t>
      </w:r>
      <w:r w:rsidR="00EC419C">
        <w:rPr>
          <w:lang w:eastAsia="en-NZ"/>
        </w:rPr>
        <w:t>.</w:t>
      </w:r>
    </w:p>
    <w:p w14:paraId="321605EB" w14:textId="151A29D4" w:rsidR="00A05F1C" w:rsidRPr="00A05F1C" w:rsidRDefault="00A05F1C" w:rsidP="3A336BF1">
      <w:pPr>
        <w:pStyle w:val="ListParagraph"/>
        <w:numPr>
          <w:ilvl w:val="0"/>
          <w:numId w:val="10"/>
        </w:numPr>
        <w:rPr>
          <w:rFonts w:ascii="Verdana" w:hAnsi="Verdana"/>
          <w:sz w:val="22"/>
          <w:lang w:eastAsia="zh-CN"/>
        </w:rPr>
      </w:pPr>
      <w:r w:rsidRPr="3A336BF1">
        <w:rPr>
          <w:rFonts w:ascii="Verdana" w:hAnsi="Verdana"/>
          <w:lang w:eastAsia="zh-CN"/>
        </w:rPr>
        <w:t>Extensive experience in developing and implementing security policies, standards, and guidelines aligned with industry best practices and compliance requirements (e.g., NZISM, PSR, PCI-DSS, ISO27001)</w:t>
      </w:r>
    </w:p>
    <w:p w14:paraId="094E561B" w14:textId="4F99EEE7" w:rsidR="00364818" w:rsidRDefault="00701178" w:rsidP="006C0831">
      <w:pPr>
        <w:numPr>
          <w:ilvl w:val="0"/>
          <w:numId w:val="10"/>
        </w:numPr>
        <w:shd w:val="clear" w:color="auto" w:fill="FFFFFF"/>
        <w:spacing w:after="0" w:line="240" w:lineRule="auto"/>
        <w:rPr>
          <w:lang w:eastAsia="en-NZ"/>
        </w:rPr>
      </w:pPr>
      <w:r>
        <w:rPr>
          <w:rFonts w:eastAsia="Times New Roman" w:cs="Calibri"/>
          <w:szCs w:val="24"/>
          <w:bdr w:val="none" w:sz="0" w:space="0" w:color="auto" w:frame="1"/>
          <w:lang w:eastAsia="en-NZ"/>
        </w:rPr>
        <w:t>Demonstratable</w:t>
      </w:r>
      <w:r w:rsidR="0037751D">
        <w:rPr>
          <w:szCs w:val="24"/>
          <w:lang w:eastAsia="en-NZ"/>
        </w:rPr>
        <w:t xml:space="preserve"> experience in security administration of </w:t>
      </w:r>
      <w:r w:rsidR="00364818">
        <w:rPr>
          <w:lang w:eastAsia="en-NZ"/>
        </w:rPr>
        <w:t>the following cloud technologies and platforms:</w:t>
      </w:r>
    </w:p>
    <w:p w14:paraId="1D49ED07" w14:textId="77777777" w:rsidR="00364818" w:rsidRDefault="00364818" w:rsidP="006C0831">
      <w:pPr>
        <w:numPr>
          <w:ilvl w:val="1"/>
          <w:numId w:val="10"/>
        </w:numPr>
        <w:shd w:val="clear" w:color="auto" w:fill="FFFFFF"/>
        <w:spacing w:after="0" w:line="240" w:lineRule="auto"/>
        <w:rPr>
          <w:lang w:eastAsia="en-NZ"/>
        </w:rPr>
      </w:pPr>
      <w:r>
        <w:rPr>
          <w:lang w:eastAsia="en-NZ"/>
        </w:rPr>
        <w:t>Amazon Web Services</w:t>
      </w:r>
    </w:p>
    <w:p w14:paraId="3816E742" w14:textId="77777777" w:rsidR="00364818" w:rsidRDefault="00364818" w:rsidP="006C0831">
      <w:pPr>
        <w:numPr>
          <w:ilvl w:val="1"/>
          <w:numId w:val="10"/>
        </w:numPr>
        <w:shd w:val="clear" w:color="auto" w:fill="FFFFFF"/>
        <w:spacing w:after="0" w:line="240" w:lineRule="auto"/>
        <w:rPr>
          <w:lang w:eastAsia="en-NZ"/>
        </w:rPr>
      </w:pPr>
      <w:r>
        <w:rPr>
          <w:lang w:eastAsia="en-NZ"/>
        </w:rPr>
        <w:t>Microsoft Azure</w:t>
      </w:r>
    </w:p>
    <w:p w14:paraId="3FFB5C64" w14:textId="61B28DEA" w:rsidR="0037751D" w:rsidRDefault="00364818" w:rsidP="006C0831">
      <w:pPr>
        <w:pStyle w:val="Bulletsstyle"/>
        <w:numPr>
          <w:ilvl w:val="1"/>
          <w:numId w:val="7"/>
        </w:numPr>
        <w:rPr>
          <w:rFonts w:asciiTheme="minorHAnsi" w:hAnsiTheme="minorHAnsi"/>
          <w:szCs w:val="24"/>
          <w:lang w:eastAsia="en-NZ"/>
        </w:rPr>
      </w:pPr>
      <w:r>
        <w:rPr>
          <w:lang w:eastAsia="en-NZ"/>
        </w:rPr>
        <w:t>Microsoft 365</w:t>
      </w:r>
      <w:r w:rsidR="0037751D">
        <w:rPr>
          <w:rFonts w:asciiTheme="minorHAnsi" w:hAnsiTheme="minorHAnsi"/>
          <w:szCs w:val="24"/>
          <w:lang w:eastAsia="en-NZ"/>
        </w:rPr>
        <w:t>.</w:t>
      </w:r>
    </w:p>
    <w:p w14:paraId="29143103" w14:textId="77777777" w:rsidR="0037751D" w:rsidRDefault="0037751D" w:rsidP="006C0831">
      <w:pPr>
        <w:numPr>
          <w:ilvl w:val="0"/>
          <w:numId w:val="10"/>
        </w:numPr>
        <w:shd w:val="clear" w:color="auto" w:fill="FFFFFF"/>
        <w:ind w:left="714" w:hanging="357"/>
        <w:rPr>
          <w:rFonts w:eastAsia="Times New Roman" w:cs="Calibri"/>
          <w:szCs w:val="24"/>
          <w:bdr w:val="none" w:sz="0" w:space="0" w:color="auto" w:frame="1"/>
          <w:lang w:eastAsia="en-NZ"/>
        </w:rPr>
      </w:pPr>
      <w:r w:rsidRPr="009035B3">
        <w:rPr>
          <w:rFonts w:eastAsia="Times New Roman" w:cs="Calibri"/>
          <w:szCs w:val="24"/>
          <w:bdr w:val="none" w:sz="0" w:space="0" w:color="auto" w:frame="1"/>
          <w:lang w:eastAsia="en-NZ"/>
        </w:rPr>
        <w:t>Experience in server installation, configuration, and troubleshooting</w:t>
      </w:r>
      <w:r>
        <w:rPr>
          <w:rFonts w:eastAsia="Times New Roman" w:cs="Calibri"/>
          <w:szCs w:val="24"/>
          <w:bdr w:val="none" w:sz="0" w:space="0" w:color="auto" w:frame="1"/>
          <w:lang w:eastAsia="en-NZ"/>
        </w:rPr>
        <w:t>.</w:t>
      </w:r>
    </w:p>
    <w:p w14:paraId="06A8FAEA" w14:textId="77777777" w:rsidR="0037751D" w:rsidRDefault="0037751D" w:rsidP="006C0831">
      <w:pPr>
        <w:pStyle w:val="Bulletsstyle"/>
        <w:numPr>
          <w:ilvl w:val="0"/>
          <w:numId w:val="10"/>
        </w:numPr>
        <w:rPr>
          <w:rFonts w:asciiTheme="minorHAnsi" w:hAnsiTheme="minorHAnsi"/>
          <w:szCs w:val="24"/>
          <w:lang w:eastAsia="en-NZ"/>
        </w:rPr>
      </w:pPr>
      <w:bookmarkStart w:id="6" w:name="_Hlk165583740"/>
      <w:r>
        <w:rPr>
          <w:rFonts w:asciiTheme="minorHAnsi" w:hAnsiTheme="minorHAnsi"/>
          <w:szCs w:val="24"/>
          <w:lang w:eastAsia="en-NZ"/>
        </w:rPr>
        <w:t xml:space="preserve">Experience implementing and supporting system change based on technology or policy change. </w:t>
      </w:r>
    </w:p>
    <w:p w14:paraId="1BAE86AD" w14:textId="77777777" w:rsidR="0037751D" w:rsidRPr="00B716E7" w:rsidRDefault="0037751D" w:rsidP="006C0831">
      <w:pPr>
        <w:numPr>
          <w:ilvl w:val="0"/>
          <w:numId w:val="10"/>
        </w:numPr>
        <w:shd w:val="clear" w:color="auto" w:fill="FFFFFF"/>
        <w:ind w:left="714" w:hanging="357"/>
        <w:rPr>
          <w:rFonts w:eastAsia="Times New Roman" w:cs="Calibri"/>
          <w:sz w:val="22"/>
          <w:lang w:eastAsia="en-NZ"/>
        </w:rPr>
      </w:pPr>
      <w:r w:rsidRPr="00DD44D1">
        <w:rPr>
          <w:rFonts w:eastAsia="Times New Roman" w:cs="Calibri"/>
          <w:szCs w:val="24"/>
          <w:bdr w:val="none" w:sz="0" w:space="0" w:color="auto" w:frame="1"/>
          <w:lang w:eastAsia="en-NZ"/>
        </w:rPr>
        <w:t xml:space="preserve">Experience </w:t>
      </w:r>
      <w:r>
        <w:rPr>
          <w:rFonts w:eastAsia="Times New Roman" w:cs="Calibri"/>
          <w:szCs w:val="24"/>
          <w:bdr w:val="none" w:sz="0" w:space="0" w:color="auto" w:frame="1"/>
          <w:lang w:eastAsia="en-NZ"/>
        </w:rPr>
        <w:t>in</w:t>
      </w:r>
      <w:r w:rsidRPr="00DD44D1">
        <w:rPr>
          <w:rFonts w:eastAsia="Times New Roman" w:cs="Calibri"/>
          <w:szCs w:val="24"/>
          <w:bdr w:val="none" w:sz="0" w:space="0" w:color="auto" w:frame="1"/>
          <w:lang w:eastAsia="en-NZ"/>
        </w:rPr>
        <w:t xml:space="preserve"> scripting and automation</w:t>
      </w:r>
      <w:r>
        <w:rPr>
          <w:rFonts w:eastAsia="Times New Roman" w:cs="Calibri"/>
          <w:szCs w:val="24"/>
          <w:bdr w:val="none" w:sz="0" w:space="0" w:color="auto" w:frame="1"/>
          <w:lang w:eastAsia="en-NZ"/>
        </w:rPr>
        <w:t>.</w:t>
      </w:r>
    </w:p>
    <w:p w14:paraId="1043B232" w14:textId="26AB300A" w:rsidR="00364818" w:rsidRDefault="00791AFC" w:rsidP="3A336BF1">
      <w:pPr>
        <w:numPr>
          <w:ilvl w:val="0"/>
          <w:numId w:val="1"/>
        </w:numPr>
        <w:shd w:val="clear" w:color="auto" w:fill="FFFFFF" w:themeFill="background1"/>
        <w:spacing w:after="0" w:line="240" w:lineRule="auto"/>
        <w:rPr>
          <w:lang w:eastAsia="en-NZ"/>
        </w:rPr>
      </w:pPr>
      <w:r w:rsidRPr="3A336BF1">
        <w:rPr>
          <w:lang w:eastAsia="en-NZ"/>
        </w:rPr>
        <w:t xml:space="preserve">Deep </w:t>
      </w:r>
      <w:r w:rsidR="00364818" w:rsidRPr="3A336BF1">
        <w:rPr>
          <w:lang w:eastAsia="en-NZ"/>
        </w:rPr>
        <w:t xml:space="preserve">understanding of one or more of the following: NIST, ACSC Essential Eight, </w:t>
      </w:r>
      <w:proofErr w:type="spellStart"/>
      <w:r w:rsidR="00364818" w:rsidRPr="3A336BF1">
        <w:rPr>
          <w:lang w:eastAsia="en-NZ"/>
        </w:rPr>
        <w:t>CertNZ</w:t>
      </w:r>
      <w:proofErr w:type="spellEnd"/>
      <w:r w:rsidR="00364818" w:rsidRPr="3A336BF1">
        <w:rPr>
          <w:lang w:eastAsia="en-NZ"/>
        </w:rPr>
        <w:t xml:space="preserve"> Top Ten controls</w:t>
      </w:r>
      <w:r w:rsidR="00EC419C" w:rsidRPr="3A336BF1">
        <w:rPr>
          <w:lang w:eastAsia="en-NZ"/>
        </w:rPr>
        <w:t>.</w:t>
      </w:r>
    </w:p>
    <w:p w14:paraId="44AC770E" w14:textId="7CC0060C" w:rsidR="00364818" w:rsidRDefault="00364818" w:rsidP="3A336BF1">
      <w:pPr>
        <w:numPr>
          <w:ilvl w:val="0"/>
          <w:numId w:val="10"/>
        </w:numPr>
        <w:shd w:val="clear" w:color="auto" w:fill="FFFFFF" w:themeFill="background1"/>
        <w:ind w:left="714" w:hanging="357"/>
        <w:rPr>
          <w:lang w:eastAsia="en-NZ"/>
        </w:rPr>
      </w:pPr>
      <w:r w:rsidRPr="3A336BF1">
        <w:rPr>
          <w:lang w:eastAsia="en-NZ"/>
        </w:rPr>
        <w:t>Good understanding of latest cyber security principles, standards, frameworks, guidelines, techniques and threats</w:t>
      </w:r>
      <w:r w:rsidR="00EC419C" w:rsidRPr="3A336BF1">
        <w:rPr>
          <w:lang w:eastAsia="en-NZ"/>
        </w:rPr>
        <w:t>.</w:t>
      </w:r>
    </w:p>
    <w:p w14:paraId="3E113886" w14:textId="0F0F4904" w:rsidR="00A27F09" w:rsidRPr="00A27F09" w:rsidRDefault="00A27F09" w:rsidP="3A336BF1">
      <w:pPr>
        <w:numPr>
          <w:ilvl w:val="0"/>
          <w:numId w:val="10"/>
        </w:numPr>
        <w:shd w:val="clear" w:color="auto" w:fill="FFFFFF" w:themeFill="background1"/>
        <w:ind w:left="714" w:hanging="357"/>
        <w:rPr>
          <w:rFonts w:eastAsia="Times New Roman" w:cs="Calibri"/>
          <w:bdr w:val="none" w:sz="0" w:space="0" w:color="auto" w:frame="1"/>
          <w:lang w:eastAsia="en-NZ"/>
        </w:rPr>
      </w:pPr>
      <w:r w:rsidRPr="3A336BF1">
        <w:rPr>
          <w:rFonts w:eastAsia="Times New Roman" w:cs="Calibri"/>
          <w:bdr w:val="none" w:sz="0" w:space="0" w:color="auto" w:frame="1"/>
          <w:lang w:eastAsia="en-NZ"/>
        </w:rPr>
        <w:t>Excellent communication, documentation and problem-solving skills</w:t>
      </w:r>
    </w:p>
    <w:p w14:paraId="0E922D7D" w14:textId="7EF6505E" w:rsidR="0037751D" w:rsidRPr="00942B38" w:rsidRDefault="0037751D" w:rsidP="006C0831">
      <w:pPr>
        <w:numPr>
          <w:ilvl w:val="0"/>
          <w:numId w:val="10"/>
        </w:numPr>
        <w:shd w:val="clear" w:color="auto" w:fill="FFFFFF"/>
        <w:ind w:left="714" w:hanging="357"/>
        <w:rPr>
          <w:rFonts w:eastAsia="Times New Roman" w:cs="Calibri"/>
          <w:sz w:val="22"/>
          <w:lang w:eastAsia="en-NZ"/>
        </w:rPr>
      </w:pPr>
      <w:r w:rsidRPr="00DD44D1">
        <w:rPr>
          <w:rFonts w:eastAsia="Times New Roman" w:cs="Calibri"/>
          <w:szCs w:val="24"/>
          <w:bdr w:val="none" w:sz="0" w:space="0" w:color="auto" w:frame="1"/>
          <w:lang w:eastAsia="en-NZ"/>
        </w:rPr>
        <w:t>Ability to follow change management procedures utilizing ITIL standards</w:t>
      </w:r>
      <w:r>
        <w:rPr>
          <w:rFonts w:eastAsia="Times New Roman" w:cs="Calibri"/>
          <w:szCs w:val="24"/>
          <w:bdr w:val="none" w:sz="0" w:space="0" w:color="auto" w:frame="1"/>
          <w:lang w:eastAsia="en-NZ"/>
        </w:rPr>
        <w:t>.</w:t>
      </w:r>
      <w:bookmarkEnd w:id="6"/>
    </w:p>
    <w:p w14:paraId="5620C381" w14:textId="6FE0A2BA" w:rsidR="00B936E4" w:rsidRPr="000D28A7" w:rsidRDefault="00B936E4" w:rsidP="00B936E4">
      <w:pPr>
        <w:pStyle w:val="Heading3"/>
        <w:rPr>
          <w:sz w:val="28"/>
          <w:szCs w:val="28"/>
        </w:rPr>
      </w:pPr>
      <w:r>
        <w:rPr>
          <w:sz w:val="28"/>
          <w:szCs w:val="28"/>
        </w:rPr>
        <w:t>Attributes</w:t>
      </w:r>
    </w:p>
    <w:p w14:paraId="69DA2C33" w14:textId="77777777" w:rsidR="00364818" w:rsidRPr="00577FF6" w:rsidRDefault="00364818" w:rsidP="006C0831">
      <w:pPr>
        <w:numPr>
          <w:ilvl w:val="0"/>
          <w:numId w:val="8"/>
        </w:numPr>
        <w:shd w:val="clear" w:color="auto" w:fill="FFFFFF"/>
        <w:rPr>
          <w:rFonts w:eastAsia="Times New Roman" w:cs="Calibri"/>
          <w:sz w:val="22"/>
          <w:lang w:eastAsia="en-NZ"/>
        </w:rPr>
      </w:pPr>
      <w:bookmarkStart w:id="7" w:name="_Hlk165580847"/>
      <w:bookmarkStart w:id="8" w:name="_Hlk165583878"/>
      <w:r w:rsidRPr="00577FF6">
        <w:rPr>
          <w:rFonts w:eastAsia="Times New Roman" w:cs="Calibri"/>
          <w:szCs w:val="24"/>
          <w:bdr w:val="none" w:sz="0" w:space="0" w:color="auto" w:frame="1"/>
          <w:lang w:eastAsia="en-NZ"/>
        </w:rPr>
        <w:t>Excellent communication and problem-solving skills.</w:t>
      </w:r>
    </w:p>
    <w:p w14:paraId="7DABBF76" w14:textId="3C778A0C" w:rsidR="00364818" w:rsidRPr="0002216D" w:rsidRDefault="00364818" w:rsidP="006C0831">
      <w:pPr>
        <w:pStyle w:val="ListParagraph"/>
        <w:numPr>
          <w:ilvl w:val="0"/>
          <w:numId w:val="8"/>
        </w:numPr>
      </w:pPr>
      <w:r w:rsidRPr="00577FF6">
        <w:rPr>
          <w:rFonts w:eastAsia="Times New Roman" w:cs="Calibri"/>
          <w:szCs w:val="24"/>
          <w:bdr w:val="none" w:sz="0" w:space="0" w:color="auto" w:frame="1"/>
          <w:lang w:eastAsia="en-NZ"/>
        </w:rPr>
        <w:t>Commitment to continuous learning and keeping up to date with best practices and technology advances</w:t>
      </w:r>
      <w:r w:rsidR="00EC419C">
        <w:rPr>
          <w:rFonts w:eastAsia="Times New Roman" w:cs="Calibri"/>
          <w:szCs w:val="24"/>
          <w:bdr w:val="none" w:sz="0" w:space="0" w:color="auto" w:frame="1"/>
          <w:lang w:eastAsia="en-NZ"/>
        </w:rPr>
        <w:t>.</w:t>
      </w:r>
    </w:p>
    <w:p w14:paraId="0AE6C9A2" w14:textId="4FD663D6" w:rsidR="00364818" w:rsidRPr="0002216D" w:rsidRDefault="00364818" w:rsidP="006C0831">
      <w:pPr>
        <w:pStyle w:val="ListParagraph"/>
        <w:numPr>
          <w:ilvl w:val="0"/>
          <w:numId w:val="8"/>
        </w:numPr>
        <w:rPr>
          <w:rFonts w:eastAsia="Times New Roman" w:cs="Calibri"/>
          <w:szCs w:val="24"/>
          <w:bdr w:val="none" w:sz="0" w:space="0" w:color="auto" w:frame="1"/>
          <w:lang w:eastAsia="en-NZ"/>
        </w:rPr>
      </w:pPr>
      <w:r w:rsidRPr="0002216D">
        <w:rPr>
          <w:rFonts w:eastAsia="Times New Roman" w:cs="Calibri"/>
          <w:szCs w:val="24"/>
          <w:bdr w:val="none" w:sz="0" w:space="0" w:color="auto" w:frame="1"/>
          <w:lang w:eastAsia="en-NZ"/>
        </w:rPr>
        <w:t>Ability to articulate ideas and facilitate discussions and meetings towards achievable outcomes</w:t>
      </w:r>
      <w:r w:rsidR="00EC419C">
        <w:rPr>
          <w:rFonts w:eastAsia="Times New Roman" w:cs="Calibri"/>
          <w:szCs w:val="24"/>
          <w:bdr w:val="none" w:sz="0" w:space="0" w:color="auto" w:frame="1"/>
          <w:lang w:eastAsia="en-NZ"/>
        </w:rPr>
        <w:t>.</w:t>
      </w:r>
    </w:p>
    <w:p w14:paraId="1D4D92F5" w14:textId="3017B3CC" w:rsidR="00577FF6" w:rsidRPr="0002216D" w:rsidRDefault="00577FF6" w:rsidP="006C0831">
      <w:pPr>
        <w:pStyle w:val="ListParagraph"/>
        <w:numPr>
          <w:ilvl w:val="0"/>
          <w:numId w:val="8"/>
        </w:numPr>
      </w:pPr>
      <w:r w:rsidRPr="0002216D">
        <w:t>Strong written and verbal skills with the ability to communicate issues and concepts</w:t>
      </w:r>
      <w:r w:rsidR="00EC419C">
        <w:t>.</w:t>
      </w:r>
    </w:p>
    <w:p w14:paraId="52D1FDC1" w14:textId="41721387" w:rsidR="00364818" w:rsidRPr="0002216D" w:rsidRDefault="00577FF6" w:rsidP="006C0831">
      <w:pPr>
        <w:pStyle w:val="ListParagraph"/>
        <w:numPr>
          <w:ilvl w:val="0"/>
          <w:numId w:val="8"/>
        </w:numPr>
        <w:rPr>
          <w:rFonts w:eastAsia="Times New Roman" w:cs="Calibri"/>
          <w:szCs w:val="24"/>
          <w:bdr w:val="none" w:sz="0" w:space="0" w:color="auto" w:frame="1"/>
          <w:lang w:eastAsia="en-NZ"/>
        </w:rPr>
      </w:pPr>
      <w:r w:rsidRPr="0002216D">
        <w:rPr>
          <w:rFonts w:eastAsia="Times New Roman" w:cs="Calibri"/>
          <w:szCs w:val="24"/>
          <w:bdr w:val="none" w:sz="0" w:space="0" w:color="auto" w:frame="1"/>
          <w:lang w:eastAsia="en-NZ"/>
        </w:rPr>
        <w:t>Ability to build effective working relationships with a wide range of business and technical stakeholders</w:t>
      </w:r>
      <w:bookmarkEnd w:id="7"/>
      <w:r w:rsidR="00EC419C">
        <w:rPr>
          <w:rFonts w:eastAsia="Times New Roman" w:cs="Calibri"/>
          <w:szCs w:val="24"/>
          <w:bdr w:val="none" w:sz="0" w:space="0" w:color="auto" w:frame="1"/>
          <w:lang w:eastAsia="en-NZ"/>
        </w:rPr>
        <w:t>.</w:t>
      </w:r>
    </w:p>
    <w:p w14:paraId="5D00ADE7" w14:textId="1A1C64C2" w:rsidR="00364818" w:rsidRPr="0002216D" w:rsidRDefault="00364818" w:rsidP="006C0831">
      <w:pPr>
        <w:pStyle w:val="ListParagraph"/>
        <w:numPr>
          <w:ilvl w:val="0"/>
          <w:numId w:val="8"/>
        </w:numPr>
        <w:rPr>
          <w:rFonts w:eastAsia="Times New Roman" w:cs="Calibri"/>
          <w:szCs w:val="24"/>
          <w:bdr w:val="none" w:sz="0" w:space="0" w:color="auto" w:frame="1"/>
          <w:lang w:eastAsia="en-NZ"/>
        </w:rPr>
      </w:pPr>
      <w:r w:rsidRPr="0002216D">
        <w:rPr>
          <w:rFonts w:eastAsia="Times New Roman" w:cs="Calibri"/>
          <w:szCs w:val="24"/>
          <w:bdr w:val="none" w:sz="0" w:space="0" w:color="auto" w:frame="1"/>
          <w:lang w:eastAsia="en-NZ"/>
        </w:rPr>
        <w:lastRenderedPageBreak/>
        <w:t>A team player and self-starter with a strong desire to learn</w:t>
      </w:r>
      <w:r w:rsidR="00EC419C">
        <w:rPr>
          <w:rFonts w:eastAsia="Times New Roman" w:cs="Calibri"/>
          <w:szCs w:val="24"/>
          <w:bdr w:val="none" w:sz="0" w:space="0" w:color="auto" w:frame="1"/>
          <w:lang w:eastAsia="en-NZ"/>
        </w:rPr>
        <w:t>.</w:t>
      </w:r>
    </w:p>
    <w:p w14:paraId="6C9C6BA7" w14:textId="1859750D" w:rsidR="00B936E4" w:rsidRPr="0002216D" w:rsidRDefault="00B936E4" w:rsidP="006C0831">
      <w:pPr>
        <w:pStyle w:val="ListParagraph"/>
        <w:numPr>
          <w:ilvl w:val="0"/>
          <w:numId w:val="8"/>
        </w:numPr>
      </w:pPr>
      <w:r w:rsidRPr="0002216D">
        <w:t>Rigorous intellectual analytical ability</w:t>
      </w:r>
      <w:r w:rsidR="00EC419C">
        <w:t>.</w:t>
      </w:r>
    </w:p>
    <w:p w14:paraId="2E45D4DD" w14:textId="58127A6A" w:rsidR="00B936E4" w:rsidRPr="0002216D" w:rsidRDefault="00B936E4" w:rsidP="006C0831">
      <w:pPr>
        <w:pStyle w:val="ListParagraph"/>
        <w:numPr>
          <w:ilvl w:val="0"/>
          <w:numId w:val="8"/>
        </w:numPr>
      </w:pPr>
      <w:r w:rsidRPr="0002216D">
        <w:t>Inquisitive and interested in emerging technologies and practices</w:t>
      </w:r>
      <w:r w:rsidR="00EC419C">
        <w:t>.</w:t>
      </w:r>
    </w:p>
    <w:p w14:paraId="4803E665" w14:textId="11FBB897" w:rsidR="00B936E4" w:rsidRPr="0002216D" w:rsidRDefault="00B936E4" w:rsidP="006C0831">
      <w:pPr>
        <w:pStyle w:val="ListParagraph"/>
        <w:numPr>
          <w:ilvl w:val="0"/>
          <w:numId w:val="8"/>
        </w:numPr>
      </w:pPr>
      <w:r w:rsidRPr="0002216D">
        <w:t>Commitment to achievement and quality</w:t>
      </w:r>
      <w:r w:rsidR="00EC419C">
        <w:t>.</w:t>
      </w:r>
    </w:p>
    <w:p w14:paraId="58AA8ECD" w14:textId="16483F51" w:rsidR="00B936E4" w:rsidRPr="0002216D" w:rsidRDefault="00B936E4" w:rsidP="006C0831">
      <w:pPr>
        <w:pStyle w:val="ListParagraph"/>
        <w:numPr>
          <w:ilvl w:val="0"/>
          <w:numId w:val="8"/>
        </w:numPr>
      </w:pPr>
      <w:r w:rsidRPr="0002216D">
        <w:t>Critical evaluation</w:t>
      </w:r>
      <w:r w:rsidR="00EC419C">
        <w:t>.</w:t>
      </w:r>
    </w:p>
    <w:p w14:paraId="22352DB5" w14:textId="697389E5" w:rsidR="00B936E4" w:rsidRPr="0002216D" w:rsidRDefault="00B936E4" w:rsidP="006C0831">
      <w:pPr>
        <w:pStyle w:val="ListParagraph"/>
        <w:numPr>
          <w:ilvl w:val="0"/>
          <w:numId w:val="8"/>
        </w:numPr>
      </w:pPr>
      <w:r w:rsidRPr="0002216D">
        <w:t>Sound judgement</w:t>
      </w:r>
      <w:r w:rsidR="00EC419C">
        <w:t>.</w:t>
      </w:r>
    </w:p>
    <w:p w14:paraId="501B1035" w14:textId="24EEE11C" w:rsidR="00B936E4" w:rsidRPr="0002216D" w:rsidRDefault="00B936E4" w:rsidP="006C0831">
      <w:pPr>
        <w:pStyle w:val="ListParagraph"/>
        <w:numPr>
          <w:ilvl w:val="0"/>
          <w:numId w:val="8"/>
        </w:numPr>
      </w:pPr>
      <w:r w:rsidRPr="0002216D">
        <w:t>Honesty and integrity</w:t>
      </w:r>
      <w:r w:rsidR="00EC419C">
        <w:t>.</w:t>
      </w:r>
    </w:p>
    <w:bookmarkEnd w:id="8"/>
    <w:p w14:paraId="5BD2C50A" w14:textId="77777777" w:rsidR="00F46859" w:rsidRPr="00BE6537" w:rsidRDefault="00F46859" w:rsidP="00F46859">
      <w:pPr>
        <w:pStyle w:val="Heading3"/>
        <w:rPr>
          <w:sz w:val="28"/>
          <w:szCs w:val="28"/>
        </w:rPr>
      </w:pPr>
      <w:r w:rsidRPr="00BE6537">
        <w:rPr>
          <w:sz w:val="28"/>
          <w:szCs w:val="28"/>
        </w:rPr>
        <w:t xml:space="preserve">Key relationships </w:t>
      </w:r>
    </w:p>
    <w:p w14:paraId="7D8FB122" w14:textId="3EF89FFD" w:rsidR="00F46859" w:rsidRDefault="00F46859" w:rsidP="00F46859">
      <w:pPr>
        <w:pStyle w:val="PDHeading4"/>
        <w:tabs>
          <w:tab w:val="left" w:pos="3505"/>
        </w:tabs>
      </w:pPr>
      <w:r>
        <w:t>Internal</w:t>
      </w:r>
    </w:p>
    <w:p w14:paraId="12A1F1B3" w14:textId="63F541F4" w:rsidR="00364818" w:rsidRPr="00364818" w:rsidRDefault="00701178" w:rsidP="006C0831">
      <w:pPr>
        <w:pStyle w:val="ListParagraph"/>
        <w:numPr>
          <w:ilvl w:val="0"/>
          <w:numId w:val="8"/>
        </w:numPr>
      </w:pPr>
      <w:bookmarkStart w:id="9" w:name="_Hlk165584064"/>
      <w:r w:rsidRPr="00364818">
        <w:t xml:space="preserve">Technology Security and Identity </w:t>
      </w:r>
      <w:r>
        <w:t>Practice</w:t>
      </w:r>
      <w:r w:rsidR="00352EED">
        <w:t xml:space="preserve"> (including </w:t>
      </w:r>
      <w:r w:rsidR="00364818" w:rsidRPr="00364818">
        <w:t>Practice Managers</w:t>
      </w:r>
      <w:r>
        <w:t xml:space="preserve">, </w:t>
      </w:r>
      <w:r w:rsidR="00364818" w:rsidRPr="00364818">
        <w:t>Architects, Engineers, Administrators and Analysts</w:t>
      </w:r>
      <w:r w:rsidR="00352EED">
        <w:t>)</w:t>
      </w:r>
    </w:p>
    <w:p w14:paraId="55CC2986" w14:textId="77777777" w:rsidR="00364818" w:rsidRPr="00364818" w:rsidRDefault="00364818" w:rsidP="006C0831">
      <w:pPr>
        <w:pStyle w:val="ListParagraph"/>
        <w:numPr>
          <w:ilvl w:val="0"/>
          <w:numId w:val="8"/>
        </w:numPr>
      </w:pPr>
      <w:r w:rsidRPr="00364818">
        <w:t>Security and Identity Programme delivery team</w:t>
      </w:r>
    </w:p>
    <w:p w14:paraId="2C2392DD" w14:textId="1EC706CC" w:rsidR="00701178" w:rsidRPr="00107E42" w:rsidRDefault="00701178" w:rsidP="006C0831">
      <w:pPr>
        <w:pStyle w:val="ListParagraph"/>
        <w:numPr>
          <w:ilvl w:val="0"/>
          <w:numId w:val="8"/>
        </w:numPr>
      </w:pPr>
      <w:r w:rsidRPr="00107E42">
        <w:t>IST technical and delivery teams</w:t>
      </w:r>
    </w:p>
    <w:bookmarkEnd w:id="9"/>
    <w:p w14:paraId="676E6EEF" w14:textId="4746311A" w:rsidR="00364818" w:rsidRPr="0002216D" w:rsidRDefault="00EC419C" w:rsidP="006C0831">
      <w:pPr>
        <w:pStyle w:val="ListParagraph"/>
        <w:numPr>
          <w:ilvl w:val="0"/>
          <w:numId w:val="8"/>
        </w:numPr>
      </w:pPr>
      <w:r>
        <w:t>Security risk and assurance functions</w:t>
      </w:r>
    </w:p>
    <w:p w14:paraId="50EF7F87" w14:textId="4E9ECA53" w:rsidR="00F46859" w:rsidRDefault="00F46859" w:rsidP="00F46859">
      <w:pPr>
        <w:pStyle w:val="PDHeading4"/>
        <w:tabs>
          <w:tab w:val="left" w:pos="3505"/>
        </w:tabs>
      </w:pPr>
      <w:r>
        <w:t>External</w:t>
      </w:r>
    </w:p>
    <w:p w14:paraId="4615624A" w14:textId="0BDFC4F4" w:rsidR="00364818" w:rsidRPr="00364818" w:rsidRDefault="00364818" w:rsidP="006C0831">
      <w:pPr>
        <w:pStyle w:val="ListParagraph"/>
        <w:numPr>
          <w:ilvl w:val="0"/>
          <w:numId w:val="8"/>
        </w:numPr>
      </w:pPr>
      <w:bookmarkStart w:id="10" w:name="_Hlk165584125"/>
      <w:r w:rsidRPr="00364818">
        <w:t xml:space="preserve">Vendors and </w:t>
      </w:r>
      <w:r w:rsidR="003245C3">
        <w:t>p</w:t>
      </w:r>
      <w:r w:rsidRPr="00364818">
        <w:t>artners</w:t>
      </w:r>
    </w:p>
    <w:bookmarkEnd w:id="10"/>
    <w:p w14:paraId="78F5E308" w14:textId="20C177D1" w:rsidR="006C0831" w:rsidRDefault="006C0831">
      <w:pPr>
        <w:rPr>
          <w:highlight w:val="yellow"/>
        </w:rPr>
      </w:pPr>
      <w:r>
        <w:rPr>
          <w:highlight w:val="yellow"/>
        </w:rPr>
        <w:br w:type="page"/>
      </w:r>
    </w:p>
    <w:p w14:paraId="391E6258" w14:textId="77777777" w:rsidR="00B936E4" w:rsidRPr="00364818" w:rsidRDefault="00B936E4" w:rsidP="0002216D">
      <w:pPr>
        <w:ind w:left="360"/>
        <w:rPr>
          <w:highlight w:val="yellow"/>
        </w:rPr>
      </w:pP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Default="004B0A86" w:rsidP="004B0A86">
      <w:pPr>
        <w:pStyle w:val="PDHeading4"/>
        <w:tabs>
          <w:tab w:val="left" w:pos="3505"/>
        </w:tabs>
      </w:pPr>
      <w:r w:rsidRPr="004B0A86">
        <w:t>Delegations</w:t>
      </w:r>
    </w:p>
    <w:p w14:paraId="471A1269" w14:textId="77777777" w:rsidR="0029741C" w:rsidRPr="006F3E61" w:rsidRDefault="0029741C" w:rsidP="006C0831">
      <w:pPr>
        <w:pStyle w:val="ListParagraph"/>
        <w:numPr>
          <w:ilvl w:val="0"/>
          <w:numId w:val="8"/>
        </w:numPr>
      </w:pPr>
      <w:r w:rsidRPr="006F3E61">
        <w:t>Financial – No</w:t>
      </w:r>
    </w:p>
    <w:p w14:paraId="4E411DCF" w14:textId="77777777" w:rsidR="0029741C" w:rsidRPr="006F3E61" w:rsidRDefault="0029741C" w:rsidP="006C0831">
      <w:pPr>
        <w:pStyle w:val="ListParagraph"/>
        <w:numPr>
          <w:ilvl w:val="0"/>
          <w:numId w:val="8"/>
        </w:numPr>
      </w:pPr>
      <w:r w:rsidRPr="006F3E61">
        <w:t xml:space="preserve">Human Resources – No </w:t>
      </w:r>
    </w:p>
    <w:p w14:paraId="503BB234" w14:textId="1C429C4B" w:rsidR="00CA08C4" w:rsidRDefault="00CA08C4" w:rsidP="00CA08C4">
      <w:pPr>
        <w:pStyle w:val="PDHeading4"/>
        <w:tabs>
          <w:tab w:val="left" w:pos="3505"/>
        </w:tabs>
      </w:pPr>
      <w:r>
        <w:t xml:space="preserve">Direct reports </w:t>
      </w:r>
    </w:p>
    <w:p w14:paraId="1D304F8E" w14:textId="77777777" w:rsidR="00CA08C4" w:rsidRPr="006F3E61" w:rsidRDefault="00CA08C4" w:rsidP="006C0831">
      <w:pPr>
        <w:pStyle w:val="ListParagraph"/>
        <w:numPr>
          <w:ilvl w:val="0"/>
          <w:numId w:val="8"/>
        </w:numPr>
      </w:pPr>
      <w:r>
        <w:t>No</w:t>
      </w:r>
    </w:p>
    <w:p w14:paraId="3AFA27EC" w14:textId="166957AD" w:rsidR="004B0A86" w:rsidRDefault="004B0A86" w:rsidP="004B0A86">
      <w:pPr>
        <w:pStyle w:val="PDHeading4"/>
        <w:tabs>
          <w:tab w:val="left" w:pos="3505"/>
        </w:tabs>
      </w:pPr>
      <w:r w:rsidRPr="004B0A86">
        <w:t>Security clearance</w:t>
      </w:r>
    </w:p>
    <w:p w14:paraId="625557B8" w14:textId="7ECA3B23" w:rsidR="004B0A86" w:rsidRPr="006F3E61" w:rsidRDefault="008879FF" w:rsidP="006C0831">
      <w:pPr>
        <w:pStyle w:val="ListParagraph"/>
        <w:numPr>
          <w:ilvl w:val="0"/>
          <w:numId w:val="8"/>
        </w:numPr>
      </w:pPr>
      <w:r>
        <w:t>No</w:t>
      </w:r>
    </w:p>
    <w:p w14:paraId="66D0C368" w14:textId="77777777" w:rsidR="004B0A86" w:rsidRDefault="004B0A86" w:rsidP="004B0A86">
      <w:pPr>
        <w:pStyle w:val="PDHeading4"/>
        <w:tabs>
          <w:tab w:val="left" w:pos="3505"/>
        </w:tabs>
      </w:pPr>
      <w:r w:rsidRPr="00E72987">
        <w:t>Children’s worker</w:t>
      </w:r>
    </w:p>
    <w:p w14:paraId="098ED350" w14:textId="7524D61D" w:rsidR="004B0A86" w:rsidRPr="006F3E61" w:rsidRDefault="008879FF" w:rsidP="006C0831">
      <w:pPr>
        <w:pStyle w:val="ListParagraph"/>
        <w:numPr>
          <w:ilvl w:val="0"/>
          <w:numId w:val="8"/>
        </w:numPr>
      </w:pPr>
      <w:r>
        <w:t>Not a children’s worker</w:t>
      </w:r>
    </w:p>
    <w:p w14:paraId="5EE2BFD4" w14:textId="16E7E2B4" w:rsidR="004B0A86" w:rsidRDefault="004B0A86" w:rsidP="004B0A86">
      <w:pPr>
        <w:pStyle w:val="PDHeading4"/>
        <w:tabs>
          <w:tab w:val="left" w:pos="3505"/>
        </w:tabs>
      </w:pPr>
      <w:r>
        <w:t>Travel</w:t>
      </w:r>
    </w:p>
    <w:p w14:paraId="51E8B0BA" w14:textId="5F83C6F8" w:rsidR="004B0A86" w:rsidRPr="006F3E61" w:rsidRDefault="008879FF" w:rsidP="006C0831">
      <w:pPr>
        <w:pStyle w:val="ListParagraph"/>
        <w:numPr>
          <w:ilvl w:val="0"/>
          <w:numId w:val="8"/>
        </w:numPr>
      </w:pPr>
      <w:r w:rsidRPr="006F3E61">
        <w:t xml:space="preserve">Limited </w:t>
      </w:r>
      <w:r w:rsidR="00D96588" w:rsidRPr="006F3E61">
        <w:t>ad hoc</w:t>
      </w:r>
      <w:r w:rsidRPr="006F3E61">
        <w:t xml:space="preserve"> travel may be </w:t>
      </w:r>
      <w:r w:rsidR="00D96588" w:rsidRPr="006F3E61">
        <w:t>required.</w:t>
      </w:r>
    </w:p>
    <w:sectPr w:rsidR="004B0A86" w:rsidRPr="006F3E61" w:rsidSect="0067336C">
      <w:headerReference w:type="even" r:id="rId15"/>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A46F" w14:textId="77777777" w:rsidR="0033508C" w:rsidRDefault="0033508C" w:rsidP="00F05C09">
      <w:pPr>
        <w:spacing w:after="0" w:line="240" w:lineRule="auto"/>
      </w:pPr>
      <w:r>
        <w:separator/>
      </w:r>
    </w:p>
  </w:endnote>
  <w:endnote w:type="continuationSeparator" w:id="0">
    <w:p w14:paraId="2AEE78E3" w14:textId="77777777" w:rsidR="0033508C" w:rsidRDefault="0033508C" w:rsidP="00F05C09">
      <w:pPr>
        <w:spacing w:after="0" w:line="240" w:lineRule="auto"/>
      </w:pPr>
      <w:r>
        <w:continuationSeparator/>
      </w:r>
    </w:p>
  </w:endnote>
  <w:endnote w:type="continuationNotice" w:id="1">
    <w:p w14:paraId="3818EBDA" w14:textId="77777777" w:rsidR="0033508C" w:rsidRDefault="003350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66D5F755" w:rsidR="00C7317E" w:rsidRDefault="00C7317E" w:rsidP="006A5C63">
        <w:pPr>
          <w:pStyle w:val="Footer"/>
        </w:pPr>
        <w:r>
          <w:rPr>
            <w:noProof/>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gray [1629]" strokeweight=".5pt" from="-14.25pt,-9.6pt" to="446.55pt,-9.6pt" w14:anchorId="29563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v:stroke joinstyle="miter"/>
                </v:line>
              </w:pict>
            </mc:Fallback>
          </mc:AlternateContent>
        </w:r>
        <w:r w:rsidR="00A5026A">
          <w:tab/>
        </w:r>
        <w:r>
          <w:t xml:space="preserve">Position Description – </w:t>
        </w:r>
        <w:r w:rsidR="00C30F0F" w:rsidRPr="00C30F0F">
          <w:t>Technology Security Enginee</w:t>
        </w:r>
        <w:r w:rsidR="00017046">
          <w:t>r</w:t>
        </w:r>
        <w:r w:rsidR="00A5026A">
          <w:tab/>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508D" w14:textId="77777777" w:rsidR="0033508C" w:rsidRDefault="0033508C" w:rsidP="00F05C09">
      <w:pPr>
        <w:spacing w:after="0" w:line="240" w:lineRule="auto"/>
      </w:pPr>
      <w:r>
        <w:separator/>
      </w:r>
    </w:p>
  </w:footnote>
  <w:footnote w:type="continuationSeparator" w:id="0">
    <w:p w14:paraId="7643D721" w14:textId="77777777" w:rsidR="0033508C" w:rsidRDefault="0033508C" w:rsidP="00F05C09">
      <w:pPr>
        <w:spacing w:after="0" w:line="240" w:lineRule="auto"/>
      </w:pPr>
      <w:r>
        <w:continuationSeparator/>
      </w:r>
    </w:p>
  </w:footnote>
  <w:footnote w:type="continuationNotice" w:id="1">
    <w:p w14:paraId="71C961E5" w14:textId="77777777" w:rsidR="0033508C" w:rsidRDefault="003350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506" w14:textId="3196ACB2" w:rsidR="00143C6A" w:rsidRDefault="00143C6A">
    <w:pPr>
      <w:pStyle w:val="Header"/>
    </w:pPr>
    <w:r>
      <w:rPr>
        <w:noProof/>
      </w:rPr>
      <mc:AlternateContent>
        <mc:Choice Requires="wps">
          <w:drawing>
            <wp:anchor distT="0" distB="0" distL="0" distR="0" simplePos="0" relativeHeight="251658242" behindDoc="0" locked="0" layoutInCell="1" allowOverlap="1" wp14:anchorId="7C6BF16B" wp14:editId="5C10CB40">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F61A1" w14:textId="477144D0" w:rsidR="00143C6A" w:rsidRPr="00143C6A" w:rsidRDefault="00143C6A" w:rsidP="00143C6A">
                          <w:pPr>
                            <w:spacing w:after="0"/>
                            <w:rPr>
                              <w:rFonts w:ascii="Calibri" w:eastAsia="Calibri" w:hAnsi="Calibri" w:cs="Calibri"/>
                              <w:noProof/>
                              <w:color w:val="000000"/>
                              <w:sz w:val="20"/>
                              <w:szCs w:val="20"/>
                            </w:rPr>
                          </w:pPr>
                          <w:r w:rsidRPr="00143C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BF16B" id="_x0000_t202" coordsize="21600,21600" o:spt="202" path="m,l,21600r21600,l21600,xe">
              <v:stroke joinstyle="miter"/>
              <v:path gradientshapeok="t" o:connecttype="rect"/>
            </v:shapetype>
            <v:shape id="Text Box 2" o:spid="_x0000_s1026" type="#_x0000_t202" alt="IN-CONFIDEN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9F61A1" w14:textId="477144D0" w:rsidR="00143C6A" w:rsidRPr="00143C6A" w:rsidRDefault="00143C6A" w:rsidP="00143C6A">
                    <w:pPr>
                      <w:spacing w:after="0"/>
                      <w:rPr>
                        <w:rFonts w:ascii="Calibri" w:eastAsia="Calibri" w:hAnsi="Calibri" w:cs="Calibri"/>
                        <w:noProof/>
                        <w:color w:val="000000"/>
                        <w:sz w:val="20"/>
                        <w:szCs w:val="20"/>
                      </w:rPr>
                    </w:pPr>
                    <w:r w:rsidRPr="00143C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3CF" w14:textId="6C75E3BB" w:rsidR="00143C6A" w:rsidRDefault="00143C6A">
    <w:pPr>
      <w:pStyle w:val="Header"/>
    </w:pPr>
    <w:r>
      <w:rPr>
        <w:noProof/>
      </w:rPr>
      <mc:AlternateContent>
        <mc:Choice Requires="wps">
          <w:drawing>
            <wp:anchor distT="0" distB="0" distL="0" distR="0" simplePos="0" relativeHeight="251658243" behindDoc="0" locked="0" layoutInCell="1" allowOverlap="1" wp14:anchorId="01AE6829" wp14:editId="54855814">
              <wp:simplePos x="915035" y="45021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0CD67" w14:textId="34BA6B44" w:rsidR="00143C6A" w:rsidRPr="00143C6A" w:rsidRDefault="00143C6A" w:rsidP="00143C6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E6829" id="_x0000_t202" coordsize="21600,21600" o:spt="202" path="m,l,21600r21600,l21600,xe">
              <v:stroke joinstyle="miter"/>
              <v:path gradientshapeok="t" o:connecttype="rect"/>
            </v:shapetype>
            <v:shape id="Text Box 6" o:spid="_x0000_s1027" type="#_x0000_t202" alt="IN-CONFIDENC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00CD67" w14:textId="34BA6B44" w:rsidR="00143C6A" w:rsidRPr="00143C6A" w:rsidRDefault="00143C6A" w:rsidP="00143C6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18FF" w14:textId="4D2CD8FF" w:rsidR="00143C6A" w:rsidRDefault="00143C6A">
    <w:pPr>
      <w:pStyle w:val="Header"/>
    </w:pPr>
    <w:r>
      <w:rPr>
        <w:noProof/>
      </w:rPr>
      <mc:AlternateContent>
        <mc:Choice Requires="wps">
          <w:drawing>
            <wp:anchor distT="0" distB="0" distL="0" distR="0" simplePos="0" relativeHeight="251658241" behindDoc="0" locked="0" layoutInCell="1" allowOverlap="1" wp14:anchorId="4C8D9CC8" wp14:editId="59074B8A">
              <wp:simplePos x="914400" y="44767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71CEF" w14:textId="7C437039" w:rsidR="00143C6A" w:rsidRPr="00143C6A" w:rsidRDefault="00143C6A" w:rsidP="00143C6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D9CC8" id="_x0000_t202" coordsize="21600,21600" o:spt="202" path="m,l,21600r21600,l21600,xe">
              <v:stroke joinstyle="miter"/>
              <v:path gradientshapeok="t" o:connecttype="rect"/>
            </v:shapetype>
            <v:shape id="Text Box 1" o:spid="_x0000_s1028" type="#_x0000_t202" alt="IN-CONFIDENC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9E71CEF" w14:textId="7C437039" w:rsidR="00143C6A" w:rsidRPr="00143C6A" w:rsidRDefault="00143C6A" w:rsidP="00143C6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70C10"/>
    <w:multiLevelType w:val="hybridMultilevel"/>
    <w:tmpl w:val="F9028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F645B7"/>
    <w:multiLevelType w:val="hybridMultilevel"/>
    <w:tmpl w:val="725A70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176FE9"/>
    <w:multiLevelType w:val="hybridMultilevel"/>
    <w:tmpl w:val="FCA04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E3DB6"/>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17BF20E5"/>
    <w:multiLevelType w:val="hybridMultilevel"/>
    <w:tmpl w:val="44E67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E365D39"/>
    <w:multiLevelType w:val="hybridMultilevel"/>
    <w:tmpl w:val="1B6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C0121E"/>
    <w:multiLevelType w:val="hybridMultilevel"/>
    <w:tmpl w:val="BD7E22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8B829F2"/>
    <w:multiLevelType w:val="multilevel"/>
    <w:tmpl w:val="D3AAD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C62464"/>
    <w:multiLevelType w:val="multilevel"/>
    <w:tmpl w:val="55DC4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4D6BF6"/>
    <w:multiLevelType w:val="hybridMultilevel"/>
    <w:tmpl w:val="32F8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5E7CE6"/>
    <w:multiLevelType w:val="hybridMultilevel"/>
    <w:tmpl w:val="B83E9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896792">
    <w:abstractNumId w:val="15"/>
  </w:num>
  <w:num w:numId="2" w16cid:durableId="2068382689">
    <w:abstractNumId w:val="8"/>
  </w:num>
  <w:num w:numId="3" w16cid:durableId="1858227694">
    <w:abstractNumId w:val="1"/>
  </w:num>
  <w:num w:numId="4" w16cid:durableId="1460610313">
    <w:abstractNumId w:val="0"/>
  </w:num>
  <w:num w:numId="5" w16cid:durableId="1210649477">
    <w:abstractNumId w:val="5"/>
  </w:num>
  <w:num w:numId="6" w16cid:durableId="342709964">
    <w:abstractNumId w:val="11"/>
  </w:num>
  <w:num w:numId="7" w16cid:durableId="1708874923">
    <w:abstractNumId w:val="12"/>
  </w:num>
  <w:num w:numId="8" w16cid:durableId="1208838322">
    <w:abstractNumId w:val="17"/>
  </w:num>
  <w:num w:numId="9" w16cid:durableId="1446729035">
    <w:abstractNumId w:val="9"/>
  </w:num>
  <w:num w:numId="10" w16cid:durableId="1243106002">
    <w:abstractNumId w:val="14"/>
  </w:num>
  <w:num w:numId="11" w16cid:durableId="365063273">
    <w:abstractNumId w:val="13"/>
  </w:num>
  <w:num w:numId="12" w16cid:durableId="1852453486">
    <w:abstractNumId w:val="16"/>
  </w:num>
  <w:num w:numId="13" w16cid:durableId="387654664">
    <w:abstractNumId w:val="3"/>
  </w:num>
  <w:num w:numId="14" w16cid:durableId="649792285">
    <w:abstractNumId w:val="7"/>
  </w:num>
  <w:num w:numId="15" w16cid:durableId="1569996850">
    <w:abstractNumId w:val="2"/>
  </w:num>
  <w:num w:numId="16" w16cid:durableId="1034892858">
    <w:abstractNumId w:val="4"/>
  </w:num>
  <w:num w:numId="17" w16cid:durableId="1845590932">
    <w:abstractNumId w:val="10"/>
  </w:num>
  <w:num w:numId="18" w16cid:durableId="1689018316">
    <w:abstractNumId w:val="6"/>
  </w:num>
  <w:num w:numId="19" w16cid:durableId="6017777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07817"/>
    <w:rsid w:val="000106D0"/>
    <w:rsid w:val="00017046"/>
    <w:rsid w:val="0002216D"/>
    <w:rsid w:val="00024E9C"/>
    <w:rsid w:val="00030E00"/>
    <w:rsid w:val="00034336"/>
    <w:rsid w:val="00037CB0"/>
    <w:rsid w:val="00045765"/>
    <w:rsid w:val="000725E7"/>
    <w:rsid w:val="0008130A"/>
    <w:rsid w:val="0008363E"/>
    <w:rsid w:val="000A576B"/>
    <w:rsid w:val="000A6009"/>
    <w:rsid w:val="000B6D09"/>
    <w:rsid w:val="000D28A7"/>
    <w:rsid w:val="000E300A"/>
    <w:rsid w:val="000E3BB9"/>
    <w:rsid w:val="00106AED"/>
    <w:rsid w:val="00121686"/>
    <w:rsid w:val="00130581"/>
    <w:rsid w:val="0013109B"/>
    <w:rsid w:val="00141BC1"/>
    <w:rsid w:val="00143C6A"/>
    <w:rsid w:val="00157898"/>
    <w:rsid w:val="00160536"/>
    <w:rsid w:val="001B3DE5"/>
    <w:rsid w:val="001C711B"/>
    <w:rsid w:val="001D3744"/>
    <w:rsid w:val="001D45B8"/>
    <w:rsid w:val="001E366C"/>
    <w:rsid w:val="00213DA6"/>
    <w:rsid w:val="00216302"/>
    <w:rsid w:val="00216501"/>
    <w:rsid w:val="00223515"/>
    <w:rsid w:val="00235BC4"/>
    <w:rsid w:val="00236D2D"/>
    <w:rsid w:val="00240D7E"/>
    <w:rsid w:val="00241016"/>
    <w:rsid w:val="00242200"/>
    <w:rsid w:val="00245A2B"/>
    <w:rsid w:val="0027186A"/>
    <w:rsid w:val="002959B9"/>
    <w:rsid w:val="0029741C"/>
    <w:rsid w:val="002D1C62"/>
    <w:rsid w:val="002D367B"/>
    <w:rsid w:val="002D5549"/>
    <w:rsid w:val="002D5D04"/>
    <w:rsid w:val="002E0223"/>
    <w:rsid w:val="00313A09"/>
    <w:rsid w:val="003245C3"/>
    <w:rsid w:val="0033508C"/>
    <w:rsid w:val="00352EED"/>
    <w:rsid w:val="00354EC2"/>
    <w:rsid w:val="00361559"/>
    <w:rsid w:val="00364818"/>
    <w:rsid w:val="00370E3C"/>
    <w:rsid w:val="0037751D"/>
    <w:rsid w:val="00397220"/>
    <w:rsid w:val="003A18EC"/>
    <w:rsid w:val="003A2290"/>
    <w:rsid w:val="003B0A38"/>
    <w:rsid w:val="003E2869"/>
    <w:rsid w:val="003E3722"/>
    <w:rsid w:val="003E655B"/>
    <w:rsid w:val="003E75B2"/>
    <w:rsid w:val="003F4B83"/>
    <w:rsid w:val="003F551B"/>
    <w:rsid w:val="003F776B"/>
    <w:rsid w:val="004227ED"/>
    <w:rsid w:val="00444E6D"/>
    <w:rsid w:val="00445BCE"/>
    <w:rsid w:val="00454F25"/>
    <w:rsid w:val="0047088C"/>
    <w:rsid w:val="004710B8"/>
    <w:rsid w:val="004712A0"/>
    <w:rsid w:val="00481590"/>
    <w:rsid w:val="00495A98"/>
    <w:rsid w:val="004B0A86"/>
    <w:rsid w:val="004B734C"/>
    <w:rsid w:val="004F2EE1"/>
    <w:rsid w:val="00515156"/>
    <w:rsid w:val="00522ADB"/>
    <w:rsid w:val="0053221B"/>
    <w:rsid w:val="00533E65"/>
    <w:rsid w:val="0056681E"/>
    <w:rsid w:val="005671A5"/>
    <w:rsid w:val="00572AA9"/>
    <w:rsid w:val="00577FF6"/>
    <w:rsid w:val="00595906"/>
    <w:rsid w:val="005B11F9"/>
    <w:rsid w:val="005D38B6"/>
    <w:rsid w:val="005D56AA"/>
    <w:rsid w:val="005E0875"/>
    <w:rsid w:val="0060148C"/>
    <w:rsid w:val="00631D73"/>
    <w:rsid w:val="0065055F"/>
    <w:rsid w:val="0067336C"/>
    <w:rsid w:val="006930FB"/>
    <w:rsid w:val="00694C28"/>
    <w:rsid w:val="006A5C63"/>
    <w:rsid w:val="006B19BD"/>
    <w:rsid w:val="006C0831"/>
    <w:rsid w:val="006D6117"/>
    <w:rsid w:val="006D6C10"/>
    <w:rsid w:val="006F0AFA"/>
    <w:rsid w:val="006F3E61"/>
    <w:rsid w:val="006F3FBA"/>
    <w:rsid w:val="00701178"/>
    <w:rsid w:val="00714E12"/>
    <w:rsid w:val="00766795"/>
    <w:rsid w:val="00766FB5"/>
    <w:rsid w:val="007721C0"/>
    <w:rsid w:val="00774817"/>
    <w:rsid w:val="00785702"/>
    <w:rsid w:val="00791AFC"/>
    <w:rsid w:val="007B201A"/>
    <w:rsid w:val="007C2143"/>
    <w:rsid w:val="007D5256"/>
    <w:rsid w:val="007E493A"/>
    <w:rsid w:val="007F3ACD"/>
    <w:rsid w:val="0080133F"/>
    <w:rsid w:val="00802A08"/>
    <w:rsid w:val="0080498F"/>
    <w:rsid w:val="00820255"/>
    <w:rsid w:val="0083540C"/>
    <w:rsid w:val="008414B1"/>
    <w:rsid w:val="00860654"/>
    <w:rsid w:val="0086709A"/>
    <w:rsid w:val="008879FF"/>
    <w:rsid w:val="008A1A3A"/>
    <w:rsid w:val="008B2E4F"/>
    <w:rsid w:val="008B7476"/>
    <w:rsid w:val="00903467"/>
    <w:rsid w:val="00906EAA"/>
    <w:rsid w:val="0091459D"/>
    <w:rsid w:val="00933F28"/>
    <w:rsid w:val="009349DB"/>
    <w:rsid w:val="009357ED"/>
    <w:rsid w:val="00936DD8"/>
    <w:rsid w:val="00942B38"/>
    <w:rsid w:val="00956F76"/>
    <w:rsid w:val="00970DD2"/>
    <w:rsid w:val="0098560F"/>
    <w:rsid w:val="009A0D3A"/>
    <w:rsid w:val="009A312D"/>
    <w:rsid w:val="009A73F0"/>
    <w:rsid w:val="009D0F50"/>
    <w:rsid w:val="009D15F1"/>
    <w:rsid w:val="009D2B10"/>
    <w:rsid w:val="00A05F1C"/>
    <w:rsid w:val="00A2199C"/>
    <w:rsid w:val="00A27F09"/>
    <w:rsid w:val="00A376D1"/>
    <w:rsid w:val="00A43896"/>
    <w:rsid w:val="00A4711F"/>
    <w:rsid w:val="00A5026A"/>
    <w:rsid w:val="00A6244E"/>
    <w:rsid w:val="00AB062A"/>
    <w:rsid w:val="00AD1EB4"/>
    <w:rsid w:val="00AD5DF4"/>
    <w:rsid w:val="00AE2D80"/>
    <w:rsid w:val="00B02A8F"/>
    <w:rsid w:val="00B04D1D"/>
    <w:rsid w:val="00B06328"/>
    <w:rsid w:val="00B34BBB"/>
    <w:rsid w:val="00B407D6"/>
    <w:rsid w:val="00B41635"/>
    <w:rsid w:val="00B5357A"/>
    <w:rsid w:val="00B542E4"/>
    <w:rsid w:val="00B5634E"/>
    <w:rsid w:val="00B60C0E"/>
    <w:rsid w:val="00B626AE"/>
    <w:rsid w:val="00B8332D"/>
    <w:rsid w:val="00B936E4"/>
    <w:rsid w:val="00B96A44"/>
    <w:rsid w:val="00BB34A0"/>
    <w:rsid w:val="00BB4713"/>
    <w:rsid w:val="00BB6450"/>
    <w:rsid w:val="00BC35AE"/>
    <w:rsid w:val="00BE6537"/>
    <w:rsid w:val="00BF3B63"/>
    <w:rsid w:val="00C02932"/>
    <w:rsid w:val="00C062B4"/>
    <w:rsid w:val="00C0783B"/>
    <w:rsid w:val="00C12F94"/>
    <w:rsid w:val="00C24180"/>
    <w:rsid w:val="00C30F0F"/>
    <w:rsid w:val="00C4189F"/>
    <w:rsid w:val="00C4358C"/>
    <w:rsid w:val="00C503A7"/>
    <w:rsid w:val="00C5215F"/>
    <w:rsid w:val="00C64549"/>
    <w:rsid w:val="00C7317E"/>
    <w:rsid w:val="00C865D6"/>
    <w:rsid w:val="00CA08C4"/>
    <w:rsid w:val="00CA7768"/>
    <w:rsid w:val="00CB4A28"/>
    <w:rsid w:val="00CC3D1E"/>
    <w:rsid w:val="00CC5FDE"/>
    <w:rsid w:val="00CE6C53"/>
    <w:rsid w:val="00D02F32"/>
    <w:rsid w:val="00D20B97"/>
    <w:rsid w:val="00D34EA0"/>
    <w:rsid w:val="00D756EF"/>
    <w:rsid w:val="00D80805"/>
    <w:rsid w:val="00D96588"/>
    <w:rsid w:val="00DD6907"/>
    <w:rsid w:val="00DD7526"/>
    <w:rsid w:val="00DE22DC"/>
    <w:rsid w:val="00E04A3F"/>
    <w:rsid w:val="00E13123"/>
    <w:rsid w:val="00E378CF"/>
    <w:rsid w:val="00E42617"/>
    <w:rsid w:val="00E64957"/>
    <w:rsid w:val="00E671C3"/>
    <w:rsid w:val="00E76717"/>
    <w:rsid w:val="00E90142"/>
    <w:rsid w:val="00E9269E"/>
    <w:rsid w:val="00EC4006"/>
    <w:rsid w:val="00EC419C"/>
    <w:rsid w:val="00EC52B6"/>
    <w:rsid w:val="00F050D6"/>
    <w:rsid w:val="00F05C09"/>
    <w:rsid w:val="00F06EE8"/>
    <w:rsid w:val="00F07349"/>
    <w:rsid w:val="00F10EE9"/>
    <w:rsid w:val="00F113EF"/>
    <w:rsid w:val="00F126F3"/>
    <w:rsid w:val="00F16266"/>
    <w:rsid w:val="00F22AE5"/>
    <w:rsid w:val="00F27D60"/>
    <w:rsid w:val="00F46859"/>
    <w:rsid w:val="00F52039"/>
    <w:rsid w:val="00F600B9"/>
    <w:rsid w:val="00F63C9F"/>
    <w:rsid w:val="00F65A1D"/>
    <w:rsid w:val="00F773CD"/>
    <w:rsid w:val="00F8028E"/>
    <w:rsid w:val="00F829C0"/>
    <w:rsid w:val="00F829F6"/>
    <w:rsid w:val="00F9356E"/>
    <w:rsid w:val="00F96FEE"/>
    <w:rsid w:val="00FE1317"/>
    <w:rsid w:val="00FF30D5"/>
    <w:rsid w:val="3A336B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before="60" w:after="60" w:line="288" w:lineRule="auto"/>
        <w:ind w:left="357" w:hanging="35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2"/>
      </w:numPr>
      <w:contextualSpacing/>
    </w:pPr>
  </w:style>
  <w:style w:type="paragraph" w:styleId="List">
    <w:name w:val="List"/>
    <w:basedOn w:val="Normal"/>
    <w:uiPriority w:val="99"/>
    <w:rsid w:val="00F06EE8"/>
    <w:pPr>
      <w:numPr>
        <w:numId w:val="2"/>
      </w:numPr>
      <w:ind w:left="454" w:hanging="454"/>
    </w:pPr>
  </w:style>
  <w:style w:type="paragraph" w:styleId="List2">
    <w:name w:val="List 2"/>
    <w:basedOn w:val="Normal"/>
    <w:uiPriority w:val="99"/>
    <w:rsid w:val="00906EAA"/>
    <w:pPr>
      <w:numPr>
        <w:ilvl w:val="1"/>
        <w:numId w:val="2"/>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ind w:left="357" w:hanging="357"/>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4"/>
      </w:numPr>
      <w:tabs>
        <w:tab w:val="clear" w:pos="643"/>
      </w:tabs>
      <w:contextualSpacing/>
    </w:pPr>
  </w:style>
  <w:style w:type="paragraph" w:styleId="ListBullet">
    <w:name w:val="List Bullet"/>
    <w:basedOn w:val="Normal"/>
    <w:uiPriority w:val="99"/>
    <w:qFormat/>
    <w:rsid w:val="003B0A38"/>
    <w:pPr>
      <w:numPr>
        <w:numId w:val="3"/>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7"/>
      </w:numPr>
      <w:spacing w:before="40" w:after="0" w:line="240" w:lineRule="auto"/>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A376D1"/>
    <w:pPr>
      <w:spacing w:after="0" w:line="240" w:lineRule="auto"/>
    </w:pPr>
    <w:rPr>
      <w:sz w:val="24"/>
    </w:rPr>
  </w:style>
  <w:style w:type="character" w:styleId="Hyperlink">
    <w:name w:val="Hyperlink"/>
    <w:basedOn w:val="DefaultParagraphFont"/>
    <w:uiPriority w:val="99"/>
    <w:semiHidden/>
    <w:unhideWhenUsed/>
    <w:rsid w:val="00A376D1"/>
    <w:rPr>
      <w:color w:val="0563C1" w:themeColor="hyperlink"/>
      <w:u w:val="single"/>
    </w:rPr>
  </w:style>
  <w:style w:type="character" w:customStyle="1" w:styleId="normaltextrun">
    <w:name w:val="normaltextrun"/>
    <w:basedOn w:val="DefaultParagraphFont"/>
    <w:rsid w:val="00A05F1C"/>
  </w:style>
  <w:style w:type="character" w:customStyle="1" w:styleId="eop">
    <w:name w:val="eop"/>
    <w:basedOn w:val="DefaultParagraphFont"/>
    <w:rsid w:val="00A0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014916">
      <w:bodyDiv w:val="1"/>
      <w:marLeft w:val="0"/>
      <w:marRight w:val="0"/>
      <w:marTop w:val="0"/>
      <w:marBottom w:val="0"/>
      <w:divBdr>
        <w:top w:val="none" w:sz="0" w:space="0" w:color="auto"/>
        <w:left w:val="none" w:sz="0" w:space="0" w:color="auto"/>
        <w:bottom w:val="none" w:sz="0" w:space="0" w:color="auto"/>
        <w:right w:val="none" w:sz="0" w:space="0" w:color="auto"/>
      </w:divBdr>
    </w:div>
    <w:div w:id="2095121863">
      <w:bodyDiv w:val="1"/>
      <w:marLeft w:val="0"/>
      <w:marRight w:val="0"/>
      <w:marTop w:val="0"/>
      <w:marBottom w:val="0"/>
      <w:divBdr>
        <w:top w:val="none" w:sz="0" w:space="0" w:color="auto"/>
        <w:left w:val="none" w:sz="0" w:space="0" w:color="auto"/>
        <w:bottom w:val="none" w:sz="0" w:space="0" w:color="auto"/>
        <w:right w:val="none" w:sz="0" w:space="0" w:color="auto"/>
      </w:divBdr>
      <w:divsChild>
        <w:div w:id="7682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Props1.xml><?xml version="1.0" encoding="utf-8"?>
<ds:datastoreItem xmlns:ds="http://schemas.openxmlformats.org/officeDocument/2006/customXml" ds:itemID="{748A1A39-5339-4D98-A0BC-8A9572F0C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14D56-2F8E-40CB-8F15-EEF305675399}">
  <ds:schemaRefs>
    <ds:schemaRef ds:uri="http://schemas.microsoft.com/sharepoint/v3/contenttype/forms"/>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27CB48FC-BDF7-4734-BC18-76447B96CFDE}">
  <ds:schemaRefs>
    <ds:schemaRef ds:uri="http://schemas.microsoft.com/office/2006/metadata/properties"/>
    <ds:schemaRef ds:uri="http://schemas.microsoft.com/office/infopath/2007/PartnerControls"/>
    <ds:schemaRef ds:uri="b596ea4a-b042-439d-b41d-6c510a3c906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Sacha Robinson</cp:lastModifiedBy>
  <cp:revision>6</cp:revision>
  <dcterms:created xsi:type="dcterms:W3CDTF">2024-08-28T23:00:00Z</dcterms:created>
  <dcterms:modified xsi:type="dcterms:W3CDTF">2024-08-28T23:17:00Z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2024-04-28T20:48:32Z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6d6f0592-8ccf-4cad-b148-a71b78f66fec</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