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6DF72A5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1E412244" w14:textId="72135247" w:rsidR="000710E0" w:rsidRPr="00FD13BE" w:rsidRDefault="007A7EBC" w:rsidP="00FD13BE">
      <w:pPr>
        <w:pStyle w:val="Heading1"/>
        <w:ind w:left="142"/>
        <w:rPr>
          <w:color w:val="FFFFFF" w:themeColor="background1"/>
          <w:lang w:val="en-NZ"/>
        </w:rPr>
      </w:pPr>
      <w:r w:rsidRPr="007A7EBC">
        <w:rPr>
          <w:color w:val="FFFFFF" w:themeColor="background1"/>
          <w:lang w:val="en-NZ"/>
        </w:rPr>
        <w:t>Manager Operational Products and Support Data Strategy, Systems, and Products</w:t>
      </w:r>
    </w:p>
    <w:p w14:paraId="61300591" w14:textId="77777777" w:rsidR="007A7EBC" w:rsidRDefault="007A7EBC" w:rsidP="000710E0">
      <w:pPr>
        <w:pStyle w:val="Heading2"/>
        <w:jc w:val="center"/>
        <w:rPr>
          <w:color w:val="auto"/>
        </w:rPr>
      </w:pPr>
    </w:p>
    <w:p w14:paraId="0E99AF74" w14:textId="7D953C1C"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3B6D9C6A" w14:textId="155038C2" w:rsidR="007A7EBC" w:rsidRPr="007A7EBC" w:rsidRDefault="007A7EBC" w:rsidP="007A7EBC">
      <w:pPr>
        <w:pStyle w:val="Heading3"/>
        <w:rPr>
          <w:rFonts w:eastAsia="Calibri"/>
          <w:b w:val="0"/>
          <w:sz w:val="20"/>
          <w:szCs w:val="22"/>
          <w:lang w:eastAsia="en-US"/>
        </w:rPr>
      </w:pPr>
      <w:r w:rsidRPr="007A7EBC">
        <w:rPr>
          <w:rFonts w:eastAsia="Calibri"/>
          <w:b w:val="0"/>
          <w:sz w:val="20"/>
          <w:szCs w:val="22"/>
          <w:lang w:eastAsia="en-US"/>
        </w:rPr>
        <w:t>The Manager Operational Products and Support is responsible for developing</w:t>
      </w:r>
      <w:r>
        <w:rPr>
          <w:rFonts w:eastAsia="Calibri"/>
          <w:b w:val="0"/>
          <w:sz w:val="20"/>
          <w:szCs w:val="22"/>
          <w:lang w:eastAsia="en-US"/>
        </w:rPr>
        <w:t xml:space="preserve"> and</w:t>
      </w:r>
      <w:r w:rsidRPr="007A7EBC">
        <w:rPr>
          <w:rFonts w:eastAsia="Calibri"/>
          <w:b w:val="0"/>
          <w:sz w:val="20"/>
          <w:szCs w:val="22"/>
          <w:lang w:eastAsia="en-US"/>
        </w:rPr>
        <w:t xml:space="preserve"> driving MSD’s data product strategy. They will understand how data can drive better decisions, particularly in a front-line context, and </w:t>
      </w:r>
      <w:r w:rsidR="00495962">
        <w:rPr>
          <w:rFonts w:eastAsia="Calibri"/>
          <w:b w:val="0"/>
          <w:sz w:val="20"/>
          <w:szCs w:val="22"/>
          <w:lang w:eastAsia="en-US"/>
        </w:rPr>
        <w:t>will</w:t>
      </w:r>
      <w:r w:rsidRPr="007A7EBC">
        <w:rPr>
          <w:rFonts w:eastAsia="Calibri"/>
          <w:b w:val="0"/>
          <w:sz w:val="20"/>
          <w:szCs w:val="22"/>
          <w:lang w:eastAsia="en-US"/>
        </w:rPr>
        <w:t xml:space="preserve"> ensure products are tailored to support those operational decisions.</w:t>
      </w:r>
    </w:p>
    <w:p w14:paraId="77166B44" w14:textId="6FAFDAD7" w:rsidR="007A7EBC" w:rsidRPr="007A7EBC" w:rsidRDefault="007A7EBC" w:rsidP="007A7EBC">
      <w:pPr>
        <w:pStyle w:val="Heading3"/>
        <w:rPr>
          <w:rFonts w:eastAsia="Calibri"/>
          <w:b w:val="0"/>
          <w:sz w:val="20"/>
          <w:szCs w:val="22"/>
          <w:lang w:eastAsia="en-US"/>
        </w:rPr>
      </w:pPr>
      <w:r w:rsidRPr="007A7EBC">
        <w:rPr>
          <w:rFonts w:eastAsia="Calibri"/>
          <w:b w:val="0"/>
          <w:sz w:val="20"/>
          <w:szCs w:val="22"/>
          <w:lang w:eastAsia="en-US"/>
        </w:rPr>
        <w:t>They will have experience with software development lifecycles, and a comprehensive understanding of how to deliver a data product that is responsive to the specific circumstances and role of a given user and ensuring that a complicated codebase adheres as closely as possible to DRY (Don’t Repeat Yourself) principles for simplicity, consistency, and sustainability of development.</w:t>
      </w:r>
    </w:p>
    <w:p w14:paraId="45975190" w14:textId="419E3914" w:rsidR="007A7EBC" w:rsidRPr="007A7EBC" w:rsidRDefault="007A7EBC" w:rsidP="007A7EBC">
      <w:pPr>
        <w:pStyle w:val="Heading3"/>
        <w:rPr>
          <w:rFonts w:eastAsia="Calibri"/>
          <w:b w:val="0"/>
          <w:sz w:val="20"/>
          <w:szCs w:val="22"/>
          <w:lang w:eastAsia="en-US"/>
        </w:rPr>
      </w:pPr>
      <w:r w:rsidRPr="007A7EBC">
        <w:rPr>
          <w:rFonts w:eastAsia="Calibri"/>
          <w:b w:val="0"/>
          <w:sz w:val="20"/>
          <w:szCs w:val="22"/>
          <w:lang w:eastAsia="en-US"/>
        </w:rPr>
        <w:t>They will also be responsible for ensuring the on-going capacity and capability of their team to deliver on the immediate and on-going requirements of the work programme.  This will be accomplished through the management of all available resources, relationships, and systems and processes necessary to ensure the effective management and the quality of their areas of work</w:t>
      </w:r>
      <w:r w:rsidR="00495962">
        <w:rPr>
          <w:rFonts w:eastAsia="Calibri"/>
          <w:b w:val="0"/>
          <w:sz w:val="20"/>
          <w:szCs w:val="22"/>
          <w:lang w:eastAsia="en-US"/>
        </w:rPr>
        <w:t>.</w:t>
      </w:r>
    </w:p>
    <w:p w14:paraId="5920E51E" w14:textId="47A62EE6" w:rsidR="007A7EBC" w:rsidRPr="007A7EBC" w:rsidRDefault="007A7EBC" w:rsidP="007A7EBC">
      <w:pPr>
        <w:pStyle w:val="Heading3"/>
        <w:rPr>
          <w:rFonts w:eastAsia="Calibri"/>
          <w:bCs/>
          <w:sz w:val="20"/>
          <w:szCs w:val="22"/>
          <w:lang w:eastAsia="en-US"/>
        </w:rPr>
      </w:pPr>
      <w:r w:rsidRPr="007A7EBC">
        <w:rPr>
          <w:rFonts w:eastAsia="Calibri"/>
          <w:bCs/>
          <w:sz w:val="20"/>
          <w:szCs w:val="22"/>
          <w:lang w:eastAsia="en-US"/>
        </w:rPr>
        <w:t>Data Strategy and</w:t>
      </w:r>
      <w:r w:rsidR="00B62136">
        <w:rPr>
          <w:rFonts w:eastAsia="Calibri"/>
          <w:bCs/>
          <w:sz w:val="20"/>
          <w:szCs w:val="22"/>
          <w:lang w:eastAsia="en-US"/>
        </w:rPr>
        <w:t xml:space="preserve"> Operational</w:t>
      </w:r>
      <w:r w:rsidRPr="007A7EBC">
        <w:rPr>
          <w:rFonts w:eastAsia="Calibri"/>
          <w:bCs/>
          <w:sz w:val="20"/>
          <w:szCs w:val="22"/>
          <w:lang w:eastAsia="en-US"/>
        </w:rPr>
        <w:t xml:space="preserve"> Products</w:t>
      </w:r>
    </w:p>
    <w:p w14:paraId="221A6CF5" w14:textId="4D62103C" w:rsidR="007A7EBC" w:rsidRPr="007A7EBC" w:rsidRDefault="007A7EBC" w:rsidP="007A7EBC">
      <w:pPr>
        <w:pStyle w:val="Heading3"/>
        <w:rPr>
          <w:rFonts w:eastAsia="Calibri"/>
          <w:b w:val="0"/>
          <w:sz w:val="20"/>
          <w:szCs w:val="22"/>
          <w:lang w:eastAsia="en-US"/>
        </w:rPr>
      </w:pPr>
      <w:r w:rsidRPr="007A7EBC">
        <w:rPr>
          <w:rFonts w:eastAsia="Calibri"/>
          <w:b w:val="0"/>
          <w:sz w:val="20"/>
          <w:szCs w:val="22"/>
          <w:lang w:eastAsia="en-US"/>
        </w:rPr>
        <w:t xml:space="preserve">The Data Strategy and </w:t>
      </w:r>
      <w:r w:rsidR="001E28EA">
        <w:rPr>
          <w:rFonts w:eastAsia="Calibri"/>
          <w:b w:val="0"/>
          <w:sz w:val="20"/>
          <w:szCs w:val="22"/>
          <w:lang w:eastAsia="en-US"/>
        </w:rPr>
        <w:t xml:space="preserve">Operational </w:t>
      </w:r>
      <w:r w:rsidRPr="007A7EBC">
        <w:rPr>
          <w:rFonts w:eastAsia="Calibri"/>
          <w:b w:val="0"/>
          <w:sz w:val="20"/>
          <w:szCs w:val="22"/>
          <w:lang w:eastAsia="en-US"/>
        </w:rPr>
        <w:t>Products group has a key role in facilitating how Insights engages with and influences across wider MSD. With a strong focus on product and geospatial capability, alongside close collaboration with other insights teams, we effectively share insights to the frontline and other groups across MSD, in a way that makes data approachable, intuitive, and genuinely supports better decisions every day.</w:t>
      </w:r>
    </w:p>
    <w:p w14:paraId="6AD2A654" w14:textId="77777777" w:rsidR="007A7EBC" w:rsidRPr="007A7EBC" w:rsidRDefault="007A7EBC" w:rsidP="007A7EBC">
      <w:pPr>
        <w:pStyle w:val="Heading3"/>
        <w:rPr>
          <w:rFonts w:eastAsia="Calibri"/>
          <w:bCs/>
          <w:sz w:val="20"/>
          <w:szCs w:val="22"/>
          <w:lang w:eastAsia="en-US"/>
        </w:rPr>
      </w:pPr>
      <w:r w:rsidRPr="007A7EBC">
        <w:rPr>
          <w:rFonts w:eastAsia="Calibri"/>
          <w:bCs/>
          <w:sz w:val="20"/>
          <w:szCs w:val="22"/>
          <w:lang w:eastAsia="en-US"/>
        </w:rPr>
        <w:t>Insights MSD</w:t>
      </w:r>
    </w:p>
    <w:p w14:paraId="23B4F1E0" w14:textId="77777777" w:rsidR="00495962" w:rsidRDefault="007A7EBC" w:rsidP="007A7EBC">
      <w:pPr>
        <w:pStyle w:val="Heading3"/>
        <w:rPr>
          <w:rFonts w:eastAsia="Calibri"/>
          <w:b w:val="0"/>
          <w:sz w:val="20"/>
          <w:szCs w:val="22"/>
          <w:lang w:eastAsia="en-US"/>
        </w:rPr>
      </w:pPr>
      <w:r w:rsidRPr="007A7EBC">
        <w:rPr>
          <w:rFonts w:eastAsia="Calibri"/>
          <w:b w:val="0"/>
          <w:sz w:val="20"/>
          <w:szCs w:val="22"/>
          <w:lang w:eastAsia="en-US"/>
        </w:rPr>
        <w:t>Insights MSD is a group within Strategy &amp; Insights with specific responsibility to develop and operate data and analytics capability, generate actionable insights, and provide tools to support decision making. The group’s focus is supporting people to make better decisions to improve New Zealanders’ lives, by making better use of data, information, and evidence.</w:t>
      </w:r>
    </w:p>
    <w:p w14:paraId="2EC18287" w14:textId="6E007C7E" w:rsidR="0080061F" w:rsidRPr="00A70B36" w:rsidRDefault="0080061F" w:rsidP="007A7EBC">
      <w:pPr>
        <w:pStyle w:val="Heading3"/>
      </w:pPr>
      <w:r w:rsidRPr="00A70B36">
        <w:t>Location</w:t>
      </w:r>
    </w:p>
    <w:p w14:paraId="50B953AD" w14:textId="5F546CF8" w:rsidR="0080061F" w:rsidRDefault="00495962" w:rsidP="0080061F">
      <w:r>
        <w:t>National Office, Wellington</w:t>
      </w:r>
    </w:p>
    <w:p w14:paraId="70CBFD7E" w14:textId="77777777" w:rsidR="0080061F" w:rsidRDefault="0080061F" w:rsidP="0080061F">
      <w:pPr>
        <w:pStyle w:val="Heading3"/>
      </w:pPr>
      <w:r>
        <w:t>Reports to</w:t>
      </w:r>
    </w:p>
    <w:p w14:paraId="2A06432B" w14:textId="4615B01A" w:rsidR="00495962" w:rsidRDefault="00495962" w:rsidP="00495962">
      <w:pPr>
        <w:spacing w:after="0" w:line="240" w:lineRule="auto"/>
      </w:pPr>
      <w:r>
        <w:t xml:space="preserve">General Manager, </w:t>
      </w:r>
      <w:r>
        <w:rPr>
          <w:rFonts w:eastAsia="Times New Roman"/>
        </w:rPr>
        <w:t xml:space="preserve">Data Strategy &amp; </w:t>
      </w:r>
      <w:r w:rsidR="001E28EA">
        <w:rPr>
          <w:rFonts w:eastAsia="Times New Roman"/>
        </w:rPr>
        <w:t xml:space="preserve">Operational </w:t>
      </w:r>
      <w:r>
        <w:rPr>
          <w:rFonts w:eastAsia="Times New Roman"/>
        </w:rPr>
        <w:t>Products</w:t>
      </w:r>
    </w:p>
    <w:p w14:paraId="3BD35AB1" w14:textId="44E54148" w:rsidR="0080061F" w:rsidRDefault="0080061F" w:rsidP="0080061F">
      <w:pPr>
        <w:spacing w:after="0" w:line="240" w:lineRule="auto"/>
      </w:pPr>
    </w:p>
    <w:p w14:paraId="364B1823" w14:textId="77777777" w:rsidR="0080061F" w:rsidRPr="007452CC" w:rsidRDefault="0080061F" w:rsidP="0055724C">
      <w:pPr>
        <w:pStyle w:val="Heading2"/>
        <w:spacing w:before="360"/>
        <w:rPr>
          <w:color w:val="auto"/>
        </w:rPr>
      </w:pPr>
      <w:r w:rsidRPr="007452CC">
        <w:rPr>
          <w:color w:val="auto"/>
        </w:rPr>
        <w:t>Key responsibilities</w:t>
      </w:r>
    </w:p>
    <w:p w14:paraId="2A658C1A" w14:textId="77777777" w:rsidR="00495962" w:rsidRPr="007452CC" w:rsidRDefault="00495962" w:rsidP="00495962">
      <w:pPr>
        <w:pStyle w:val="Heading3-leftaligned"/>
        <w:rPr>
          <w:color w:val="auto"/>
        </w:rPr>
      </w:pPr>
      <w:r w:rsidRPr="007452CC">
        <w:rPr>
          <w:color w:val="auto"/>
        </w:rPr>
        <w:t>Leadership</w:t>
      </w:r>
    </w:p>
    <w:p w14:paraId="14BC7F0A" w14:textId="7E1C6B55" w:rsidR="00495962" w:rsidRPr="007452CC" w:rsidRDefault="00495962" w:rsidP="00495962">
      <w:pPr>
        <w:pStyle w:val="Bullet1"/>
        <w:numPr>
          <w:ilvl w:val="0"/>
          <w:numId w:val="11"/>
        </w:numPr>
        <w:tabs>
          <w:tab w:val="clear" w:pos="454"/>
        </w:tabs>
        <w:spacing w:before="60" w:after="60"/>
      </w:pPr>
      <w:r w:rsidRPr="007452CC">
        <w:t>Provide leadership to the team.</w:t>
      </w:r>
    </w:p>
    <w:p w14:paraId="1E6261F3" w14:textId="53F76767" w:rsidR="00495962" w:rsidRPr="007452CC" w:rsidRDefault="00495962" w:rsidP="00495962">
      <w:pPr>
        <w:pStyle w:val="Bullet1"/>
        <w:numPr>
          <w:ilvl w:val="0"/>
          <w:numId w:val="11"/>
        </w:numPr>
        <w:tabs>
          <w:tab w:val="clear" w:pos="454"/>
        </w:tabs>
        <w:spacing w:before="60" w:after="60"/>
      </w:pPr>
      <w:r w:rsidRPr="007452CC">
        <w:t xml:space="preserve">Clarify roles and responsibilities for delivery of the work </w:t>
      </w:r>
      <w:proofErr w:type="spellStart"/>
      <w:r w:rsidRPr="007452CC">
        <w:t>programme</w:t>
      </w:r>
      <w:proofErr w:type="spellEnd"/>
      <w:r w:rsidRPr="007452CC">
        <w:t xml:space="preserve"> and ensure, in conjunction with the General Manager, the effective and efficient allocation and use of resources to achieve MSD’s priorities.</w:t>
      </w:r>
    </w:p>
    <w:p w14:paraId="3F546D69" w14:textId="77777777" w:rsidR="00495962" w:rsidRPr="007452CC" w:rsidRDefault="00495962" w:rsidP="00495962">
      <w:pPr>
        <w:pStyle w:val="Heading3-leftaligned"/>
        <w:rPr>
          <w:color w:val="auto"/>
        </w:rPr>
      </w:pPr>
      <w:r w:rsidRPr="007452CC">
        <w:rPr>
          <w:color w:val="auto"/>
        </w:rPr>
        <w:lastRenderedPageBreak/>
        <w:t>Strategic Management</w:t>
      </w:r>
    </w:p>
    <w:p w14:paraId="24F62F96" w14:textId="5F143CC8" w:rsidR="00495962" w:rsidRPr="007452CC" w:rsidRDefault="00495962" w:rsidP="00495962">
      <w:pPr>
        <w:pStyle w:val="Bullet1"/>
        <w:numPr>
          <w:ilvl w:val="0"/>
          <w:numId w:val="11"/>
        </w:numPr>
        <w:tabs>
          <w:tab w:val="clear" w:pos="454"/>
        </w:tabs>
        <w:spacing w:before="60" w:after="60"/>
      </w:pPr>
      <w:r w:rsidRPr="007452CC">
        <w:t>Participate in and support the process of strategic management, including planning, within Insights MSD.</w:t>
      </w:r>
    </w:p>
    <w:p w14:paraId="0806CBDD" w14:textId="7657D0FF" w:rsidR="00495962" w:rsidRPr="007452CC" w:rsidRDefault="00495962" w:rsidP="00495962">
      <w:pPr>
        <w:pStyle w:val="Bullet1"/>
        <w:numPr>
          <w:ilvl w:val="0"/>
          <w:numId w:val="11"/>
        </w:numPr>
        <w:tabs>
          <w:tab w:val="clear" w:pos="454"/>
        </w:tabs>
        <w:spacing w:before="60" w:after="60"/>
      </w:pPr>
      <w:r w:rsidRPr="007452CC">
        <w:t xml:space="preserve">Initiate, develop, and implement strategy that will contribute to the strategic development of Insights and </w:t>
      </w:r>
      <w:proofErr w:type="gramStart"/>
      <w:r w:rsidRPr="007452CC">
        <w:t>MSD as a whole</w:t>
      </w:r>
      <w:proofErr w:type="gramEnd"/>
      <w:r w:rsidRPr="007452CC">
        <w:t>.</w:t>
      </w:r>
    </w:p>
    <w:p w14:paraId="07C78826" w14:textId="77777777" w:rsidR="00495962" w:rsidRPr="007452CC" w:rsidRDefault="00495962" w:rsidP="00495962">
      <w:pPr>
        <w:pStyle w:val="Heading3-leftaligned"/>
        <w:rPr>
          <w:color w:val="auto"/>
        </w:rPr>
      </w:pPr>
      <w:r w:rsidRPr="007452CC">
        <w:rPr>
          <w:color w:val="auto"/>
        </w:rPr>
        <w:t>Finance and Resource Management</w:t>
      </w:r>
    </w:p>
    <w:p w14:paraId="0CBEC963" w14:textId="2ADA7034" w:rsidR="00495962" w:rsidRPr="007452CC" w:rsidRDefault="00495962" w:rsidP="00495962">
      <w:pPr>
        <w:pStyle w:val="Bullet1"/>
        <w:numPr>
          <w:ilvl w:val="0"/>
          <w:numId w:val="11"/>
        </w:numPr>
        <w:tabs>
          <w:tab w:val="clear" w:pos="454"/>
        </w:tabs>
        <w:spacing w:before="60" w:after="60"/>
      </w:pPr>
      <w:r w:rsidRPr="007452CC">
        <w:t>Ensure the team complies with the financial management systems and delegations of MSD and the Public Finance Act.</w:t>
      </w:r>
    </w:p>
    <w:p w14:paraId="0E409B8E" w14:textId="190F3F14" w:rsidR="00495962" w:rsidRPr="007452CC" w:rsidRDefault="00495962" w:rsidP="00495962">
      <w:pPr>
        <w:pStyle w:val="Bullet1"/>
        <w:numPr>
          <w:ilvl w:val="0"/>
          <w:numId w:val="11"/>
        </w:numPr>
        <w:tabs>
          <w:tab w:val="clear" w:pos="454"/>
        </w:tabs>
        <w:spacing w:before="60" w:after="60"/>
      </w:pPr>
      <w:r w:rsidRPr="007452CC">
        <w:t>Exercise financial and human resource delegations appropriately.</w:t>
      </w:r>
    </w:p>
    <w:p w14:paraId="5F9C6017" w14:textId="39222C61" w:rsidR="00495962" w:rsidRPr="007452CC" w:rsidRDefault="00495962" w:rsidP="00495962">
      <w:pPr>
        <w:pStyle w:val="Bullet1"/>
        <w:numPr>
          <w:ilvl w:val="0"/>
          <w:numId w:val="11"/>
        </w:numPr>
        <w:tabs>
          <w:tab w:val="clear" w:pos="454"/>
        </w:tabs>
        <w:spacing w:before="60" w:after="60"/>
      </w:pPr>
      <w:r w:rsidRPr="007452CC">
        <w:t>Establish, monitor, and report on budget expenditure.</w:t>
      </w:r>
    </w:p>
    <w:p w14:paraId="01061F4C" w14:textId="42ED8D2B" w:rsidR="00495962" w:rsidRPr="007452CC" w:rsidRDefault="00495962" w:rsidP="00495962">
      <w:pPr>
        <w:pStyle w:val="Bullet1"/>
        <w:numPr>
          <w:ilvl w:val="0"/>
          <w:numId w:val="11"/>
        </w:numPr>
        <w:tabs>
          <w:tab w:val="clear" w:pos="454"/>
        </w:tabs>
        <w:spacing w:before="60" w:after="60"/>
      </w:pPr>
      <w:r w:rsidRPr="007452CC">
        <w:t>Comply with all financial, ethical, and other requirements in accordance with MSD’s policies and the standards expected of public servants.</w:t>
      </w:r>
    </w:p>
    <w:p w14:paraId="62EB4986" w14:textId="77777777" w:rsidR="00495962" w:rsidRPr="007452CC" w:rsidRDefault="00495962" w:rsidP="00495962">
      <w:pPr>
        <w:pStyle w:val="Heading3-leftaligned"/>
        <w:rPr>
          <w:color w:val="auto"/>
        </w:rPr>
      </w:pPr>
      <w:r w:rsidRPr="007452CC">
        <w:rPr>
          <w:color w:val="auto"/>
        </w:rPr>
        <w:t>Technical Knowledge, Analysis and Reporting</w:t>
      </w:r>
    </w:p>
    <w:p w14:paraId="77708C3E" w14:textId="2E4D7D6B" w:rsidR="00495962" w:rsidRPr="007452CC" w:rsidRDefault="00495962" w:rsidP="00495962">
      <w:pPr>
        <w:pStyle w:val="Bullet1"/>
        <w:numPr>
          <w:ilvl w:val="0"/>
          <w:numId w:val="11"/>
        </w:numPr>
        <w:tabs>
          <w:tab w:val="clear" w:pos="454"/>
        </w:tabs>
        <w:spacing w:before="60" w:after="60"/>
      </w:pPr>
      <w:r w:rsidRPr="007452CC">
        <w:t xml:space="preserve">Understand how data products support performance ecosystems, and how to provide the right information at the right level of operations </w:t>
      </w:r>
      <w:proofErr w:type="gramStart"/>
      <w:r w:rsidRPr="007452CC">
        <w:t>in order to</w:t>
      </w:r>
      <w:proofErr w:type="gramEnd"/>
      <w:r w:rsidRPr="007452CC">
        <w:t xml:space="preserve"> drive the right conversations and decisions.</w:t>
      </w:r>
    </w:p>
    <w:p w14:paraId="33C127C7" w14:textId="4C698EEB" w:rsidR="00495962" w:rsidRPr="007452CC" w:rsidRDefault="00495962" w:rsidP="00495962">
      <w:pPr>
        <w:pStyle w:val="Bullet1"/>
        <w:numPr>
          <w:ilvl w:val="0"/>
          <w:numId w:val="11"/>
        </w:numPr>
        <w:tabs>
          <w:tab w:val="clear" w:pos="454"/>
        </w:tabs>
        <w:spacing w:before="60" w:after="60"/>
      </w:pPr>
      <w:r w:rsidRPr="007452CC">
        <w:t>Innovate in data presentation, and coach a team in the importance of an uncompromising approach to user experience and interface design.</w:t>
      </w:r>
    </w:p>
    <w:p w14:paraId="141FBD82" w14:textId="089CB839" w:rsidR="00495962" w:rsidRPr="007452CC" w:rsidRDefault="00495962" w:rsidP="00495962">
      <w:pPr>
        <w:pStyle w:val="Bullet1"/>
        <w:numPr>
          <w:ilvl w:val="0"/>
          <w:numId w:val="11"/>
        </w:numPr>
        <w:tabs>
          <w:tab w:val="clear" w:pos="454"/>
        </w:tabs>
        <w:spacing w:before="60" w:after="60"/>
      </w:pPr>
      <w:r w:rsidRPr="007452CC">
        <w:t>Appropriately balance consistency with existing methodology, numbers, and products, with an appetite for innovation and improvement.</w:t>
      </w:r>
    </w:p>
    <w:p w14:paraId="20B5F141" w14:textId="7F5416EE" w:rsidR="00495962" w:rsidRPr="007452CC" w:rsidRDefault="00495962" w:rsidP="00495962">
      <w:pPr>
        <w:pStyle w:val="Bullet1"/>
        <w:numPr>
          <w:ilvl w:val="0"/>
          <w:numId w:val="11"/>
        </w:numPr>
        <w:tabs>
          <w:tab w:val="clear" w:pos="454"/>
        </w:tabs>
        <w:spacing w:before="60" w:after="60"/>
      </w:pPr>
      <w:r w:rsidRPr="007452CC">
        <w:t>Understand the interplay between human and computer driven decision making, where each is appropriate and how they complement each other to get the best from both.</w:t>
      </w:r>
    </w:p>
    <w:p w14:paraId="7EF519F5" w14:textId="58009974" w:rsidR="00495962" w:rsidRPr="007452CC" w:rsidRDefault="00495962" w:rsidP="00495962">
      <w:pPr>
        <w:pStyle w:val="Bullet1"/>
        <w:numPr>
          <w:ilvl w:val="0"/>
          <w:numId w:val="11"/>
        </w:numPr>
        <w:tabs>
          <w:tab w:val="clear" w:pos="454"/>
        </w:tabs>
        <w:spacing w:before="60" w:after="60"/>
      </w:pPr>
      <w:r w:rsidRPr="007452CC">
        <w:t xml:space="preserve">Work closely with the data warehousing team to </w:t>
      </w:r>
      <w:proofErr w:type="spellStart"/>
      <w:r w:rsidRPr="007452CC">
        <w:t>prioritise</w:t>
      </w:r>
      <w:proofErr w:type="spellEnd"/>
      <w:r w:rsidRPr="007452CC">
        <w:t xml:space="preserve"> and direct development of data models and new/improved ETL.</w:t>
      </w:r>
    </w:p>
    <w:p w14:paraId="1BF1D9EC" w14:textId="3649E462" w:rsidR="00495962" w:rsidRPr="007452CC" w:rsidRDefault="00495962" w:rsidP="00495962">
      <w:pPr>
        <w:pStyle w:val="Bullet1"/>
        <w:numPr>
          <w:ilvl w:val="0"/>
          <w:numId w:val="11"/>
        </w:numPr>
        <w:tabs>
          <w:tab w:val="clear" w:pos="454"/>
        </w:tabs>
        <w:spacing w:before="60" w:after="60"/>
      </w:pPr>
      <w:r w:rsidRPr="007452CC">
        <w:t>Create or seek out new systems or methods that will demonstrate best practice and be a better, more efficient, cost-effective way of doing things.</w:t>
      </w:r>
    </w:p>
    <w:p w14:paraId="2841E769" w14:textId="4BCB417E" w:rsidR="00495962" w:rsidRPr="007452CC" w:rsidRDefault="00495962" w:rsidP="00495962">
      <w:pPr>
        <w:pStyle w:val="Bullet1"/>
        <w:numPr>
          <w:ilvl w:val="0"/>
          <w:numId w:val="11"/>
        </w:numPr>
        <w:tabs>
          <w:tab w:val="clear" w:pos="454"/>
        </w:tabs>
        <w:spacing w:before="60" w:after="60"/>
      </w:pPr>
      <w:r w:rsidRPr="007452CC">
        <w:t>Challenge conventional ways of thinking and assumptions to generate innovative ideas that gain widespread support.</w:t>
      </w:r>
    </w:p>
    <w:p w14:paraId="03577539" w14:textId="5BB60DE6" w:rsidR="00495962" w:rsidRPr="007452CC" w:rsidRDefault="00495962" w:rsidP="00495962">
      <w:pPr>
        <w:pStyle w:val="Bullet1"/>
        <w:numPr>
          <w:ilvl w:val="0"/>
          <w:numId w:val="11"/>
        </w:numPr>
        <w:tabs>
          <w:tab w:val="clear" w:pos="454"/>
        </w:tabs>
        <w:spacing w:before="60" w:after="60"/>
      </w:pPr>
      <w:r w:rsidRPr="007452CC">
        <w:t>Set and achieve high standards of quality and accuracy.</w:t>
      </w:r>
    </w:p>
    <w:p w14:paraId="1697EDE7" w14:textId="180EF685" w:rsidR="00495962" w:rsidRPr="007452CC" w:rsidRDefault="00495962" w:rsidP="00495962">
      <w:pPr>
        <w:pStyle w:val="Bullet1"/>
        <w:numPr>
          <w:ilvl w:val="0"/>
          <w:numId w:val="11"/>
        </w:numPr>
        <w:tabs>
          <w:tab w:val="clear" w:pos="454"/>
        </w:tabs>
        <w:spacing w:before="60" w:after="60"/>
      </w:pPr>
      <w:r w:rsidRPr="007452CC">
        <w:t>Translate complex information into a form that is readily understood by non-technical clients.</w:t>
      </w:r>
    </w:p>
    <w:p w14:paraId="5D8E70B0" w14:textId="77777777" w:rsidR="00495962" w:rsidRPr="007452CC" w:rsidRDefault="00495962" w:rsidP="00495962">
      <w:pPr>
        <w:pStyle w:val="Heading3-leftaligned"/>
        <w:rPr>
          <w:color w:val="auto"/>
        </w:rPr>
      </w:pPr>
      <w:r w:rsidRPr="007452CC">
        <w:rPr>
          <w:color w:val="auto"/>
        </w:rPr>
        <w:t>Staff Management</w:t>
      </w:r>
    </w:p>
    <w:p w14:paraId="3C85EB80" w14:textId="72401F85" w:rsidR="00495962" w:rsidRPr="007452CC" w:rsidRDefault="00495962" w:rsidP="00495962">
      <w:pPr>
        <w:pStyle w:val="Bullet1"/>
        <w:numPr>
          <w:ilvl w:val="0"/>
          <w:numId w:val="11"/>
        </w:numPr>
        <w:tabs>
          <w:tab w:val="clear" w:pos="454"/>
        </w:tabs>
        <w:spacing w:before="60" w:after="60"/>
      </w:pPr>
      <w:r w:rsidRPr="007452CC">
        <w:t xml:space="preserve">Develop a plan to build the capability of staff to meet current and future goals, and to deliver on the immediate and ongoing requirements of the teams work </w:t>
      </w:r>
      <w:proofErr w:type="spellStart"/>
      <w:r w:rsidRPr="007452CC">
        <w:t>programme</w:t>
      </w:r>
      <w:proofErr w:type="spellEnd"/>
      <w:r w:rsidRPr="007452CC">
        <w:t>.</w:t>
      </w:r>
    </w:p>
    <w:p w14:paraId="78A865FD" w14:textId="210631E5" w:rsidR="00495962" w:rsidRPr="007452CC" w:rsidRDefault="00495962" w:rsidP="00495962">
      <w:pPr>
        <w:pStyle w:val="Bullet1"/>
        <w:numPr>
          <w:ilvl w:val="0"/>
          <w:numId w:val="11"/>
        </w:numPr>
        <w:tabs>
          <w:tab w:val="clear" w:pos="454"/>
        </w:tabs>
        <w:spacing w:before="60" w:after="60"/>
      </w:pPr>
      <w:r w:rsidRPr="007452CC">
        <w:t xml:space="preserve">Implement induction and development </w:t>
      </w:r>
      <w:proofErr w:type="spellStart"/>
      <w:r w:rsidRPr="007452CC">
        <w:t>programmes</w:t>
      </w:r>
      <w:proofErr w:type="spellEnd"/>
      <w:r w:rsidRPr="007452CC">
        <w:t xml:space="preserve"> for new staff, and ensure new graduates receive appropriate guidance, development and coaching to progress to analyst status.</w:t>
      </w:r>
    </w:p>
    <w:p w14:paraId="6F5D889A" w14:textId="05B4EC58" w:rsidR="00495962" w:rsidRPr="007452CC" w:rsidRDefault="00495962" w:rsidP="00495962">
      <w:pPr>
        <w:pStyle w:val="Bullet1"/>
        <w:numPr>
          <w:ilvl w:val="0"/>
          <w:numId w:val="11"/>
        </w:numPr>
        <w:tabs>
          <w:tab w:val="clear" w:pos="454"/>
        </w:tabs>
        <w:spacing w:before="60" w:after="60"/>
      </w:pPr>
      <w:r w:rsidRPr="007452CC">
        <w:t>Implement performance management and assessment for staff within the required timeframes.</w:t>
      </w:r>
    </w:p>
    <w:p w14:paraId="478A94B9" w14:textId="08DBB0C2" w:rsidR="00495962" w:rsidRPr="007452CC" w:rsidRDefault="00495962" w:rsidP="00495962">
      <w:pPr>
        <w:pStyle w:val="Bullet1"/>
        <w:numPr>
          <w:ilvl w:val="0"/>
          <w:numId w:val="11"/>
        </w:numPr>
        <w:tabs>
          <w:tab w:val="clear" w:pos="454"/>
        </w:tabs>
        <w:spacing w:before="60" w:after="60"/>
      </w:pPr>
      <w:r w:rsidRPr="007452CC">
        <w:t>Manage day-to-day staffing and human resource issues as required.</w:t>
      </w:r>
    </w:p>
    <w:p w14:paraId="2A786908" w14:textId="77777777" w:rsidR="00495962" w:rsidRPr="007452CC" w:rsidRDefault="00495962" w:rsidP="00495962">
      <w:pPr>
        <w:pStyle w:val="Heading3-leftaligned"/>
        <w:rPr>
          <w:color w:val="auto"/>
        </w:rPr>
      </w:pPr>
      <w:r w:rsidRPr="007452CC">
        <w:rPr>
          <w:color w:val="auto"/>
        </w:rPr>
        <w:t>Relationship Management</w:t>
      </w:r>
    </w:p>
    <w:p w14:paraId="686219FE" w14:textId="71739748" w:rsidR="00495962" w:rsidRPr="007452CC" w:rsidRDefault="00495962" w:rsidP="00495962">
      <w:pPr>
        <w:pStyle w:val="Bullet1"/>
        <w:numPr>
          <w:ilvl w:val="0"/>
          <w:numId w:val="11"/>
        </w:numPr>
        <w:tabs>
          <w:tab w:val="clear" w:pos="454"/>
        </w:tabs>
        <w:spacing w:before="60" w:after="60"/>
      </w:pPr>
      <w:r w:rsidRPr="007452CC">
        <w:t>Manage relationships in support of the team’s role and contribution to the work of Insights MSD and MSD.</w:t>
      </w:r>
    </w:p>
    <w:p w14:paraId="168C070F" w14:textId="6E86EF87" w:rsidR="00495962" w:rsidRPr="007452CC" w:rsidRDefault="00495962" w:rsidP="00495962">
      <w:pPr>
        <w:pStyle w:val="Bullet1"/>
        <w:numPr>
          <w:ilvl w:val="0"/>
          <w:numId w:val="11"/>
        </w:numPr>
        <w:tabs>
          <w:tab w:val="clear" w:pos="454"/>
        </w:tabs>
        <w:spacing w:before="60" w:after="60"/>
      </w:pPr>
      <w:r w:rsidRPr="007452CC">
        <w:lastRenderedPageBreak/>
        <w:t>Develop and maintain networks and relationships with relevant practitioners in New Zealand and offshore.</w:t>
      </w:r>
    </w:p>
    <w:p w14:paraId="14F77F80" w14:textId="1C074E24" w:rsidR="00495962" w:rsidRPr="007452CC" w:rsidRDefault="00495962" w:rsidP="00495962">
      <w:pPr>
        <w:pStyle w:val="Bullet1"/>
        <w:numPr>
          <w:ilvl w:val="0"/>
          <w:numId w:val="11"/>
        </w:numPr>
        <w:tabs>
          <w:tab w:val="clear" w:pos="454"/>
        </w:tabs>
        <w:spacing w:before="60" w:after="60"/>
      </w:pPr>
      <w:r w:rsidRPr="007452CC">
        <w:t>Develop and maintain relationships across MSD.</w:t>
      </w:r>
    </w:p>
    <w:p w14:paraId="75E31C0D" w14:textId="5F4D7778" w:rsidR="00495962" w:rsidRPr="007452CC" w:rsidRDefault="00495962" w:rsidP="00495962">
      <w:pPr>
        <w:pStyle w:val="Bullet1"/>
        <w:numPr>
          <w:ilvl w:val="0"/>
          <w:numId w:val="11"/>
        </w:numPr>
        <w:tabs>
          <w:tab w:val="clear" w:pos="454"/>
        </w:tabs>
        <w:spacing w:before="60" w:after="60"/>
      </w:pPr>
      <w:r w:rsidRPr="007452CC">
        <w:t>Act in a manner which is consultative, non-territorial and collegial.</w:t>
      </w:r>
    </w:p>
    <w:p w14:paraId="44FD6DA3" w14:textId="5E805F53" w:rsidR="00495962" w:rsidRPr="007452CC" w:rsidRDefault="00495962" w:rsidP="00495962">
      <w:pPr>
        <w:pStyle w:val="Bullet1"/>
        <w:numPr>
          <w:ilvl w:val="0"/>
          <w:numId w:val="11"/>
        </w:numPr>
        <w:tabs>
          <w:tab w:val="clear" w:pos="454"/>
        </w:tabs>
        <w:spacing w:before="60" w:after="60"/>
      </w:pPr>
      <w:r w:rsidRPr="007452CC">
        <w:t xml:space="preserve">Gain consensus by considering a variety of views and </w:t>
      </w:r>
      <w:proofErr w:type="gramStart"/>
      <w:r w:rsidRPr="007452CC">
        <w:t>perspectives, and</w:t>
      </w:r>
      <w:proofErr w:type="gramEnd"/>
      <w:r w:rsidRPr="007452CC">
        <w:t xml:space="preserve"> shaping those views into a coherent position which is acceptable to others.</w:t>
      </w:r>
    </w:p>
    <w:p w14:paraId="4963E2AD" w14:textId="77777777" w:rsidR="00495962" w:rsidRPr="007452CC" w:rsidRDefault="00495962" w:rsidP="00495962">
      <w:pPr>
        <w:pStyle w:val="Heading3-leftaligned"/>
        <w:rPr>
          <w:color w:val="auto"/>
        </w:rPr>
      </w:pPr>
      <w:r w:rsidRPr="007452CC">
        <w:rPr>
          <w:color w:val="auto"/>
        </w:rPr>
        <w:t>Work Programme</w:t>
      </w:r>
    </w:p>
    <w:p w14:paraId="17FBE63C" w14:textId="7DD5CE69" w:rsidR="00495962" w:rsidRPr="007452CC" w:rsidRDefault="00495962" w:rsidP="00495962">
      <w:pPr>
        <w:pStyle w:val="Bullet1"/>
        <w:numPr>
          <w:ilvl w:val="0"/>
          <w:numId w:val="11"/>
        </w:numPr>
        <w:tabs>
          <w:tab w:val="clear" w:pos="454"/>
        </w:tabs>
        <w:spacing w:before="60" w:after="60"/>
      </w:pPr>
      <w:r w:rsidRPr="007452CC">
        <w:t xml:space="preserve">Ensure that the role of the team is clear in respect of its contribution to the overall work </w:t>
      </w:r>
      <w:proofErr w:type="spellStart"/>
      <w:r w:rsidRPr="007452CC">
        <w:t>programme</w:t>
      </w:r>
      <w:proofErr w:type="spellEnd"/>
      <w:r w:rsidRPr="007452CC">
        <w:t xml:space="preserve"> of the group.</w:t>
      </w:r>
    </w:p>
    <w:p w14:paraId="35BC480A" w14:textId="0E5C9B7E" w:rsidR="00495962" w:rsidRDefault="00495962" w:rsidP="00495962">
      <w:pPr>
        <w:pStyle w:val="Bullet1"/>
        <w:numPr>
          <w:ilvl w:val="0"/>
          <w:numId w:val="11"/>
        </w:numPr>
        <w:tabs>
          <w:tab w:val="clear" w:pos="454"/>
        </w:tabs>
        <w:spacing w:before="60" w:after="60"/>
      </w:pPr>
      <w:r w:rsidRPr="007452CC">
        <w:t xml:space="preserve">Complete all duties and responsibilities in accordance with their Performance and Development Agreement and as outlined in the </w:t>
      </w:r>
      <w:r w:rsidRPr="00893DF9">
        <w:t xml:space="preserve">Group Work </w:t>
      </w:r>
      <w:proofErr w:type="spellStart"/>
      <w:r w:rsidRPr="00893DF9">
        <w:t>Programme</w:t>
      </w:r>
      <w:proofErr w:type="spellEnd"/>
      <w:r w:rsidRPr="00893DF9">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19DE441F" w14:textId="77777777" w:rsidR="00495962" w:rsidRPr="00893DF9" w:rsidRDefault="00495962" w:rsidP="00495962">
      <w:pPr>
        <w:pStyle w:val="Bullet1"/>
        <w:numPr>
          <w:ilvl w:val="0"/>
          <w:numId w:val="11"/>
        </w:numPr>
        <w:tabs>
          <w:tab w:val="clear" w:pos="454"/>
        </w:tabs>
        <w:spacing w:before="60" w:after="60"/>
      </w:pPr>
      <w:r w:rsidRPr="00893DF9">
        <w:t>Tertiary qualification in a relevant discipline or equivalent operational experience.</w:t>
      </w:r>
    </w:p>
    <w:p w14:paraId="7EE82636" w14:textId="77777777" w:rsidR="00495962" w:rsidRPr="00893DF9" w:rsidRDefault="00495962" w:rsidP="00495962">
      <w:pPr>
        <w:pStyle w:val="Bullet1"/>
        <w:numPr>
          <w:ilvl w:val="0"/>
          <w:numId w:val="11"/>
        </w:numPr>
        <w:tabs>
          <w:tab w:val="clear" w:pos="454"/>
        </w:tabs>
        <w:spacing w:before="60" w:after="60"/>
      </w:pPr>
      <w:r w:rsidRPr="00893DF9">
        <w:t xml:space="preserve">Comprehensive technical knowledge of IT systems, </w:t>
      </w:r>
      <w:proofErr w:type="gramStart"/>
      <w:r w:rsidRPr="00893DF9">
        <w:t>channels</w:t>
      </w:r>
      <w:proofErr w:type="gramEnd"/>
      <w:r w:rsidRPr="00893DF9">
        <w:t xml:space="preserve"> and data structures.</w:t>
      </w:r>
    </w:p>
    <w:p w14:paraId="2B0ED45D" w14:textId="77777777" w:rsidR="00495962" w:rsidRPr="00893DF9" w:rsidRDefault="00495962" w:rsidP="00495962">
      <w:pPr>
        <w:pStyle w:val="Bullet1"/>
        <w:numPr>
          <w:ilvl w:val="0"/>
          <w:numId w:val="11"/>
        </w:numPr>
        <w:tabs>
          <w:tab w:val="clear" w:pos="454"/>
        </w:tabs>
        <w:spacing w:before="60" w:after="60"/>
      </w:pPr>
      <w:r w:rsidRPr="00893DF9">
        <w:t xml:space="preserve">An established track record of successfully delivering output that meets client needs from research/evaluation or analysis work, particularly </w:t>
      </w:r>
      <w:proofErr w:type="gramStart"/>
      <w:r w:rsidRPr="00893DF9">
        <w:t>in the area of</w:t>
      </w:r>
      <w:proofErr w:type="gramEnd"/>
      <w:r w:rsidRPr="00893DF9">
        <w:t xml:space="preserve"> social services.</w:t>
      </w:r>
    </w:p>
    <w:p w14:paraId="72F5B93E" w14:textId="77777777" w:rsidR="00495962" w:rsidRPr="00893DF9" w:rsidRDefault="00495962" w:rsidP="00495962">
      <w:pPr>
        <w:pStyle w:val="Bullet1"/>
        <w:numPr>
          <w:ilvl w:val="0"/>
          <w:numId w:val="11"/>
        </w:numPr>
        <w:tabs>
          <w:tab w:val="clear" w:pos="454"/>
        </w:tabs>
        <w:spacing w:before="60" w:after="60"/>
      </w:pPr>
      <w:r w:rsidRPr="00893DF9">
        <w:t xml:space="preserve">Proven experience in managing complex multi project </w:t>
      </w:r>
      <w:proofErr w:type="spellStart"/>
      <w:r w:rsidRPr="00893DF9">
        <w:t>programmes</w:t>
      </w:r>
      <w:proofErr w:type="spellEnd"/>
      <w:r w:rsidRPr="00893DF9">
        <w:t xml:space="preserve"> of work with demonstrated use of project management methodologies or experience in business project/change management, ideally with some in the public service arena.</w:t>
      </w:r>
    </w:p>
    <w:p w14:paraId="57D067F9" w14:textId="77777777" w:rsidR="00495962" w:rsidRPr="00893DF9" w:rsidRDefault="00495962" w:rsidP="00495962">
      <w:pPr>
        <w:pStyle w:val="Bullet1"/>
        <w:numPr>
          <w:ilvl w:val="0"/>
          <w:numId w:val="11"/>
        </w:numPr>
        <w:tabs>
          <w:tab w:val="clear" w:pos="454"/>
        </w:tabs>
        <w:spacing w:before="60" w:after="60"/>
      </w:pPr>
      <w:r w:rsidRPr="00893DF9">
        <w:t>A depth of experience in analysis of business and market data and public sector data.</w:t>
      </w:r>
    </w:p>
    <w:p w14:paraId="71319D63" w14:textId="0848DDA5" w:rsidR="00495962" w:rsidRPr="00893DF9" w:rsidRDefault="00495962" w:rsidP="00495962">
      <w:pPr>
        <w:pStyle w:val="Bullet1"/>
        <w:numPr>
          <w:ilvl w:val="0"/>
          <w:numId w:val="11"/>
        </w:numPr>
        <w:tabs>
          <w:tab w:val="clear" w:pos="454"/>
        </w:tabs>
        <w:spacing w:before="60" w:after="60"/>
      </w:pPr>
      <w:r w:rsidRPr="00893DF9">
        <w:t xml:space="preserve">Experience in the leadership of staff and the ability to monitor, </w:t>
      </w:r>
      <w:proofErr w:type="gramStart"/>
      <w:r w:rsidRPr="00893DF9">
        <w:t>review</w:t>
      </w:r>
      <w:proofErr w:type="gramEnd"/>
      <w:r w:rsidRPr="00893DF9">
        <w:t xml:space="preserve"> and improve the </w:t>
      </w:r>
      <w:r>
        <w:t>team</w:t>
      </w:r>
      <w:r w:rsidRPr="00893DF9">
        <w:t>’s expertise and capability.</w:t>
      </w:r>
    </w:p>
    <w:p w14:paraId="176FC851" w14:textId="77777777" w:rsidR="00495962" w:rsidRPr="00893DF9" w:rsidRDefault="00495962" w:rsidP="00495962">
      <w:pPr>
        <w:pStyle w:val="Bullet1"/>
        <w:numPr>
          <w:ilvl w:val="0"/>
          <w:numId w:val="11"/>
        </w:numPr>
        <w:tabs>
          <w:tab w:val="clear" w:pos="454"/>
        </w:tabs>
        <w:spacing w:before="60" w:after="60"/>
      </w:pPr>
      <w:r w:rsidRPr="00893DF9">
        <w:t xml:space="preserve">An </w:t>
      </w:r>
      <w:r>
        <w:t>e</w:t>
      </w:r>
      <w:r w:rsidRPr="00893DF9">
        <w:t xml:space="preserve">xcellent ability to motivate, direct, and sustain team </w:t>
      </w:r>
      <w:proofErr w:type="gramStart"/>
      <w:r w:rsidRPr="00893DF9">
        <w:t>working</w:t>
      </w:r>
      <w:proofErr w:type="gramEnd"/>
    </w:p>
    <w:p w14:paraId="36648DE3" w14:textId="77777777" w:rsidR="00495962" w:rsidRPr="00893DF9" w:rsidRDefault="00495962" w:rsidP="00495962">
      <w:pPr>
        <w:pStyle w:val="Bullet1"/>
        <w:numPr>
          <w:ilvl w:val="0"/>
          <w:numId w:val="11"/>
        </w:numPr>
        <w:tabs>
          <w:tab w:val="clear" w:pos="454"/>
        </w:tabs>
        <w:spacing w:before="60" w:after="60"/>
      </w:pPr>
      <w:r w:rsidRPr="00893DF9">
        <w:lastRenderedPageBreak/>
        <w:t xml:space="preserve">An </w:t>
      </w:r>
      <w:r>
        <w:t>e</w:t>
      </w:r>
      <w:r w:rsidRPr="00893DF9">
        <w:t xml:space="preserve">xcellent ability to work in a fluid environment, work with ambiguity, and deliver high quality outcomes to deadlines and </w:t>
      </w:r>
      <w:proofErr w:type="gramStart"/>
      <w:r w:rsidRPr="00893DF9">
        <w:t>budgets</w:t>
      </w:r>
      <w:proofErr w:type="gramEnd"/>
    </w:p>
    <w:p w14:paraId="4AA41BB9" w14:textId="77777777" w:rsidR="00495962" w:rsidRPr="00893DF9" w:rsidRDefault="00495962" w:rsidP="00495962">
      <w:pPr>
        <w:pStyle w:val="Bullet1"/>
        <w:numPr>
          <w:ilvl w:val="0"/>
          <w:numId w:val="11"/>
        </w:numPr>
        <w:tabs>
          <w:tab w:val="clear" w:pos="454"/>
        </w:tabs>
        <w:spacing w:before="60" w:after="60"/>
      </w:pPr>
      <w:r w:rsidRPr="00893DF9">
        <w:t>A good understanding of the policy development process, and of parliamentary processes and the workings of legislation.</w:t>
      </w:r>
    </w:p>
    <w:p w14:paraId="14C87561" w14:textId="77777777" w:rsidR="00495962" w:rsidRPr="00893DF9" w:rsidRDefault="00495962" w:rsidP="00495962">
      <w:pPr>
        <w:pStyle w:val="Bullet1"/>
        <w:numPr>
          <w:ilvl w:val="0"/>
          <w:numId w:val="11"/>
        </w:numPr>
        <w:tabs>
          <w:tab w:val="clear" w:pos="454"/>
        </w:tabs>
        <w:spacing w:before="60" w:after="60"/>
      </w:pPr>
      <w:r w:rsidRPr="00893DF9">
        <w:t>A good understanding of policy implementation and the issues likely to impact on it.</w:t>
      </w:r>
    </w:p>
    <w:p w14:paraId="694BD6AA" w14:textId="77777777" w:rsidR="00495962" w:rsidRPr="00893DF9" w:rsidRDefault="00495962" w:rsidP="00495962">
      <w:pPr>
        <w:pStyle w:val="Bullet1"/>
        <w:numPr>
          <w:ilvl w:val="0"/>
          <w:numId w:val="11"/>
        </w:numPr>
        <w:tabs>
          <w:tab w:val="clear" w:pos="454"/>
        </w:tabs>
        <w:spacing w:before="60" w:after="60"/>
      </w:pPr>
      <w:r w:rsidRPr="00893DF9">
        <w:t xml:space="preserve">Ability to provide high quality, balanced </w:t>
      </w:r>
      <w:proofErr w:type="gramStart"/>
      <w:r w:rsidRPr="00893DF9">
        <w:t>analysis</w:t>
      </w:r>
      <w:proofErr w:type="gramEnd"/>
      <w:r w:rsidRPr="00893DF9">
        <w:t xml:space="preserve"> and advice on a range of specialist issues and/or on issues of the highest complexity within specified timeframes without significant assistance.</w:t>
      </w:r>
    </w:p>
    <w:p w14:paraId="1D771C17" w14:textId="77777777" w:rsidR="00495962" w:rsidRPr="00893DF9" w:rsidRDefault="00495962" w:rsidP="00495962">
      <w:pPr>
        <w:pStyle w:val="Bullet1"/>
        <w:numPr>
          <w:ilvl w:val="0"/>
          <w:numId w:val="11"/>
        </w:numPr>
        <w:tabs>
          <w:tab w:val="clear" w:pos="454"/>
        </w:tabs>
        <w:spacing w:before="60" w:after="60"/>
      </w:pPr>
      <w:r w:rsidRPr="00893DF9">
        <w:t>Ability to promote and lead change.</w:t>
      </w:r>
    </w:p>
    <w:p w14:paraId="134BA960" w14:textId="77777777" w:rsidR="0080061F" w:rsidRDefault="0080061F" w:rsidP="0055724C">
      <w:pPr>
        <w:pStyle w:val="Heading2"/>
        <w:spacing w:before="360"/>
      </w:pPr>
      <w:r w:rsidRPr="00B27E44">
        <w:t>Attributes</w:t>
      </w:r>
    </w:p>
    <w:p w14:paraId="1844E3FE" w14:textId="77777777" w:rsidR="007452CC" w:rsidRPr="00893DF9" w:rsidRDefault="007452CC" w:rsidP="007452CC">
      <w:pPr>
        <w:pStyle w:val="Bullet1"/>
        <w:numPr>
          <w:ilvl w:val="0"/>
          <w:numId w:val="2"/>
        </w:numPr>
        <w:tabs>
          <w:tab w:val="clear" w:pos="454"/>
        </w:tabs>
        <w:spacing w:before="60" w:after="60"/>
      </w:pPr>
      <w:r w:rsidRPr="00893DF9">
        <w:t>Strong partnership builder</w:t>
      </w:r>
    </w:p>
    <w:p w14:paraId="25EB43F8" w14:textId="77777777" w:rsidR="007452CC" w:rsidRPr="00893DF9" w:rsidRDefault="007452CC" w:rsidP="007452CC">
      <w:pPr>
        <w:pStyle w:val="Bullet1"/>
        <w:numPr>
          <w:ilvl w:val="0"/>
          <w:numId w:val="2"/>
        </w:numPr>
        <w:tabs>
          <w:tab w:val="clear" w:pos="454"/>
        </w:tabs>
        <w:spacing w:before="60" w:after="60"/>
      </w:pPr>
      <w:r w:rsidRPr="00893DF9">
        <w:t>Leadership</w:t>
      </w:r>
    </w:p>
    <w:p w14:paraId="4D9B3984" w14:textId="77777777" w:rsidR="007452CC" w:rsidRPr="00893DF9" w:rsidRDefault="007452CC" w:rsidP="007452CC">
      <w:pPr>
        <w:pStyle w:val="Bullet1"/>
        <w:numPr>
          <w:ilvl w:val="0"/>
          <w:numId w:val="2"/>
        </w:numPr>
        <w:tabs>
          <w:tab w:val="clear" w:pos="454"/>
        </w:tabs>
        <w:spacing w:before="60" w:after="60"/>
      </w:pPr>
      <w:r w:rsidRPr="00893DF9">
        <w:t>Exercises sound judgement and political nous</w:t>
      </w:r>
    </w:p>
    <w:p w14:paraId="56FA4E2D" w14:textId="77777777" w:rsidR="007452CC" w:rsidRPr="00893DF9" w:rsidRDefault="007452CC" w:rsidP="007452CC">
      <w:pPr>
        <w:pStyle w:val="Bullet1"/>
        <w:numPr>
          <w:ilvl w:val="0"/>
          <w:numId w:val="2"/>
        </w:numPr>
        <w:tabs>
          <w:tab w:val="clear" w:pos="454"/>
        </w:tabs>
        <w:spacing w:before="60" w:after="60"/>
      </w:pPr>
      <w:r w:rsidRPr="00893DF9">
        <w:t>Highly effective communication skills</w:t>
      </w:r>
    </w:p>
    <w:p w14:paraId="5B95EA4A" w14:textId="77777777" w:rsidR="007452CC" w:rsidRPr="00893DF9" w:rsidRDefault="007452CC" w:rsidP="007452CC">
      <w:pPr>
        <w:pStyle w:val="Bullet1"/>
        <w:numPr>
          <w:ilvl w:val="0"/>
          <w:numId w:val="2"/>
        </w:numPr>
        <w:tabs>
          <w:tab w:val="clear" w:pos="454"/>
        </w:tabs>
        <w:spacing w:before="60" w:after="60"/>
      </w:pPr>
      <w:r w:rsidRPr="00893DF9">
        <w:t xml:space="preserve">Flexible, </w:t>
      </w:r>
      <w:proofErr w:type="gramStart"/>
      <w:r w:rsidRPr="00893DF9">
        <w:t>adaptable</w:t>
      </w:r>
      <w:proofErr w:type="gramEnd"/>
      <w:r w:rsidRPr="00893DF9">
        <w:t xml:space="preserve"> and pragmatic</w:t>
      </w:r>
    </w:p>
    <w:p w14:paraId="2149FFD6" w14:textId="77777777" w:rsidR="007452CC" w:rsidRPr="00893DF9" w:rsidRDefault="007452CC" w:rsidP="007452CC">
      <w:pPr>
        <w:pStyle w:val="Bullet1"/>
        <w:numPr>
          <w:ilvl w:val="0"/>
          <w:numId w:val="2"/>
        </w:numPr>
        <w:tabs>
          <w:tab w:val="clear" w:pos="454"/>
        </w:tabs>
        <w:spacing w:before="60" w:after="60"/>
      </w:pPr>
      <w:r w:rsidRPr="00893DF9">
        <w:t>Strong client focus</w:t>
      </w:r>
    </w:p>
    <w:p w14:paraId="2EE87E40" w14:textId="77777777" w:rsidR="007452CC" w:rsidRPr="00893DF9" w:rsidRDefault="007452CC" w:rsidP="007452CC">
      <w:pPr>
        <w:pStyle w:val="Bullet1"/>
        <w:numPr>
          <w:ilvl w:val="0"/>
          <w:numId w:val="2"/>
        </w:numPr>
        <w:tabs>
          <w:tab w:val="clear" w:pos="454"/>
        </w:tabs>
        <w:spacing w:before="60" w:after="60"/>
      </w:pPr>
      <w:r w:rsidRPr="00893DF9">
        <w:t>Business acumen</w:t>
      </w:r>
    </w:p>
    <w:p w14:paraId="284017FF" w14:textId="6F341790" w:rsidR="007452CC" w:rsidRPr="00893DF9" w:rsidRDefault="007452CC" w:rsidP="007452CC">
      <w:pPr>
        <w:pStyle w:val="Bullet1"/>
        <w:numPr>
          <w:ilvl w:val="0"/>
          <w:numId w:val="2"/>
        </w:numPr>
        <w:tabs>
          <w:tab w:val="clear" w:pos="454"/>
        </w:tabs>
        <w:spacing w:before="60" w:after="60"/>
      </w:pPr>
      <w:r w:rsidRPr="00893DF9">
        <w:t>Welcomes and values diversity and contributes to an inclusive working environment where differences are acknowledged and respected</w:t>
      </w:r>
      <w:r>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6631068D" w14:textId="77777777" w:rsidR="007452CC" w:rsidRPr="007452CC" w:rsidRDefault="007452CC" w:rsidP="007452CC">
      <w:pPr>
        <w:pStyle w:val="Heading3-leftaligned"/>
        <w:rPr>
          <w:color w:val="auto"/>
        </w:rPr>
      </w:pPr>
      <w:r w:rsidRPr="007452CC">
        <w:rPr>
          <w:color w:val="auto"/>
        </w:rPr>
        <w:t>Internal</w:t>
      </w:r>
    </w:p>
    <w:p w14:paraId="01D548AC" w14:textId="4911BB46" w:rsidR="007452CC" w:rsidRDefault="007452CC" w:rsidP="007452CC">
      <w:pPr>
        <w:pStyle w:val="Bullet1"/>
        <w:numPr>
          <w:ilvl w:val="0"/>
          <w:numId w:val="2"/>
        </w:numPr>
        <w:tabs>
          <w:tab w:val="clear" w:pos="454"/>
        </w:tabs>
        <w:spacing w:before="60" w:after="60"/>
      </w:pPr>
    </w:p>
    <w:p w14:paraId="4B38A6F3" w14:textId="51B0283C" w:rsidR="00203CE3" w:rsidRDefault="00203CE3" w:rsidP="007452CC">
      <w:pPr>
        <w:pStyle w:val="Bullet1"/>
        <w:numPr>
          <w:ilvl w:val="0"/>
          <w:numId w:val="2"/>
        </w:numPr>
        <w:tabs>
          <w:tab w:val="clear" w:pos="454"/>
        </w:tabs>
        <w:spacing w:before="60" w:after="60"/>
      </w:pPr>
      <w:r>
        <w:t>General Managers and leaders through the Insights group</w:t>
      </w:r>
    </w:p>
    <w:p w14:paraId="6E51B2E4" w14:textId="17792925" w:rsidR="007452CC" w:rsidRPr="00C84A69" w:rsidRDefault="007452CC" w:rsidP="007452CC">
      <w:pPr>
        <w:pStyle w:val="Bullet1"/>
        <w:numPr>
          <w:ilvl w:val="0"/>
          <w:numId w:val="2"/>
        </w:numPr>
        <w:tabs>
          <w:tab w:val="clear" w:pos="454"/>
        </w:tabs>
        <w:spacing w:before="60" w:after="60"/>
      </w:pPr>
      <w:r w:rsidRPr="00C84A69">
        <w:t>Manager</w:t>
      </w:r>
      <w:r>
        <w:t xml:space="preserve">s and staff in </w:t>
      </w:r>
      <w:r w:rsidRPr="00C84A69">
        <w:t xml:space="preserve">Data </w:t>
      </w:r>
      <w:r>
        <w:t>Management and Information Delivery</w:t>
      </w:r>
      <w:r w:rsidR="005564FF">
        <w:t xml:space="preserve"> (</w:t>
      </w:r>
      <w:proofErr w:type="spellStart"/>
      <w:r w:rsidR="005564FF">
        <w:t>DMaID</w:t>
      </w:r>
      <w:proofErr w:type="spellEnd"/>
      <w:r w:rsidR="005564FF">
        <w:t>)</w:t>
      </w:r>
    </w:p>
    <w:p w14:paraId="4F48CED0" w14:textId="77777777" w:rsidR="007452CC" w:rsidRDefault="007452CC" w:rsidP="007452CC">
      <w:pPr>
        <w:pStyle w:val="Bullet1"/>
        <w:numPr>
          <w:ilvl w:val="0"/>
          <w:numId w:val="2"/>
        </w:numPr>
        <w:tabs>
          <w:tab w:val="clear" w:pos="454"/>
        </w:tabs>
        <w:spacing w:before="60" w:after="60"/>
      </w:pPr>
      <w:r>
        <w:t>Deputy Chief Executive Strategy and Insights</w:t>
      </w:r>
    </w:p>
    <w:p w14:paraId="3732E764" w14:textId="77777777" w:rsidR="007452CC" w:rsidRDefault="007452CC" w:rsidP="007452CC">
      <w:pPr>
        <w:pStyle w:val="Bullet1"/>
        <w:numPr>
          <w:ilvl w:val="0"/>
          <w:numId w:val="2"/>
        </w:numPr>
        <w:tabs>
          <w:tab w:val="clear" w:pos="454"/>
        </w:tabs>
        <w:spacing w:before="60" w:after="60"/>
      </w:pPr>
      <w:r>
        <w:t>Other DCE’s and senior managers within the Ministry</w:t>
      </w:r>
    </w:p>
    <w:p w14:paraId="36E3BB66" w14:textId="77777777" w:rsidR="007452CC" w:rsidRDefault="007452CC" w:rsidP="007452CC">
      <w:pPr>
        <w:pStyle w:val="Bullet1"/>
        <w:numPr>
          <w:ilvl w:val="0"/>
          <w:numId w:val="2"/>
        </w:numPr>
        <w:tabs>
          <w:tab w:val="clear" w:pos="454"/>
        </w:tabs>
        <w:spacing w:before="60" w:after="60"/>
      </w:pPr>
      <w:r>
        <w:t>Managers and staff in Improvement Systems and Technology (IT) and across the service lines</w:t>
      </w:r>
    </w:p>
    <w:p w14:paraId="59990A40" w14:textId="77777777" w:rsidR="007452CC" w:rsidRDefault="007452CC" w:rsidP="007452CC">
      <w:pPr>
        <w:pStyle w:val="Bullet1"/>
        <w:numPr>
          <w:ilvl w:val="0"/>
          <w:numId w:val="2"/>
        </w:numPr>
        <w:tabs>
          <w:tab w:val="clear" w:pos="454"/>
        </w:tabs>
        <w:spacing w:before="60" w:after="60"/>
      </w:pPr>
      <w:r>
        <w:t>Managers and staff throughout the Ministry</w:t>
      </w:r>
    </w:p>
    <w:p w14:paraId="5F2B1D0E" w14:textId="77777777" w:rsidR="007452CC" w:rsidRPr="007452CC" w:rsidRDefault="007452CC" w:rsidP="007452CC">
      <w:pPr>
        <w:pStyle w:val="Heading3-leftaligned"/>
        <w:rPr>
          <w:color w:val="auto"/>
        </w:rPr>
      </w:pPr>
      <w:r w:rsidRPr="007452CC">
        <w:rPr>
          <w:color w:val="auto"/>
        </w:rPr>
        <w:t xml:space="preserve">External </w:t>
      </w:r>
    </w:p>
    <w:p w14:paraId="140679D4" w14:textId="77777777" w:rsidR="007452CC" w:rsidRPr="003D1F0A" w:rsidRDefault="007452CC" w:rsidP="007452CC">
      <w:pPr>
        <w:pStyle w:val="Bullet1"/>
        <w:numPr>
          <w:ilvl w:val="0"/>
          <w:numId w:val="2"/>
        </w:numPr>
        <w:tabs>
          <w:tab w:val="clear" w:pos="454"/>
        </w:tabs>
        <w:spacing w:before="60" w:after="60"/>
      </w:pPr>
      <w:r w:rsidRPr="003D1F0A">
        <w:t>The Ministers’ Offices</w:t>
      </w:r>
    </w:p>
    <w:p w14:paraId="577C8864" w14:textId="77777777" w:rsidR="007452CC" w:rsidRPr="003D1F0A" w:rsidRDefault="007452CC" w:rsidP="007452CC">
      <w:pPr>
        <w:pStyle w:val="Bullet1"/>
        <w:numPr>
          <w:ilvl w:val="0"/>
          <w:numId w:val="2"/>
        </w:numPr>
        <w:tabs>
          <w:tab w:val="clear" w:pos="454"/>
        </w:tabs>
        <w:spacing w:before="60" w:after="60"/>
      </w:pPr>
      <w:r w:rsidRPr="003D1F0A">
        <w:t>Representatives of social sector agencies and government departments</w:t>
      </w:r>
    </w:p>
    <w:p w14:paraId="5F893E04" w14:textId="77777777" w:rsidR="007452CC" w:rsidRPr="003D1F0A" w:rsidRDefault="007452CC" w:rsidP="007452CC">
      <w:pPr>
        <w:pStyle w:val="Bullet1"/>
        <w:numPr>
          <w:ilvl w:val="0"/>
          <w:numId w:val="2"/>
        </w:numPr>
        <w:tabs>
          <w:tab w:val="clear" w:pos="454"/>
        </w:tabs>
        <w:spacing w:before="60" w:after="60"/>
      </w:pPr>
      <w:r w:rsidRPr="003D1F0A">
        <w:t xml:space="preserve">Networks with iwi, and </w:t>
      </w:r>
      <w:proofErr w:type="spellStart"/>
      <w:r w:rsidRPr="003D1F0A">
        <w:t>Maori</w:t>
      </w:r>
      <w:proofErr w:type="spellEnd"/>
      <w:r w:rsidRPr="003D1F0A">
        <w:t xml:space="preserve"> interest groups</w:t>
      </w:r>
    </w:p>
    <w:p w14:paraId="2F1D098E" w14:textId="77777777" w:rsidR="007452CC" w:rsidRPr="003D1F0A" w:rsidRDefault="007452CC" w:rsidP="007452CC">
      <w:pPr>
        <w:pStyle w:val="Bullet1"/>
        <w:numPr>
          <w:ilvl w:val="0"/>
          <w:numId w:val="2"/>
        </w:numPr>
        <w:tabs>
          <w:tab w:val="clear" w:pos="454"/>
        </w:tabs>
        <w:spacing w:before="60" w:after="60"/>
      </w:pPr>
      <w:r w:rsidRPr="003D1F0A">
        <w:t>Local government and community groups</w:t>
      </w:r>
    </w:p>
    <w:p w14:paraId="080447DC" w14:textId="77777777" w:rsidR="007452CC" w:rsidRPr="003D1F0A" w:rsidRDefault="007452CC" w:rsidP="007452CC">
      <w:pPr>
        <w:pStyle w:val="Bullet1"/>
        <w:numPr>
          <w:ilvl w:val="0"/>
          <w:numId w:val="2"/>
        </w:numPr>
        <w:tabs>
          <w:tab w:val="clear" w:pos="454"/>
        </w:tabs>
        <w:spacing w:before="60" w:after="60"/>
      </w:pPr>
      <w:r w:rsidRPr="003D1F0A">
        <w:t xml:space="preserve">International government agencies and </w:t>
      </w:r>
      <w:proofErr w:type="spellStart"/>
      <w:r w:rsidRPr="003D1F0A">
        <w:t>organisations</w:t>
      </w:r>
      <w:proofErr w:type="spellEnd"/>
    </w:p>
    <w:p w14:paraId="27456A09" w14:textId="77777777" w:rsidR="007452CC" w:rsidRPr="003D1F0A" w:rsidRDefault="007452CC" w:rsidP="007452CC">
      <w:pPr>
        <w:pStyle w:val="Bullet1"/>
        <w:numPr>
          <w:ilvl w:val="0"/>
          <w:numId w:val="2"/>
        </w:numPr>
        <w:tabs>
          <w:tab w:val="clear" w:pos="454"/>
        </w:tabs>
        <w:spacing w:before="60" w:after="60"/>
      </w:pPr>
      <w:r w:rsidRPr="003D1F0A">
        <w:t xml:space="preserve">Service </w:t>
      </w:r>
      <w:proofErr w:type="gramStart"/>
      <w:r w:rsidRPr="003D1F0A">
        <w:t>providers</w:t>
      </w:r>
      <w:proofErr w:type="gramEnd"/>
    </w:p>
    <w:p w14:paraId="2D01AE11" w14:textId="77777777" w:rsidR="007452CC" w:rsidRPr="003D1F0A" w:rsidRDefault="007452CC" w:rsidP="007452CC">
      <w:pPr>
        <w:pStyle w:val="Bullet1"/>
        <w:numPr>
          <w:ilvl w:val="0"/>
          <w:numId w:val="2"/>
        </w:numPr>
        <w:tabs>
          <w:tab w:val="clear" w:pos="454"/>
        </w:tabs>
        <w:spacing w:before="60" w:after="60"/>
      </w:pPr>
      <w:r w:rsidRPr="003D1F0A">
        <w:t>Members of the public</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49A304B1" w:rsidR="0080061F" w:rsidRPr="00B27E44" w:rsidRDefault="0080061F" w:rsidP="00086206">
      <w:pPr>
        <w:pStyle w:val="Bullet1"/>
        <w:numPr>
          <w:ilvl w:val="0"/>
          <w:numId w:val="2"/>
        </w:numPr>
        <w:tabs>
          <w:tab w:val="clear" w:pos="454"/>
        </w:tabs>
        <w:spacing w:before="60" w:after="60"/>
      </w:pPr>
      <w:r w:rsidRPr="00B27E44">
        <w:t xml:space="preserve">Financial – </w:t>
      </w:r>
      <w:r w:rsidR="007452CC">
        <w:t>No</w:t>
      </w:r>
    </w:p>
    <w:p w14:paraId="1A13EE12" w14:textId="23272BDF" w:rsidR="0080061F" w:rsidRDefault="0080061F" w:rsidP="00086206">
      <w:pPr>
        <w:pStyle w:val="Bullet1"/>
        <w:numPr>
          <w:ilvl w:val="0"/>
          <w:numId w:val="2"/>
        </w:numPr>
        <w:tabs>
          <w:tab w:val="clear" w:pos="454"/>
        </w:tabs>
        <w:spacing w:before="60" w:after="60"/>
      </w:pPr>
      <w:r w:rsidRPr="00B27E44">
        <w:t>Hum</w:t>
      </w:r>
      <w:r>
        <w:t xml:space="preserve">an Resources </w:t>
      </w:r>
      <w:r w:rsidR="007452CC">
        <w:t>– Yes, level 5</w:t>
      </w:r>
    </w:p>
    <w:p w14:paraId="09A0D619" w14:textId="4109C071" w:rsidR="0080061F" w:rsidRDefault="0080061F" w:rsidP="000469A5">
      <w:pPr>
        <w:pStyle w:val="Heading3"/>
      </w:pPr>
      <w:r w:rsidRPr="00096E86">
        <w:t>Direct reports</w:t>
      </w:r>
      <w:r>
        <w:t xml:space="preserve"> </w:t>
      </w:r>
      <w:r w:rsidR="007452CC">
        <w:t xml:space="preserve">– Yes </w:t>
      </w:r>
    </w:p>
    <w:p w14:paraId="7A424157" w14:textId="2365CD2C" w:rsidR="0080061F" w:rsidRDefault="0080061F" w:rsidP="000469A5">
      <w:pPr>
        <w:pStyle w:val="Heading3"/>
      </w:pPr>
      <w:r>
        <w:t xml:space="preserve">Security clearance </w:t>
      </w:r>
      <w:r w:rsidR="007452CC">
        <w:t xml:space="preserve">– No </w:t>
      </w:r>
    </w:p>
    <w:p w14:paraId="5AD192A7" w14:textId="5A1BF8CA" w:rsidR="0080061F" w:rsidRPr="0076538D" w:rsidRDefault="0080061F" w:rsidP="000469A5">
      <w:pPr>
        <w:pStyle w:val="Heading3"/>
      </w:pPr>
      <w:r>
        <w:t xml:space="preserve">Children’s worker </w:t>
      </w:r>
      <w:r w:rsidR="007452CC">
        <w:t xml:space="preserve">– No </w:t>
      </w:r>
    </w:p>
    <w:p w14:paraId="34F3E7D0" w14:textId="7E243C9D" w:rsidR="0080061F" w:rsidRDefault="0080061F" w:rsidP="0080061F">
      <w:pPr>
        <w:spacing w:after="0" w:line="240" w:lineRule="auto"/>
      </w:pPr>
      <w:r>
        <w:t>Limited ad</w:t>
      </w:r>
      <w:r w:rsidR="007452CC">
        <w:t xml:space="preserve"> </w:t>
      </w:r>
      <w:r>
        <w:t xml:space="preserve">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73C12412" w:rsidR="004230ED" w:rsidRPr="0080061F" w:rsidRDefault="004230ED" w:rsidP="007452CC">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7452CC">
        <w:t>June 2024</w:t>
      </w: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89D0BD0"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452CC">
      <w:t>Manager Operational Products and Support</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EBE5E4F" w:rsidR="00803002" w:rsidRPr="002E5827" w:rsidRDefault="007452CC" w:rsidP="0080061F">
    <w:pPr>
      <w:pStyle w:val="Footer"/>
      <w:pBdr>
        <w:top w:val="single" w:sz="4" w:space="1" w:color="auto"/>
      </w:pBdr>
      <w:tabs>
        <w:tab w:val="clear" w:pos="9026"/>
        <w:tab w:val="right" w:pos="10206"/>
      </w:tabs>
      <w:rPr>
        <w:szCs w:val="18"/>
      </w:rPr>
    </w:pPr>
    <w:r w:rsidRPr="008B5C31">
      <w:t xml:space="preserve">Position Description – </w:t>
    </w:r>
    <w:r>
      <w:t>Manager Operational Products and Support</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BCE1" w14:textId="4F4AC001" w:rsidR="00A16DCE" w:rsidRDefault="00A16DCE">
    <w:pPr>
      <w:pStyle w:val="Header"/>
    </w:pPr>
    <w:r>
      <w:rPr>
        <w:noProof/>
      </w:rPr>
      <mc:AlternateContent>
        <mc:Choice Requires="wps">
          <w:drawing>
            <wp:anchor distT="0" distB="0" distL="0" distR="0" simplePos="0" relativeHeight="251659264" behindDoc="0" locked="0" layoutInCell="1" allowOverlap="1" wp14:anchorId="01B4C454" wp14:editId="5CEBFAE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EEEC6" w14:textId="2EBAE2BE"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B4C454"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51EEEC6" w14:textId="2EBAE2BE"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5D1" w14:textId="2F5A82D8" w:rsidR="00A16DCE" w:rsidRDefault="00A16DCE">
    <w:pPr>
      <w:pStyle w:val="Header"/>
    </w:pPr>
    <w:r>
      <w:rPr>
        <w:noProof/>
      </w:rPr>
      <mc:AlternateContent>
        <mc:Choice Requires="wps">
          <w:drawing>
            <wp:anchor distT="0" distB="0" distL="0" distR="0" simplePos="0" relativeHeight="251660288" behindDoc="0" locked="0" layoutInCell="1" allowOverlap="1" wp14:anchorId="3E5A7515" wp14:editId="4C910777">
              <wp:simplePos x="915035" y="28892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3C6A6" w14:textId="5CD0A9C9" w:rsidR="00A16DCE" w:rsidRPr="00EF3D47" w:rsidRDefault="00A16DCE" w:rsidP="00A16DCE">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A751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C63C6A6" w14:textId="5CD0A9C9" w:rsidR="00A16DCE" w:rsidRPr="00EF3D47" w:rsidRDefault="00A16DCE" w:rsidP="00A16DCE">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D592" w14:textId="21BDB972" w:rsidR="00A16DCE" w:rsidRDefault="00A16DCE">
    <w:pPr>
      <w:pStyle w:val="Header"/>
    </w:pPr>
    <w:r>
      <w:rPr>
        <w:noProof/>
      </w:rPr>
      <mc:AlternateContent>
        <mc:Choice Requires="wps">
          <w:drawing>
            <wp:anchor distT="0" distB="0" distL="0" distR="0" simplePos="0" relativeHeight="251658240" behindDoc="0" locked="0" layoutInCell="1" allowOverlap="1" wp14:anchorId="068009F5" wp14:editId="0EB8B301">
              <wp:simplePos x="914400" y="29210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1C1D8" w14:textId="376C5BC5" w:rsidR="00A16DCE" w:rsidRPr="00EF3D47" w:rsidRDefault="00A16DCE" w:rsidP="00A16DCE">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009F5"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F1C1D8" w14:textId="376C5BC5" w:rsidR="00A16DCE" w:rsidRPr="00EF3D47" w:rsidRDefault="00A16DCE" w:rsidP="00A16DCE">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3745" w14:textId="038733DE" w:rsidR="00A16DCE" w:rsidRDefault="00A16DCE">
    <w:pPr>
      <w:pStyle w:val="Header"/>
    </w:pPr>
    <w:r>
      <w:rPr>
        <w:noProof/>
      </w:rPr>
      <mc:AlternateContent>
        <mc:Choice Requires="wps">
          <w:drawing>
            <wp:anchor distT="0" distB="0" distL="0" distR="0" simplePos="0" relativeHeight="251662336" behindDoc="0" locked="0" layoutInCell="1" allowOverlap="1" wp14:anchorId="74DD7229" wp14:editId="3A27A58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26418" w14:textId="0EE6B6C0"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D7229"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6A26418" w14:textId="0EE6B6C0"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BC62" w14:textId="4AEC7FFF" w:rsidR="00A16DCE" w:rsidRDefault="00A16D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0BE" w14:textId="5A166FAF" w:rsidR="00A16DCE" w:rsidRDefault="00A16DCE">
    <w:pPr>
      <w:pStyle w:val="Header"/>
    </w:pPr>
    <w:r>
      <w:rPr>
        <w:noProof/>
      </w:rPr>
      <mc:AlternateContent>
        <mc:Choice Requires="wps">
          <w:drawing>
            <wp:anchor distT="0" distB="0" distL="0" distR="0" simplePos="0" relativeHeight="251661312" behindDoc="0" locked="0" layoutInCell="1" allowOverlap="1" wp14:anchorId="29C77C85" wp14:editId="06C43AF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3777D" w14:textId="0BEBBF18"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C77C85"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D63777D" w14:textId="0BEBBF18" w:rsidR="00A16DCE" w:rsidRPr="00A16DCE" w:rsidRDefault="00A16DCE" w:rsidP="00A16DCE">
                    <w:pPr>
                      <w:spacing w:after="0"/>
                      <w:rPr>
                        <w:rFonts w:ascii="Calibri" w:hAnsi="Calibri" w:cs="Calibri"/>
                        <w:noProof/>
                        <w:color w:val="000000"/>
                        <w:szCs w:val="20"/>
                      </w:rPr>
                    </w:pPr>
                    <w:r w:rsidRPr="00A16DCE">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78275553">
    <w:abstractNumId w:val="5"/>
  </w:num>
  <w:num w:numId="2" w16cid:durableId="1837258023">
    <w:abstractNumId w:val="1"/>
  </w:num>
  <w:num w:numId="3" w16cid:durableId="474875091">
    <w:abstractNumId w:val="0"/>
  </w:num>
  <w:num w:numId="4" w16cid:durableId="1265654675">
    <w:abstractNumId w:val="3"/>
  </w:num>
  <w:num w:numId="5" w16cid:durableId="1766609585">
    <w:abstractNumId w:val="4"/>
  </w:num>
  <w:num w:numId="6" w16cid:durableId="983773798">
    <w:abstractNumId w:val="9"/>
  </w:num>
  <w:num w:numId="7" w16cid:durableId="313918759">
    <w:abstractNumId w:val="7"/>
  </w:num>
  <w:num w:numId="8" w16cid:durableId="38015425">
    <w:abstractNumId w:val="2"/>
  </w:num>
  <w:num w:numId="9" w16cid:durableId="320550300">
    <w:abstractNumId w:val="6"/>
  </w:num>
  <w:num w:numId="10" w16cid:durableId="1088497633">
    <w:abstractNumId w:val="10"/>
  </w:num>
  <w:num w:numId="11" w16cid:durableId="2253852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1E28EA"/>
    <w:rsid w:val="00203CE3"/>
    <w:rsid w:val="00213DA6"/>
    <w:rsid w:val="00216302"/>
    <w:rsid w:val="00233BCC"/>
    <w:rsid w:val="00236D2D"/>
    <w:rsid w:val="00242172"/>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962"/>
    <w:rsid w:val="00495E9D"/>
    <w:rsid w:val="004D1E30"/>
    <w:rsid w:val="00533E65"/>
    <w:rsid w:val="005564FF"/>
    <w:rsid w:val="0055724C"/>
    <w:rsid w:val="0056681E"/>
    <w:rsid w:val="00572AA9"/>
    <w:rsid w:val="00595906"/>
    <w:rsid w:val="005B11F9"/>
    <w:rsid w:val="00631D73"/>
    <w:rsid w:val="006B19BD"/>
    <w:rsid w:val="007452CC"/>
    <w:rsid w:val="0077711D"/>
    <w:rsid w:val="007A7EBC"/>
    <w:rsid w:val="007B201A"/>
    <w:rsid w:val="007C2143"/>
    <w:rsid w:val="007F3ACD"/>
    <w:rsid w:val="0080061F"/>
    <w:rsid w:val="0080133F"/>
    <w:rsid w:val="00803002"/>
    <w:rsid w:val="0080498F"/>
    <w:rsid w:val="00860654"/>
    <w:rsid w:val="008C20D5"/>
    <w:rsid w:val="00903467"/>
    <w:rsid w:val="00906EAA"/>
    <w:rsid w:val="00907EC3"/>
    <w:rsid w:val="00965C35"/>
    <w:rsid w:val="00970DD2"/>
    <w:rsid w:val="0099555E"/>
    <w:rsid w:val="009A077C"/>
    <w:rsid w:val="009D15F1"/>
    <w:rsid w:val="009D2B10"/>
    <w:rsid w:val="00A16DCE"/>
    <w:rsid w:val="00A2199C"/>
    <w:rsid w:val="00A43896"/>
    <w:rsid w:val="00A43F21"/>
    <w:rsid w:val="00A6244E"/>
    <w:rsid w:val="00A678E1"/>
    <w:rsid w:val="00B41635"/>
    <w:rsid w:val="00B52748"/>
    <w:rsid w:val="00B5357A"/>
    <w:rsid w:val="00B62136"/>
    <w:rsid w:val="00BF50FB"/>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EF3D47"/>
    <w:rsid w:val="00F05841"/>
    <w:rsid w:val="00F06EE8"/>
    <w:rsid w:val="00F071B6"/>
    <w:rsid w:val="00F07349"/>
    <w:rsid w:val="00F113EF"/>
    <w:rsid w:val="00F12474"/>
    <w:rsid w:val="00F126F3"/>
    <w:rsid w:val="00F22AE5"/>
    <w:rsid w:val="00F7160D"/>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2024-09-23T20:27:00Z</dcterms:created>
  <dcterms:modified xsi:type="dcterms:W3CDTF">2024-09-23T21:38:00Z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2024-06-04T02:08:32Z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95f715c4-9f48-47ca-97a8-ffbab611afb3</vt:lpwstr>
  </property>
  <property fmtid="{D5CDD505-2E9C-101B-9397-08002B2CF9AE}" pid="11" name="MSIP_Label_f43e46a9-9901-46e9-bfae-bb6189d4cb66_ContentBits">
    <vt:lpwstr>1</vt:lpwstr>
  </property>
</Properties>
</file>