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DA64" w14:textId="78D8F853" w:rsidR="007D4B4F" w:rsidRDefault="007D4B4F" w:rsidP="00C404F1">
      <w:pPr>
        <w:rPr>
          <w:sz w:val="40"/>
          <w:szCs w:val="40"/>
        </w:rPr>
      </w:pPr>
      <w:bookmarkStart w:id="0" w:name="bkmBrandingLogo"/>
      <w:r>
        <w:rPr>
          <w:noProof/>
        </w:rPr>
        <w:drawing>
          <wp:inline distT="0" distB="0" distL="0" distR="0" wp14:anchorId="5F68D197" wp14:editId="223C60F0">
            <wp:extent cx="2895600" cy="1476375"/>
            <wp:effectExtent l="0" t="0" r="0" b="9525"/>
            <wp:docPr id="1" name="Picture 1" descr="Logo for the Ministry of Social Development with the Māori translation included underneath – Te Manatū Whakahiato Ora. The government crest is featured on the left-hand side, while writing is on the right-hand side of th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Ministry of Social Development with the Māori translation included underneath – Te Manatū Whakahiato Ora. The government crest is featured on the left-hand side, while writing is on the right-hand side of the cres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20" t="-22080" r="-1620" b="22080"/>
                    <a:stretch/>
                  </pic:blipFill>
                  <pic:spPr bwMode="auto">
                    <a:xfrm>
                      <a:off x="0" y="0"/>
                      <a:ext cx="2895600" cy="1476375"/>
                    </a:xfrm>
                    <a:prstGeom prst="rect">
                      <a:avLst/>
                    </a:prstGeom>
                    <a:noFill/>
                    <a:ln>
                      <a:noFill/>
                    </a:ln>
                  </pic:spPr>
                </pic:pic>
              </a:graphicData>
            </a:graphic>
          </wp:inline>
        </w:drawing>
      </w:r>
      <w:bookmarkEnd w:id="0"/>
    </w:p>
    <w:p w14:paraId="1962F833" w14:textId="6A8FD184" w:rsidR="00283DB3" w:rsidRPr="00E7095E" w:rsidRDefault="00CF7E35" w:rsidP="00E7095E">
      <w:pPr>
        <w:pStyle w:val="Heading1"/>
      </w:pPr>
      <w:r w:rsidRPr="00E7095E">
        <w:t>Costs a</w:t>
      </w:r>
      <w:r w:rsidR="005273AB" w:rsidRPr="00E7095E">
        <w:t>n</w:t>
      </w:r>
      <w:r w:rsidRPr="00E7095E">
        <w:t>d income support experiences for Pacific peoples who are disabled or have long-term health conditions</w:t>
      </w:r>
      <w:r w:rsidR="00E405E2" w:rsidRPr="00E7095E">
        <w:t xml:space="preserve"> – Summary of key findings</w:t>
      </w:r>
    </w:p>
    <w:p w14:paraId="13A76F21" w14:textId="536EB5CE" w:rsidR="00CF7E35" w:rsidRPr="004C1756" w:rsidRDefault="00CF7E35" w:rsidP="00E7095E">
      <w:pPr>
        <w:pStyle w:val="Heading2"/>
        <w:spacing w:before="400"/>
      </w:pPr>
      <w:r w:rsidRPr="004C1756">
        <w:t xml:space="preserve">Background </w:t>
      </w:r>
    </w:p>
    <w:p w14:paraId="433BD87E" w14:textId="6A17899D" w:rsidR="00B8710B" w:rsidRPr="00C404F1" w:rsidRDefault="00B8710B" w:rsidP="00C404F1">
      <w:r w:rsidRPr="00C404F1">
        <w:t xml:space="preserve">This study </w:t>
      </w:r>
      <w:r w:rsidR="00DF698E" w:rsidRPr="00C404F1">
        <w:t>aimed</w:t>
      </w:r>
      <w:r w:rsidR="00227EC0" w:rsidRPr="00C404F1">
        <w:t xml:space="preserve"> </w:t>
      </w:r>
      <w:r w:rsidRPr="00C404F1">
        <w:t xml:space="preserve">to understand health- and disability-related costs, ability to meet these costs, and receipt of income support intended to assist with these costs for Pacific peoples who are disabled or have a </w:t>
      </w:r>
      <w:r w:rsidR="00227EC0" w:rsidRPr="00C404F1">
        <w:t>long-term health condition (hereafter ‘health condition’)</w:t>
      </w:r>
      <w:r w:rsidRPr="00C404F1">
        <w:t xml:space="preserve">. </w:t>
      </w:r>
    </w:p>
    <w:p w14:paraId="4C6DE9DD" w14:textId="77777777" w:rsidR="00D01C90" w:rsidRDefault="00B8710B" w:rsidP="00C404F1">
      <w:r>
        <w:t xml:space="preserve">This </w:t>
      </w:r>
      <w:r w:rsidR="00227EC0">
        <w:t xml:space="preserve">qualitative </w:t>
      </w:r>
      <w:r>
        <w:t xml:space="preserve">study is part of a wider work programme commissioned by </w:t>
      </w:r>
      <w:r w:rsidR="00227EC0">
        <w:t>t</w:t>
      </w:r>
      <w:r w:rsidR="00227EC0" w:rsidRPr="00B8710B">
        <w:t xml:space="preserve">he </w:t>
      </w:r>
      <w:r w:rsidRPr="00B8710B">
        <w:t xml:space="preserve">Ministry of Social Development </w:t>
      </w:r>
      <w:r w:rsidR="00227EC0">
        <w:t xml:space="preserve">(MSD) </w:t>
      </w:r>
      <w:r w:rsidRPr="00B8710B">
        <w:t xml:space="preserve">to build a better understanding of </w:t>
      </w:r>
      <w:r>
        <w:t>health- and disability-related</w:t>
      </w:r>
      <w:r w:rsidRPr="00B8710B">
        <w:t xml:space="preserve"> costs</w:t>
      </w:r>
      <w:r w:rsidR="006A0AA8">
        <w:t>.</w:t>
      </w:r>
    </w:p>
    <w:p w14:paraId="34DFBC88" w14:textId="4E77F425" w:rsidR="004543D2" w:rsidRDefault="008A1F73" w:rsidP="00C404F1">
      <w:r w:rsidRPr="008A1F73">
        <w:lastRenderedPageBreak/>
        <w:t>Studies were also conducted with Māori and non-Māori, non-Pacific peoples. The findings of these are reported on separately.</w:t>
      </w:r>
    </w:p>
    <w:p w14:paraId="67938D82" w14:textId="55D4FEFC" w:rsidR="00CF7E35" w:rsidRDefault="00B8710B" w:rsidP="00C404F1">
      <w:r>
        <w:t>In mid-2024, 16</w:t>
      </w:r>
      <w:r w:rsidR="004543D2" w:rsidRPr="004543D2">
        <w:t xml:space="preserve"> Pacific peoples who are either disabled, have health conditions, or care for someone who is disabled or has health conditions</w:t>
      </w:r>
      <w:r w:rsidR="004543D2">
        <w:t xml:space="preserve"> participated in </w:t>
      </w:r>
      <w:proofErr w:type="spellStart"/>
      <w:r>
        <w:t>Talanoa</w:t>
      </w:r>
      <w:proofErr w:type="spellEnd"/>
      <w:r>
        <w:t xml:space="preserve"> (in-depth interviews)</w:t>
      </w:r>
      <w:r w:rsidR="004543D2" w:rsidRPr="004543D2">
        <w:t>.</w:t>
      </w:r>
      <w:r w:rsidR="004543D2">
        <w:t xml:space="preserve"> Participants</w:t>
      </w:r>
      <w:r w:rsidR="004543D2" w:rsidRPr="004543D2">
        <w:t xml:space="preserve"> ranged from their 20s to 70s in age. They included people identifying as Samoan, Tongan, Tokelauan, Niuean, Papuan, and Cook Island Māori. Eleven were women and five were men. All lived in the Auckland or Wellington regions.</w:t>
      </w:r>
    </w:p>
    <w:p w14:paraId="5A402EF7" w14:textId="705379BE" w:rsidR="00B8710B" w:rsidRDefault="00B8710B" w:rsidP="00C404F1">
      <w:r>
        <w:t xml:space="preserve">Key strengths of the study </w:t>
      </w:r>
      <w:r w:rsidR="00FA6715">
        <w:t xml:space="preserve">are the use of a Pacific research framework </w:t>
      </w:r>
      <w:r w:rsidR="007D4B4F">
        <w:t xml:space="preserve">(the </w:t>
      </w:r>
      <w:proofErr w:type="spellStart"/>
      <w:r w:rsidR="007D4B4F">
        <w:t>Tivaivai</w:t>
      </w:r>
      <w:proofErr w:type="spellEnd"/>
      <w:r w:rsidR="007D4B4F">
        <w:t xml:space="preserve"> framework) </w:t>
      </w:r>
      <w:r w:rsidR="00FA6715">
        <w:t xml:space="preserve">to guide the research, recruitment of participants through </w:t>
      </w:r>
      <w:r w:rsidR="00B534B3">
        <w:t xml:space="preserve">Pacific </w:t>
      </w:r>
      <w:r w:rsidR="00FA6715">
        <w:t xml:space="preserve">community organisations, and </w:t>
      </w:r>
      <w:r w:rsidR="00FA6715" w:rsidRPr="00FA6715">
        <w:t>the interview team’s experience of Pacific values and cultural understanding</w:t>
      </w:r>
      <w:r w:rsidR="00FA6715">
        <w:t>.</w:t>
      </w:r>
    </w:p>
    <w:p w14:paraId="6B2EC3A0" w14:textId="29C42C38" w:rsidR="00B8710B" w:rsidRPr="00B8710B" w:rsidRDefault="006A0AA8" w:rsidP="00C404F1">
      <w:r>
        <w:t>The main limitation of the study is that</w:t>
      </w:r>
      <w:r w:rsidR="00FA6715">
        <w:t xml:space="preserve"> it does not represent the full diversity of experiences of disabled Pacific peoples, Pacific peoples with health conditions, and their </w:t>
      </w:r>
      <w:proofErr w:type="spellStart"/>
      <w:r w:rsidR="00FA6715">
        <w:t>carers</w:t>
      </w:r>
      <w:proofErr w:type="spellEnd"/>
      <w:r>
        <w:t xml:space="preserve">. However, it does provide valuable in-depth insights from those who generously shared their experiences. </w:t>
      </w:r>
    </w:p>
    <w:p w14:paraId="4E417FCA" w14:textId="73EBB73E" w:rsidR="004C7DBD" w:rsidRDefault="004C7DBD">
      <w:pPr>
        <w:spacing w:after="0" w:line="240" w:lineRule="auto"/>
      </w:pPr>
      <w:r>
        <w:br w:type="page"/>
      </w:r>
    </w:p>
    <w:p w14:paraId="62459776" w14:textId="38737766" w:rsidR="00CF7E35" w:rsidRPr="00283DB3" w:rsidRDefault="00CF7E35" w:rsidP="00E7095E">
      <w:pPr>
        <w:pStyle w:val="Heading2"/>
      </w:pPr>
      <w:r w:rsidRPr="00283DB3">
        <w:lastRenderedPageBreak/>
        <w:t xml:space="preserve">Key findings </w:t>
      </w:r>
    </w:p>
    <w:p w14:paraId="79C38535" w14:textId="0F48D727" w:rsidR="00CF7E35" w:rsidRPr="00955962" w:rsidRDefault="00283DB3" w:rsidP="00AE7B10">
      <w:pPr>
        <w:pStyle w:val="Heading3"/>
      </w:pPr>
      <w:r w:rsidRPr="00955962">
        <w:t xml:space="preserve">Most people </w:t>
      </w:r>
      <w:r w:rsidRPr="00FF7FB5">
        <w:t>had direct costs related to being disabled or having a health condition</w:t>
      </w:r>
    </w:p>
    <w:p w14:paraId="264C43CF" w14:textId="188B93C5" w:rsidR="0094072E" w:rsidRDefault="00AC6BB2" w:rsidP="00C404F1">
      <w:r w:rsidRPr="00AC6BB2">
        <w:rPr>
          <w:szCs w:val="24"/>
        </w:rPr>
        <w:t>Direct costs discussed by participan</w:t>
      </w:r>
      <w:r>
        <w:rPr>
          <w:szCs w:val="24"/>
        </w:rPr>
        <w:t>t</w:t>
      </w:r>
      <w:r w:rsidRPr="00AC6BB2">
        <w:rPr>
          <w:szCs w:val="24"/>
        </w:rPr>
        <w:t>s included medical</w:t>
      </w:r>
      <w:r w:rsidRPr="0094072E">
        <w:t xml:space="preserve"> appointments, rehabilitation and therapies, special food, equipment, furniture, clothing, shoes, extra home heating, and transport.</w:t>
      </w:r>
    </w:p>
    <w:p w14:paraId="3B0162CA" w14:textId="535DB616" w:rsidR="00AC6BB2" w:rsidRPr="00AC6BB2" w:rsidRDefault="00AC6BB2" w:rsidP="00C404F1">
      <w:r>
        <w:t xml:space="preserve">For some participants it was difficult </w:t>
      </w:r>
      <w:r w:rsidRPr="0094072E">
        <w:t>to identify what costs were health- and disability-related</w:t>
      </w:r>
      <w:r>
        <w:t>, as they didn’t know how much they would be spending if they were not disabled or didn’t have a health condition.</w:t>
      </w:r>
    </w:p>
    <w:p w14:paraId="06BFE0D7" w14:textId="2C119AA7" w:rsidR="00283DB3" w:rsidRPr="00283DB3" w:rsidRDefault="00283DB3" w:rsidP="00AE7B10">
      <w:pPr>
        <w:pStyle w:val="Heading3"/>
      </w:pPr>
      <w:r>
        <w:t xml:space="preserve">Some people </w:t>
      </w:r>
      <w:r w:rsidR="0094072E">
        <w:t>had unmet</w:t>
      </w:r>
      <w:r>
        <w:t xml:space="preserve"> health and disability related needs</w:t>
      </w:r>
      <w:r w:rsidR="000B4935">
        <w:t xml:space="preserve"> due to cost</w:t>
      </w:r>
    </w:p>
    <w:p w14:paraId="1B7A0933" w14:textId="077B1649" w:rsidR="00CF7E35" w:rsidRDefault="0094072E" w:rsidP="00C404F1">
      <w:r>
        <w:t>S</w:t>
      </w:r>
      <w:r w:rsidRPr="0094072E">
        <w:t>ome people could not afford the specific diet, regular health care, rehabilitation, or extra help around the house they knew would improve their health or help them manage their conditions or disabilities</w:t>
      </w:r>
      <w:r>
        <w:t>.</w:t>
      </w:r>
    </w:p>
    <w:p w14:paraId="20D1834C" w14:textId="7E2D91B3" w:rsidR="0094072E" w:rsidRDefault="00AC6BB2" w:rsidP="00C404F1">
      <w:r>
        <w:t>T</w:t>
      </w:r>
      <w:r w:rsidR="0094072E" w:rsidRPr="0094072E">
        <w:t>he time, energy, knowledge, and advocacy required to gain access to treatments, funded equipment, and resources</w:t>
      </w:r>
      <w:r>
        <w:t xml:space="preserve"> was also a barrier to meeting needs.</w:t>
      </w:r>
    </w:p>
    <w:p w14:paraId="3B12FF08" w14:textId="7731C73D" w:rsidR="0094072E" w:rsidRPr="0094072E" w:rsidRDefault="0094072E" w:rsidP="00C404F1">
      <w:r>
        <w:lastRenderedPageBreak/>
        <w:t>Suitable housing was a common unmet need</w:t>
      </w:r>
      <w:r w:rsidR="00AC6BB2">
        <w:t>. Participants described having to make do in homes without adequate heating or</w:t>
      </w:r>
      <w:r w:rsidR="009D4BAA">
        <w:t xml:space="preserve"> that</w:t>
      </w:r>
      <w:r w:rsidR="00AC6BB2">
        <w:t xml:space="preserve"> were not wheelchair accessible. </w:t>
      </w:r>
      <w:r>
        <w:t xml:space="preserve"> </w:t>
      </w:r>
    </w:p>
    <w:p w14:paraId="424DA4CD" w14:textId="074833A2" w:rsidR="00283DB3" w:rsidRPr="0031454A" w:rsidRDefault="00283DB3" w:rsidP="00AE7B10">
      <w:pPr>
        <w:pStyle w:val="Heading3"/>
      </w:pPr>
      <w:r w:rsidRPr="0031454A">
        <w:t xml:space="preserve">There </w:t>
      </w:r>
      <w:r w:rsidRPr="00AE7B10">
        <w:t>were</w:t>
      </w:r>
      <w:r w:rsidRPr="0031454A">
        <w:t xml:space="preserve"> indirect costs of being disabled, having a health condition, or being a carer</w:t>
      </w:r>
    </w:p>
    <w:p w14:paraId="08EF6EB0" w14:textId="12DC3D18" w:rsidR="00283DB3" w:rsidRDefault="00A641B2" w:rsidP="00C404F1">
      <w:r>
        <w:t>B</w:t>
      </w:r>
      <w:r w:rsidR="00AC6BB2" w:rsidRPr="00AC6BB2">
        <w:t xml:space="preserve">eing disabled, </w:t>
      </w:r>
      <w:r w:rsidR="00AC6BB2" w:rsidRPr="00A641B2">
        <w:rPr>
          <w:szCs w:val="24"/>
        </w:rPr>
        <w:t>having a health condition, or being a carer</w:t>
      </w:r>
      <w:r w:rsidRPr="00A641B2">
        <w:rPr>
          <w:szCs w:val="24"/>
        </w:rPr>
        <w:t xml:space="preserve"> commonly </w:t>
      </w:r>
      <w:r>
        <w:rPr>
          <w:szCs w:val="24"/>
        </w:rPr>
        <w:t>reduced</w:t>
      </w:r>
      <w:r w:rsidRPr="001C3161">
        <w:rPr>
          <w:szCs w:val="24"/>
        </w:rPr>
        <w:t xml:space="preserve"> opportunities to participate in paid employment</w:t>
      </w:r>
      <w:r w:rsidR="00AC6BB2" w:rsidRPr="00A641B2">
        <w:rPr>
          <w:szCs w:val="24"/>
        </w:rPr>
        <w:t>. F</w:t>
      </w:r>
      <w:r w:rsidR="00AC6BB2">
        <w:t xml:space="preserve">or carers, the financial costs of lost income for themselves were balanced by the wellbeing gains for the person they were caring for, who was usually a loved one. </w:t>
      </w:r>
    </w:p>
    <w:p w14:paraId="7DD38153" w14:textId="16356154" w:rsidR="006572D0" w:rsidRDefault="00A641B2" w:rsidP="00C404F1">
      <w:pPr>
        <w:rPr>
          <w:szCs w:val="24"/>
          <w:lang w:eastAsia="en-AU"/>
        </w:rPr>
      </w:pPr>
      <w:r w:rsidRPr="00437AC5">
        <w:t>Some disabled people</w:t>
      </w:r>
      <w:r w:rsidR="00B534B3">
        <w:t>, people with health conditions</w:t>
      </w:r>
      <w:r w:rsidR="00B35020">
        <w:t>,</w:t>
      </w:r>
      <w:r w:rsidRPr="00437AC5">
        <w:t xml:space="preserve"> and carers experienced costs to their own physical and mental health</w:t>
      </w:r>
      <w:r>
        <w:t>.</w:t>
      </w:r>
      <w:r w:rsidRPr="00437AC5">
        <w:t xml:space="preserve"> </w:t>
      </w:r>
      <w:r>
        <w:t>For disabled people</w:t>
      </w:r>
      <w:r w:rsidR="008D13E6">
        <w:t xml:space="preserve"> and people with health conditions</w:t>
      </w:r>
      <w:r>
        <w:t xml:space="preserve"> t</w:t>
      </w:r>
      <w:r w:rsidR="00DE5F31">
        <w:t>hese were often related to a loss of independence or feeling like they were a burden on those caring for them.</w:t>
      </w:r>
      <w:r>
        <w:t xml:space="preserve"> For carers their health was impacted by the stresses and strains of </w:t>
      </w:r>
      <w:r w:rsidR="003E7930">
        <w:rPr>
          <w:szCs w:val="24"/>
          <w:lang w:eastAsia="en-AU"/>
        </w:rPr>
        <w:t>providing care</w:t>
      </w:r>
      <w:r w:rsidR="003E7930" w:rsidRPr="003E7930">
        <w:rPr>
          <w:szCs w:val="24"/>
          <w:lang w:eastAsia="en-AU"/>
        </w:rPr>
        <w:t xml:space="preserve"> </w:t>
      </w:r>
      <w:r w:rsidR="004103AE">
        <w:rPr>
          <w:szCs w:val="24"/>
          <w:lang w:eastAsia="en-AU"/>
        </w:rPr>
        <w:t xml:space="preserve">and </w:t>
      </w:r>
      <w:r w:rsidR="003E7930" w:rsidRPr="003E7930">
        <w:rPr>
          <w:szCs w:val="24"/>
          <w:lang w:eastAsia="en-AU"/>
        </w:rPr>
        <w:t>not having the time and financial resources to take care of themselves. Some had experienced periods of burnout.</w:t>
      </w:r>
    </w:p>
    <w:p w14:paraId="57592D14" w14:textId="77777777" w:rsidR="00AE7B10" w:rsidRDefault="00AE7B10">
      <w:pPr>
        <w:spacing w:after="0" w:line="240" w:lineRule="auto"/>
        <w:rPr>
          <w:b/>
          <w:sz w:val="40"/>
          <w:szCs w:val="40"/>
        </w:rPr>
      </w:pPr>
      <w:r>
        <w:br w:type="page"/>
      </w:r>
    </w:p>
    <w:p w14:paraId="305A68F3" w14:textId="33E79C05" w:rsidR="00283DB3" w:rsidRDefault="00181E6A" w:rsidP="00AE7B10">
      <w:pPr>
        <w:pStyle w:val="Heading3"/>
      </w:pPr>
      <w:r>
        <w:lastRenderedPageBreak/>
        <w:t>High</w:t>
      </w:r>
      <w:r w:rsidR="00283DB3">
        <w:t xml:space="preserve"> costs and unmet </w:t>
      </w:r>
      <w:r w:rsidR="009E15F2">
        <w:t xml:space="preserve">health and disability related </w:t>
      </w:r>
      <w:r w:rsidR="00283DB3">
        <w:t>needs</w:t>
      </w:r>
      <w:r>
        <w:t xml:space="preserve"> </w:t>
      </w:r>
      <w:r w:rsidR="009E15F2">
        <w:t xml:space="preserve">sometimes </w:t>
      </w:r>
      <w:r>
        <w:t>led to</w:t>
      </w:r>
      <w:r w:rsidR="009E15F2">
        <w:t xml:space="preserve"> going without the basics</w:t>
      </w:r>
    </w:p>
    <w:p w14:paraId="415611E6" w14:textId="155F162B" w:rsidR="009E15F2" w:rsidRPr="009E15F2" w:rsidRDefault="009E15F2" w:rsidP="00C404F1">
      <w:r w:rsidRPr="009E15F2">
        <w:t>Health- and disability-related costs put pressure on families’ budgets</w:t>
      </w:r>
      <w:r>
        <w:t xml:space="preserve">, </w:t>
      </w:r>
      <w:r w:rsidR="00DE5F31">
        <w:t xml:space="preserve">sometimes </w:t>
      </w:r>
      <w:r>
        <w:t>leaving them</w:t>
      </w:r>
      <w:r w:rsidRPr="009E15F2">
        <w:t xml:space="preserve"> unable to afford the basics, including food, petrol, and school uniforms. </w:t>
      </w:r>
    </w:p>
    <w:p w14:paraId="0A033970" w14:textId="6E2FED2C" w:rsidR="00283DB3" w:rsidRPr="00D66895" w:rsidRDefault="00DE5F31" w:rsidP="00C404F1">
      <w:r>
        <w:t>When asked whether their income was enough to meet their needs, five</w:t>
      </w:r>
      <w:r w:rsidR="009E15F2" w:rsidRPr="009E15F2">
        <w:t xml:space="preserve"> p</w:t>
      </w:r>
      <w:r>
        <w:t>articipants</w:t>
      </w:r>
      <w:r w:rsidR="009E15F2" w:rsidRPr="009E15F2">
        <w:t xml:space="preserve"> said that their income was ‘only just enough’ </w:t>
      </w:r>
      <w:r>
        <w:t>and seven</w:t>
      </w:r>
      <w:r w:rsidR="009E15F2" w:rsidRPr="009E15F2">
        <w:t xml:space="preserve"> ‘not enough</w:t>
      </w:r>
      <w:r w:rsidR="00453C13">
        <w:t>’</w:t>
      </w:r>
      <w:r w:rsidR="009E15F2" w:rsidRPr="009E15F2">
        <w:t xml:space="preserve"> to meet their needs. </w:t>
      </w:r>
      <w:r w:rsidRPr="00DE5F31">
        <w:t>Only three said their income was enough and none said they had more than enough income</w:t>
      </w:r>
      <w:r>
        <w:t xml:space="preserve">. </w:t>
      </w:r>
    </w:p>
    <w:p w14:paraId="1CCD6767" w14:textId="5F18A3DC" w:rsidR="00283DB3" w:rsidRDefault="007E51DC" w:rsidP="00AE7B10">
      <w:pPr>
        <w:pStyle w:val="Heading3"/>
      </w:pPr>
      <w:r>
        <w:t>People’s</w:t>
      </w:r>
      <w:r w:rsidR="00283DB3">
        <w:t xml:space="preserve"> context impacted how well they could manage</w:t>
      </w:r>
      <w:r w:rsidR="0094072E">
        <w:t xml:space="preserve"> being disabled, having a health condition, or being a carer</w:t>
      </w:r>
      <w:r w:rsidR="00283DB3">
        <w:t xml:space="preserve"> </w:t>
      </w:r>
    </w:p>
    <w:p w14:paraId="48D23DBA" w14:textId="59B07B9D" w:rsidR="00D66895" w:rsidRPr="00824E35" w:rsidRDefault="00824E35" w:rsidP="00C404F1">
      <w:r w:rsidRPr="00824E35">
        <w:t>Living in suitable housing made a significant difference in the day-to-day lives of some participants</w:t>
      </w:r>
      <w:r>
        <w:t>, particularly when housing had good heating and was wheelchair accessible.</w:t>
      </w:r>
      <w:r w:rsidR="00D66895" w:rsidRPr="00824E35">
        <w:t xml:space="preserve"> </w:t>
      </w:r>
      <w:r>
        <w:t xml:space="preserve">Affordability of housing, being close to family, and living in a neighbourhood that was safe and had a sense of community were important to participants. </w:t>
      </w:r>
    </w:p>
    <w:p w14:paraId="707A30EB" w14:textId="77777777" w:rsidR="004C7DBD" w:rsidRDefault="00824E35" w:rsidP="00C404F1">
      <w:r>
        <w:t xml:space="preserve">Many participants were heavily involved </w:t>
      </w:r>
      <w:r w:rsidR="00B534B3">
        <w:t xml:space="preserve">and volunteering </w:t>
      </w:r>
      <w:r>
        <w:t>with their church and community</w:t>
      </w:r>
      <w:r w:rsidR="00557335">
        <w:t xml:space="preserve">, </w:t>
      </w:r>
      <w:r w:rsidR="00B61B1C">
        <w:t>which provided sources of connection and support.</w:t>
      </w:r>
      <w:r w:rsidR="00855C1E">
        <w:t xml:space="preserve"> </w:t>
      </w:r>
    </w:p>
    <w:p w14:paraId="70DE9552" w14:textId="74D25687" w:rsidR="00D66895" w:rsidRPr="007E51DC" w:rsidRDefault="00855C1E" w:rsidP="00C404F1">
      <w:r>
        <w:lastRenderedPageBreak/>
        <w:t>Faith was a source of strength for many participants. It enabled them to be thankful for what they had and provided a sense of purpose.</w:t>
      </w:r>
      <w:r w:rsidR="00B61B1C">
        <w:t xml:space="preserve"> </w:t>
      </w:r>
    </w:p>
    <w:p w14:paraId="50D0FCDB" w14:textId="29CFD0C3" w:rsidR="00283DB3" w:rsidRDefault="00283DB3" w:rsidP="00AE7B10">
      <w:pPr>
        <w:pStyle w:val="Heading3"/>
      </w:pPr>
      <w:r>
        <w:t>People and their families had wa</w:t>
      </w:r>
      <w:r w:rsidR="00A77C60">
        <w:t>y</w:t>
      </w:r>
      <w:r>
        <w:t>s of c</w:t>
      </w:r>
      <w:r w:rsidR="00A77C60">
        <w:t>ompensating</w:t>
      </w:r>
      <w:r w:rsidR="0094072E">
        <w:t xml:space="preserve"> for health and disability related costs</w:t>
      </w:r>
      <w:r w:rsidR="00A77C60">
        <w:t xml:space="preserve"> </w:t>
      </w:r>
    </w:p>
    <w:p w14:paraId="7269AE82" w14:textId="414C47EF" w:rsidR="007B4BC5" w:rsidRPr="007B4BC5" w:rsidRDefault="003E7930" w:rsidP="00C404F1">
      <w:r w:rsidRPr="003E7930">
        <w:t>Care, support, and advocacy provided by family members were key factors that helped people manage, compensate for, and share costs</w:t>
      </w:r>
      <w:r w:rsidR="00E167E5">
        <w:t xml:space="preserve">. Family members often helped with daily living expenses and travel, and played </w:t>
      </w:r>
      <w:r w:rsidR="007B4BC5" w:rsidRPr="007B4BC5">
        <w:t>key roles in helping secure needed treatment, resources, and equipment</w:t>
      </w:r>
      <w:r w:rsidR="00E167E5">
        <w:t xml:space="preserve">. </w:t>
      </w:r>
    </w:p>
    <w:p w14:paraId="63A9084F" w14:textId="6067C330" w:rsidR="003E7930" w:rsidRPr="003E7930" w:rsidRDefault="003E7930" w:rsidP="00C404F1">
      <w:r w:rsidRPr="003E7930">
        <w:t xml:space="preserve">Other ways of getting </w:t>
      </w:r>
      <w:r w:rsidR="00E167E5">
        <w:t xml:space="preserve">by </w:t>
      </w:r>
      <w:r w:rsidR="00381C3F">
        <w:t xml:space="preserve">that </w:t>
      </w:r>
      <w:r w:rsidR="006D19BF">
        <w:t xml:space="preserve">were </w:t>
      </w:r>
      <w:r w:rsidR="005222FD">
        <w:t>mentioned</w:t>
      </w:r>
      <w:r w:rsidR="006D19BF">
        <w:t xml:space="preserve"> by </w:t>
      </w:r>
      <w:r w:rsidR="007B4BC5">
        <w:t>participants</w:t>
      </w:r>
      <w:r w:rsidRPr="003E7930">
        <w:t xml:space="preserve"> included using foodbanks</w:t>
      </w:r>
      <w:r w:rsidR="007B4BC5">
        <w:t>, shopping second-hand,</w:t>
      </w:r>
      <w:r w:rsidRPr="003E7930">
        <w:t xml:space="preserve"> and </w:t>
      </w:r>
      <w:r w:rsidR="007B4BC5">
        <w:t xml:space="preserve">using </w:t>
      </w:r>
      <w:r w:rsidRPr="003E7930">
        <w:t>loan companies</w:t>
      </w:r>
      <w:r>
        <w:t>.</w:t>
      </w:r>
    </w:p>
    <w:p w14:paraId="00E0C354" w14:textId="07B802A6" w:rsidR="003E7930" w:rsidRPr="007B4BC5" w:rsidRDefault="007B4BC5" w:rsidP="00C404F1">
      <w:r w:rsidRPr="007B4BC5">
        <w:t xml:space="preserve">Some participants had support workers to help with care, which reduced the pressure on families. However, costs for support workers could be expensive and it was important to find the ‘right’ carer. </w:t>
      </w:r>
    </w:p>
    <w:p w14:paraId="79878598" w14:textId="394A5799" w:rsidR="00283DB3" w:rsidRPr="00E167E5" w:rsidRDefault="003E7930" w:rsidP="00C404F1">
      <w:r w:rsidRPr="003E7930">
        <w:t>Some people</w:t>
      </w:r>
      <w:r w:rsidR="00E167E5">
        <w:t xml:space="preserve"> also received support from Pacific</w:t>
      </w:r>
      <w:r w:rsidRPr="003E7930">
        <w:t xml:space="preserve"> health and social service providers</w:t>
      </w:r>
      <w:r w:rsidR="007B4BC5">
        <w:t xml:space="preserve">, </w:t>
      </w:r>
      <w:r w:rsidR="00E167E5">
        <w:t xml:space="preserve">who they felt more comfortable with than non-Pacific providers. </w:t>
      </w:r>
      <w:r w:rsidR="007B4BC5">
        <w:t xml:space="preserve"> </w:t>
      </w:r>
      <w:r w:rsidRPr="003E7930">
        <w:t xml:space="preserve"> </w:t>
      </w:r>
    </w:p>
    <w:p w14:paraId="7BA04925" w14:textId="4B75A9BA" w:rsidR="00283DB3" w:rsidRPr="00283DB3" w:rsidRDefault="00747B7A" w:rsidP="00AE7B10">
      <w:pPr>
        <w:pStyle w:val="Heading3"/>
      </w:pPr>
      <w:r>
        <w:lastRenderedPageBreak/>
        <w:t>Experiences of accessing</w:t>
      </w:r>
      <w:r w:rsidR="00DF698E">
        <w:t xml:space="preserve"> </w:t>
      </w:r>
      <w:r w:rsidR="00283DB3">
        <w:t xml:space="preserve">income support were </w:t>
      </w:r>
      <w:r w:rsidR="00B6133A">
        <w:t>mixed.</w:t>
      </w:r>
    </w:p>
    <w:p w14:paraId="078B367D" w14:textId="48DE6324" w:rsidR="006B1D31" w:rsidRPr="006B1D31" w:rsidRDefault="006B1D31" w:rsidP="00C404F1">
      <w:r w:rsidRPr="006B1D31">
        <w:t>Some participants were unaware of</w:t>
      </w:r>
      <w:r>
        <w:t xml:space="preserve"> the</w:t>
      </w:r>
      <w:r w:rsidRPr="006B1D31">
        <w:t xml:space="preserve"> different types of income support that could help with the direct costs of disability and health conditions. </w:t>
      </w:r>
      <w:r>
        <w:t>For example, t</w:t>
      </w:r>
      <w:r w:rsidRPr="006B1D31">
        <w:t xml:space="preserve">wo participants </w:t>
      </w:r>
      <w:r>
        <w:t>knew about</w:t>
      </w:r>
      <w:r w:rsidRPr="006B1D31">
        <w:t xml:space="preserve"> Disability Allowance</w:t>
      </w:r>
      <w:r w:rsidR="006E4B8C">
        <w:t xml:space="preserve"> but no other potential sources of income support</w:t>
      </w:r>
      <w:r>
        <w:t>.</w:t>
      </w:r>
    </w:p>
    <w:p w14:paraId="02B60F5D" w14:textId="2E6108C5" w:rsidR="006B1D31" w:rsidRPr="006B1D31" w:rsidRDefault="006B1D31" w:rsidP="00C404F1">
      <w:r>
        <w:t>In contrast, s</w:t>
      </w:r>
      <w:r w:rsidRPr="006B1D31">
        <w:t xml:space="preserve">ome people were aware of income support but did not want to access it due to </w:t>
      </w:r>
      <w:r w:rsidR="00416E83">
        <w:t>finding the process difficult in the past</w:t>
      </w:r>
      <w:r w:rsidR="00DF698E">
        <w:t>.</w:t>
      </w:r>
    </w:p>
    <w:p w14:paraId="3CE830FE" w14:textId="6E114A67" w:rsidR="00283DB3" w:rsidRDefault="00682444" w:rsidP="00C404F1">
      <w:r>
        <w:t>Those who were receiving income support were appreciative of the support they received, though some felt there could</w:t>
      </w:r>
      <w:r w:rsidR="003B0F73">
        <w:t xml:space="preserve"> be inconsistencies in how this was provided</w:t>
      </w:r>
      <w:r>
        <w:t xml:space="preserve">. </w:t>
      </w:r>
    </w:p>
    <w:p w14:paraId="779FAA3D" w14:textId="5B30AEFD" w:rsidR="00682444" w:rsidRDefault="00682444" w:rsidP="00C404F1">
      <w:r w:rsidRPr="00896B59">
        <w:t>Participants expressed some frustrations with income support policy settings</w:t>
      </w:r>
      <w:r w:rsidR="00C70194" w:rsidRPr="00B6133A">
        <w:t xml:space="preserve"> </w:t>
      </w:r>
      <w:r w:rsidR="009B27E7" w:rsidRPr="00B6133A">
        <w:t>that affected their</w:t>
      </w:r>
      <w:r w:rsidR="00896B59" w:rsidRPr="00B6133A">
        <w:t xml:space="preserve"> eligibility for support and/or their</w:t>
      </w:r>
      <w:r w:rsidR="009B27E7" w:rsidRPr="00B6133A">
        <w:t xml:space="preserve"> ability to participate in paid employment</w:t>
      </w:r>
      <w:r w:rsidR="00896B59" w:rsidRPr="00B6133A">
        <w:t>.</w:t>
      </w:r>
      <w:r w:rsidR="009B27E7" w:rsidRPr="00B6133A">
        <w:t xml:space="preserve"> </w:t>
      </w:r>
      <w:r w:rsidR="004543D2">
        <w:t xml:space="preserve"> </w:t>
      </w:r>
    </w:p>
    <w:p w14:paraId="6226360E" w14:textId="75FCD247" w:rsidR="00385C6C" w:rsidRPr="00E7095E" w:rsidRDefault="00385C6C" w:rsidP="00E7095E">
      <w:pPr>
        <w:pStyle w:val="Heading2"/>
      </w:pPr>
      <w:r w:rsidRPr="00E7095E">
        <w:t>Implications</w:t>
      </w:r>
    </w:p>
    <w:p w14:paraId="447CB56D" w14:textId="397C429D" w:rsidR="004C7DBD" w:rsidRDefault="003D322F" w:rsidP="00E7095E">
      <w:pPr>
        <w:spacing w:after="80"/>
      </w:pPr>
      <w:r>
        <w:t>The study was small, and findings are b</w:t>
      </w:r>
      <w:r w:rsidR="00D33190">
        <w:t>ased on t</w:t>
      </w:r>
      <w:r w:rsidR="00E017AC" w:rsidRPr="00E017AC">
        <w:t xml:space="preserve">he experiences </w:t>
      </w:r>
      <w:r w:rsidR="00D61B1C">
        <w:t xml:space="preserve">of the </w:t>
      </w:r>
      <w:r w:rsidR="00881358">
        <w:t>16 Pacific peoples who took part in this study</w:t>
      </w:r>
      <w:r>
        <w:t xml:space="preserve">. </w:t>
      </w:r>
    </w:p>
    <w:p w14:paraId="29CD066D" w14:textId="77777777" w:rsidR="004C7DBD" w:rsidRDefault="004C7DBD">
      <w:pPr>
        <w:spacing w:after="0" w:line="240" w:lineRule="auto"/>
      </w:pPr>
      <w:r>
        <w:br w:type="page"/>
      </w:r>
    </w:p>
    <w:p w14:paraId="3ABDAB5E" w14:textId="7F48E02C" w:rsidR="003D322F" w:rsidRDefault="003D322F" w:rsidP="00E7095E">
      <w:pPr>
        <w:spacing w:after="80"/>
      </w:pPr>
      <w:r>
        <w:lastRenderedPageBreak/>
        <w:t xml:space="preserve">However, the findings highlight a number of areas for further exploration to improve outcomes for disabled people, people with health conditions, and their </w:t>
      </w:r>
      <w:proofErr w:type="spellStart"/>
      <w:r>
        <w:t>carers</w:t>
      </w:r>
      <w:proofErr w:type="spellEnd"/>
      <w:r>
        <w:t>. These areas include:</w:t>
      </w:r>
    </w:p>
    <w:p w14:paraId="39901E81" w14:textId="0C7CEDCA" w:rsidR="00190C5F" w:rsidRPr="00E7095E" w:rsidRDefault="00A80B2E" w:rsidP="00E7095E">
      <w:pPr>
        <w:pStyle w:val="Bullet1"/>
      </w:pPr>
      <w:r w:rsidRPr="00E7095E">
        <w:t>i</w:t>
      </w:r>
      <w:r w:rsidR="00190C5F" w:rsidRPr="00E7095E">
        <w:t>ncreasing awareness of the range of supports available and how to access these</w:t>
      </w:r>
      <w:r w:rsidR="006B060B">
        <w:t>.</w:t>
      </w:r>
    </w:p>
    <w:p w14:paraId="3FDD08D0" w14:textId="2FBB08B8" w:rsidR="00190C5F" w:rsidRPr="00E7095E" w:rsidRDefault="00A80B2E" w:rsidP="00E7095E">
      <w:pPr>
        <w:pStyle w:val="Bullet1"/>
      </w:pPr>
      <w:r w:rsidRPr="00E7095E">
        <w:t>r</w:t>
      </w:r>
      <w:r w:rsidR="00190C5F" w:rsidRPr="00E7095E">
        <w:t>eviewing eligibility criteria for some income supports</w:t>
      </w:r>
      <w:r w:rsidR="006B060B">
        <w:t>.</w:t>
      </w:r>
    </w:p>
    <w:p w14:paraId="4687F146" w14:textId="354A465F" w:rsidR="00190C5F" w:rsidRPr="00E7095E" w:rsidRDefault="00A80B2E" w:rsidP="00E7095E">
      <w:pPr>
        <w:pStyle w:val="Bullet1"/>
      </w:pPr>
      <w:r w:rsidRPr="00E7095E">
        <w:t>s</w:t>
      </w:r>
      <w:r w:rsidR="00190C5F" w:rsidRPr="00E7095E">
        <w:t>upporting disabled Pacific peoples, those with health conditions, and their carers into suitable employment</w:t>
      </w:r>
      <w:r w:rsidR="006B060B">
        <w:t>.</w:t>
      </w:r>
    </w:p>
    <w:p w14:paraId="161323EA" w14:textId="6ADE102C" w:rsidR="00190C5F" w:rsidRPr="00E7095E" w:rsidRDefault="00A80B2E" w:rsidP="00E7095E">
      <w:pPr>
        <w:pStyle w:val="Bullet1"/>
      </w:pPr>
      <w:r w:rsidRPr="00E7095E">
        <w:t>m</w:t>
      </w:r>
      <w:r w:rsidR="00190C5F" w:rsidRPr="00E7095E">
        <w:t>aking it easier for Pacific disabled people, people with health conditions</w:t>
      </w:r>
      <w:r w:rsidR="00D01C90">
        <w:t>,</w:t>
      </w:r>
      <w:r w:rsidR="00190C5F" w:rsidRPr="00E7095E">
        <w:t xml:space="preserve"> and their carers to navigate the system of available supports</w:t>
      </w:r>
      <w:r w:rsidR="006B060B">
        <w:t>.</w:t>
      </w:r>
    </w:p>
    <w:p w14:paraId="57AAB688" w14:textId="5067EAF7" w:rsidR="00DC780E" w:rsidRDefault="00A80B2E" w:rsidP="00E7095E">
      <w:pPr>
        <w:pStyle w:val="Bullet1"/>
        <w:spacing w:after="400"/>
      </w:pPr>
      <w:r w:rsidRPr="00E7095E">
        <w:t>i</w:t>
      </w:r>
      <w:r w:rsidR="00190C5F" w:rsidRPr="00E7095E">
        <w:t>ncreasing the availability of Pacific providers in the community.</w:t>
      </w:r>
    </w:p>
    <w:p w14:paraId="525F8747" w14:textId="77777777" w:rsidR="00536053" w:rsidRDefault="00536053" w:rsidP="00E7095E">
      <w:pPr>
        <w:pStyle w:val="Heading2"/>
        <w:rPr>
          <w:rFonts w:ascii="Arial Bold" w:hAnsi="Arial Bold"/>
        </w:rPr>
      </w:pPr>
      <w:r>
        <w:t>Further reading</w:t>
      </w:r>
    </w:p>
    <w:p w14:paraId="35D58D0E" w14:textId="0CE94C1A" w:rsidR="00536053" w:rsidRPr="00536053" w:rsidRDefault="00536053" w:rsidP="00C404F1">
      <w:pPr>
        <w:rPr>
          <w:rStyle w:val="Hyperlink"/>
          <w:rFonts w:ascii="Calibri" w:hAnsi="Calibri" w:cs="Calibri"/>
          <w:sz w:val="24"/>
          <w:szCs w:val="24"/>
        </w:rPr>
      </w:pPr>
      <w:r w:rsidRPr="00536053">
        <w:t>To see the full report,</w:t>
      </w:r>
      <w:r>
        <w:t xml:space="preserve"> </w:t>
      </w:r>
      <w:r w:rsidRPr="00536053">
        <w:t>go here:</w:t>
      </w:r>
      <w:r w:rsidRPr="00E7095E">
        <w:rPr>
          <w:b/>
          <w:bCs w:val="0"/>
        </w:rPr>
        <w:t xml:space="preserve"> </w:t>
      </w:r>
      <w:hyperlink r:id="rId12" w:history="1">
        <w:r w:rsidR="00D01C90" w:rsidRPr="00E55848">
          <w:rPr>
            <w:rStyle w:val="Hyperlink"/>
            <w:b/>
            <w:bCs w:val="0"/>
          </w:rPr>
          <w:t>https://www.msd.govt.nz/pdcs</w:t>
        </w:r>
      </w:hyperlink>
    </w:p>
    <w:p w14:paraId="461B547D" w14:textId="1A48E671" w:rsidR="004C7DBD" w:rsidRPr="004C7DBD" w:rsidRDefault="004C7DBD" w:rsidP="004C7DBD">
      <w:pPr>
        <w:spacing w:before="600" w:after="120"/>
        <w:rPr>
          <w:b/>
          <w:sz w:val="40"/>
        </w:rPr>
      </w:pPr>
      <w:r w:rsidRPr="00331162">
        <w:rPr>
          <w:b/>
          <w:sz w:val="40"/>
        </w:rPr>
        <w:t xml:space="preserve">End of information: </w:t>
      </w:r>
      <w:r w:rsidRPr="004C7DBD">
        <w:rPr>
          <w:b/>
          <w:sz w:val="40"/>
        </w:rPr>
        <w:t>Costs and income support experiences for Pacific peoples who are disabled or have long-term health conditions – Summary of key findings</w:t>
      </w:r>
    </w:p>
    <w:p w14:paraId="5BB4D3FB" w14:textId="62395C43" w:rsidR="00536053" w:rsidRPr="004C7DBD" w:rsidRDefault="004C7DBD" w:rsidP="004C7DBD">
      <w:pPr>
        <w:rPr>
          <w:i/>
          <w:sz w:val="20"/>
        </w:rPr>
      </w:pPr>
      <w:r w:rsidRPr="00270A17">
        <w:lastRenderedPageBreak/>
        <w:t xml:space="preserve">This Large Print document is adapted by Blind Citizens NZ from the standard document provided by </w:t>
      </w:r>
      <w:r>
        <w:t>the Ministry of Social Development</w:t>
      </w:r>
    </w:p>
    <w:sectPr w:rsidR="00536053" w:rsidRPr="004C7DBD" w:rsidSect="00D01C90">
      <w:headerReference w:type="even" r:id="rId13"/>
      <w:headerReference w:type="first" r:id="rId14"/>
      <w:pgSz w:w="11906" w:h="16838"/>
      <w:pgMar w:top="1134" w:right="1134" w:bottom="851" w:left="1134"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14473" w14:textId="77777777" w:rsidR="00D4342B" w:rsidRDefault="00D4342B" w:rsidP="00C404F1">
      <w:r>
        <w:separator/>
      </w:r>
    </w:p>
  </w:endnote>
  <w:endnote w:type="continuationSeparator" w:id="0">
    <w:p w14:paraId="54DD872C" w14:textId="77777777" w:rsidR="00D4342B" w:rsidRDefault="00D4342B" w:rsidP="00C404F1">
      <w:r>
        <w:continuationSeparator/>
      </w:r>
    </w:p>
  </w:endnote>
  <w:endnote w:type="continuationNotice" w:id="1">
    <w:p w14:paraId="3EDE16D2" w14:textId="77777777" w:rsidR="00D4342B" w:rsidRDefault="00D4342B" w:rsidP="00C40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5D54" w14:textId="77777777" w:rsidR="00D4342B" w:rsidRDefault="00D4342B" w:rsidP="00C404F1">
      <w:r>
        <w:separator/>
      </w:r>
    </w:p>
  </w:footnote>
  <w:footnote w:type="continuationSeparator" w:id="0">
    <w:p w14:paraId="3149C401" w14:textId="77777777" w:rsidR="00D4342B" w:rsidRDefault="00D4342B" w:rsidP="00C404F1">
      <w:r>
        <w:continuationSeparator/>
      </w:r>
    </w:p>
  </w:footnote>
  <w:footnote w:type="continuationNotice" w:id="1">
    <w:p w14:paraId="3D36910F" w14:textId="77777777" w:rsidR="00D4342B" w:rsidRDefault="00D4342B" w:rsidP="00C40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9016" w14:textId="042EF2EA" w:rsidR="00CF7E35" w:rsidRDefault="00CF7E35" w:rsidP="00C404F1">
    <w:pPr>
      <w:pStyle w:val="Header"/>
    </w:pPr>
    <w:r>
      <w:rPr>
        <w:noProof/>
      </w:rPr>
      <mc:AlternateContent>
        <mc:Choice Requires="wps">
          <w:drawing>
            <wp:anchor distT="0" distB="0" distL="0" distR="0" simplePos="0" relativeHeight="251658241" behindDoc="0" locked="0" layoutInCell="1" allowOverlap="1" wp14:anchorId="1829AEB6" wp14:editId="04AA5ADF">
              <wp:simplePos x="635" y="635"/>
              <wp:positionH relativeFrom="page">
                <wp:align>center</wp:align>
              </wp:positionH>
              <wp:positionV relativeFrom="page">
                <wp:align>top</wp:align>
              </wp:positionV>
              <wp:extent cx="443865" cy="443865"/>
              <wp:effectExtent l="0" t="0" r="10160" b="4445"/>
              <wp:wrapNone/>
              <wp:docPr id="202076987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774A2" w14:textId="60F22C1D" w:rsidR="00CF7E35" w:rsidRPr="00CF7E35" w:rsidRDefault="00CF7E35" w:rsidP="00C404F1">
                          <w:pPr>
                            <w:rPr>
                              <w:noProof/>
                            </w:rPr>
                          </w:pPr>
                          <w:r w:rsidRPr="00CF7E35">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9AEB6"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96774A2" w14:textId="60F22C1D" w:rsidR="00CF7E35" w:rsidRPr="00CF7E35" w:rsidRDefault="00CF7E35" w:rsidP="00C404F1">
                    <w:pPr>
                      <w:rPr>
                        <w:noProof/>
                      </w:rPr>
                    </w:pPr>
                    <w:r w:rsidRPr="00CF7E35">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F89B" w14:textId="3CBA8A56" w:rsidR="00CF7E35" w:rsidRDefault="00CF7E35" w:rsidP="00C404F1">
    <w:pPr>
      <w:pStyle w:val="Header"/>
    </w:pPr>
    <w:r>
      <w:rPr>
        <w:noProof/>
      </w:rPr>
      <mc:AlternateContent>
        <mc:Choice Requires="wps">
          <w:drawing>
            <wp:anchor distT="0" distB="0" distL="0" distR="0" simplePos="0" relativeHeight="251658240" behindDoc="0" locked="0" layoutInCell="1" allowOverlap="1" wp14:anchorId="5B59E85F" wp14:editId="2825D53B">
              <wp:simplePos x="635" y="635"/>
              <wp:positionH relativeFrom="page">
                <wp:align>center</wp:align>
              </wp:positionH>
              <wp:positionV relativeFrom="page">
                <wp:align>top</wp:align>
              </wp:positionV>
              <wp:extent cx="443865" cy="443865"/>
              <wp:effectExtent l="0" t="0" r="10160" b="4445"/>
              <wp:wrapNone/>
              <wp:docPr id="72729237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7CD827" w14:textId="787D3398" w:rsidR="00CF7E35" w:rsidRPr="00CF7E35" w:rsidRDefault="00CF7E35" w:rsidP="00C404F1">
                          <w:pPr>
                            <w:rPr>
                              <w:noProof/>
                            </w:rPr>
                          </w:pPr>
                          <w:r w:rsidRPr="00CF7E35">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9E85F"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7CD827" w14:textId="787D3398" w:rsidR="00CF7E35" w:rsidRPr="00CF7E35" w:rsidRDefault="00CF7E35" w:rsidP="00C404F1">
                    <w:pPr>
                      <w:rPr>
                        <w:noProof/>
                      </w:rPr>
                    </w:pPr>
                    <w:r w:rsidRPr="00CF7E35">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560933"/>
    <w:multiLevelType w:val="hybridMultilevel"/>
    <w:tmpl w:val="62B64FD6"/>
    <w:lvl w:ilvl="0" w:tplc="E0107A54">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C9438EC"/>
    <w:multiLevelType w:val="multilevel"/>
    <w:tmpl w:val="F46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062A98"/>
    <w:multiLevelType w:val="multilevel"/>
    <w:tmpl w:val="6BA6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650345"/>
    <w:multiLevelType w:val="hybridMultilevel"/>
    <w:tmpl w:val="3A148814"/>
    <w:lvl w:ilvl="0" w:tplc="C75A5DA0">
      <w:start w:val="1"/>
      <w:numFmt w:val="bullet"/>
      <w:lvlText w:val=""/>
      <w:lvlJc w:val="left"/>
      <w:pPr>
        <w:ind w:left="1628" w:hanging="360"/>
      </w:pPr>
      <w:rPr>
        <w:rFonts w:ascii="Symbol" w:hAnsi="Symbol" w:hint="default"/>
      </w:rPr>
    </w:lvl>
    <w:lvl w:ilvl="1" w:tplc="14090003" w:tentative="1">
      <w:start w:val="1"/>
      <w:numFmt w:val="bullet"/>
      <w:lvlText w:val="o"/>
      <w:lvlJc w:val="left"/>
      <w:pPr>
        <w:ind w:left="2348" w:hanging="360"/>
      </w:pPr>
      <w:rPr>
        <w:rFonts w:ascii="Courier New" w:hAnsi="Courier New" w:cs="Courier New" w:hint="default"/>
      </w:rPr>
    </w:lvl>
    <w:lvl w:ilvl="2" w:tplc="14090005" w:tentative="1">
      <w:start w:val="1"/>
      <w:numFmt w:val="bullet"/>
      <w:lvlText w:val=""/>
      <w:lvlJc w:val="left"/>
      <w:pPr>
        <w:ind w:left="3068" w:hanging="360"/>
      </w:pPr>
      <w:rPr>
        <w:rFonts w:ascii="Wingdings" w:hAnsi="Wingdings" w:hint="default"/>
      </w:rPr>
    </w:lvl>
    <w:lvl w:ilvl="3" w:tplc="14090001" w:tentative="1">
      <w:start w:val="1"/>
      <w:numFmt w:val="bullet"/>
      <w:lvlText w:val=""/>
      <w:lvlJc w:val="left"/>
      <w:pPr>
        <w:ind w:left="3788" w:hanging="360"/>
      </w:pPr>
      <w:rPr>
        <w:rFonts w:ascii="Symbol" w:hAnsi="Symbol" w:hint="default"/>
      </w:rPr>
    </w:lvl>
    <w:lvl w:ilvl="4" w:tplc="14090003" w:tentative="1">
      <w:start w:val="1"/>
      <w:numFmt w:val="bullet"/>
      <w:lvlText w:val="o"/>
      <w:lvlJc w:val="left"/>
      <w:pPr>
        <w:ind w:left="4508" w:hanging="360"/>
      </w:pPr>
      <w:rPr>
        <w:rFonts w:ascii="Courier New" w:hAnsi="Courier New" w:cs="Courier New" w:hint="default"/>
      </w:rPr>
    </w:lvl>
    <w:lvl w:ilvl="5" w:tplc="14090005" w:tentative="1">
      <w:start w:val="1"/>
      <w:numFmt w:val="bullet"/>
      <w:lvlText w:val=""/>
      <w:lvlJc w:val="left"/>
      <w:pPr>
        <w:ind w:left="5228" w:hanging="360"/>
      </w:pPr>
      <w:rPr>
        <w:rFonts w:ascii="Wingdings" w:hAnsi="Wingdings" w:hint="default"/>
      </w:rPr>
    </w:lvl>
    <w:lvl w:ilvl="6" w:tplc="14090001" w:tentative="1">
      <w:start w:val="1"/>
      <w:numFmt w:val="bullet"/>
      <w:lvlText w:val=""/>
      <w:lvlJc w:val="left"/>
      <w:pPr>
        <w:ind w:left="5948" w:hanging="360"/>
      </w:pPr>
      <w:rPr>
        <w:rFonts w:ascii="Symbol" w:hAnsi="Symbol" w:hint="default"/>
      </w:rPr>
    </w:lvl>
    <w:lvl w:ilvl="7" w:tplc="14090003" w:tentative="1">
      <w:start w:val="1"/>
      <w:numFmt w:val="bullet"/>
      <w:lvlText w:val="o"/>
      <w:lvlJc w:val="left"/>
      <w:pPr>
        <w:ind w:left="6668" w:hanging="360"/>
      </w:pPr>
      <w:rPr>
        <w:rFonts w:ascii="Courier New" w:hAnsi="Courier New" w:cs="Courier New" w:hint="default"/>
      </w:rPr>
    </w:lvl>
    <w:lvl w:ilvl="8" w:tplc="14090005" w:tentative="1">
      <w:start w:val="1"/>
      <w:numFmt w:val="bullet"/>
      <w:lvlText w:val=""/>
      <w:lvlJc w:val="left"/>
      <w:pPr>
        <w:ind w:left="7388" w:hanging="360"/>
      </w:pPr>
      <w:rPr>
        <w:rFonts w:ascii="Wingdings" w:hAnsi="Wingdings" w:hint="default"/>
      </w:rPr>
    </w:lvl>
  </w:abstractNum>
  <w:abstractNum w:abstractNumId="24" w15:restartNumberingAfterBreak="0">
    <w:nsid w:val="53D26281"/>
    <w:multiLevelType w:val="hybridMultilevel"/>
    <w:tmpl w:val="124091A4"/>
    <w:lvl w:ilvl="0" w:tplc="F944554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F61537B"/>
    <w:multiLevelType w:val="hybridMultilevel"/>
    <w:tmpl w:val="3A32F7E8"/>
    <w:lvl w:ilvl="0" w:tplc="C028631A">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7E18F8"/>
    <w:multiLevelType w:val="multilevel"/>
    <w:tmpl w:val="4004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90577A6"/>
    <w:multiLevelType w:val="hybridMultilevel"/>
    <w:tmpl w:val="F3C20764"/>
    <w:lvl w:ilvl="0" w:tplc="DEC85AE8">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1488104">
    <w:abstractNumId w:val="16"/>
  </w:num>
  <w:num w:numId="2" w16cid:durableId="1996448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034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383063">
    <w:abstractNumId w:val="14"/>
  </w:num>
  <w:num w:numId="5" w16cid:durableId="448285002">
    <w:abstractNumId w:val="9"/>
  </w:num>
  <w:num w:numId="6" w16cid:durableId="2055503774">
    <w:abstractNumId w:val="7"/>
  </w:num>
  <w:num w:numId="7" w16cid:durableId="913779211">
    <w:abstractNumId w:val="26"/>
  </w:num>
  <w:num w:numId="8" w16cid:durableId="10658149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3980759">
    <w:abstractNumId w:val="9"/>
  </w:num>
  <w:num w:numId="10" w16cid:durableId="1534881815">
    <w:abstractNumId w:val="12"/>
  </w:num>
  <w:num w:numId="11" w16cid:durableId="1279413457">
    <w:abstractNumId w:val="12"/>
  </w:num>
  <w:num w:numId="12" w16cid:durableId="1754232370">
    <w:abstractNumId w:val="9"/>
  </w:num>
  <w:num w:numId="13" w16cid:durableId="481511566">
    <w:abstractNumId w:val="10"/>
  </w:num>
  <w:num w:numId="14" w16cid:durableId="1794639612">
    <w:abstractNumId w:val="20"/>
  </w:num>
  <w:num w:numId="15" w16cid:durableId="612975380">
    <w:abstractNumId w:val="13"/>
  </w:num>
  <w:num w:numId="16" w16cid:durableId="1179270532">
    <w:abstractNumId w:val="6"/>
  </w:num>
  <w:num w:numId="17" w16cid:durableId="1035812771">
    <w:abstractNumId w:val="5"/>
  </w:num>
  <w:num w:numId="18" w16cid:durableId="806362794">
    <w:abstractNumId w:val="4"/>
  </w:num>
  <w:num w:numId="19" w16cid:durableId="1084380899">
    <w:abstractNumId w:val="8"/>
  </w:num>
  <w:num w:numId="20" w16cid:durableId="1980306085">
    <w:abstractNumId w:val="3"/>
  </w:num>
  <w:num w:numId="21" w16cid:durableId="1463498239">
    <w:abstractNumId w:val="2"/>
  </w:num>
  <w:num w:numId="22" w16cid:durableId="337656574">
    <w:abstractNumId w:val="1"/>
  </w:num>
  <w:num w:numId="23" w16cid:durableId="514996379">
    <w:abstractNumId w:val="0"/>
  </w:num>
  <w:num w:numId="24" w16cid:durableId="541599844">
    <w:abstractNumId w:val="15"/>
  </w:num>
  <w:num w:numId="25" w16cid:durableId="938947792">
    <w:abstractNumId w:val="29"/>
  </w:num>
  <w:num w:numId="26" w16cid:durableId="1539857682">
    <w:abstractNumId w:val="31"/>
  </w:num>
  <w:num w:numId="27" w16cid:durableId="812253873">
    <w:abstractNumId w:val="27"/>
  </w:num>
  <w:num w:numId="28" w16cid:durableId="660037259">
    <w:abstractNumId w:val="17"/>
  </w:num>
  <w:num w:numId="29" w16cid:durableId="609817982">
    <w:abstractNumId w:val="11"/>
  </w:num>
  <w:num w:numId="30" w16cid:durableId="1336886423">
    <w:abstractNumId w:val="19"/>
  </w:num>
  <w:num w:numId="31" w16cid:durableId="1582712165">
    <w:abstractNumId w:val="32"/>
  </w:num>
  <w:num w:numId="32" w16cid:durableId="70545778">
    <w:abstractNumId w:val="23"/>
  </w:num>
  <w:num w:numId="33" w16cid:durableId="1277787775">
    <w:abstractNumId w:val="24"/>
  </w:num>
  <w:num w:numId="34" w16cid:durableId="1877766412">
    <w:abstractNumId w:val="28"/>
  </w:num>
  <w:num w:numId="35" w16cid:durableId="1316298233">
    <w:abstractNumId w:val="18"/>
  </w:num>
  <w:num w:numId="36" w16cid:durableId="1732070203">
    <w:abstractNumId w:val="22"/>
  </w:num>
  <w:num w:numId="37" w16cid:durableId="825322603">
    <w:abstractNumId w:val="30"/>
  </w:num>
  <w:num w:numId="38" w16cid:durableId="1695157388">
    <w:abstractNumId w:val="21"/>
  </w:num>
  <w:num w:numId="39" w16cid:durableId="19328597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35"/>
    <w:rsid w:val="00000B4C"/>
    <w:rsid w:val="00005BBE"/>
    <w:rsid w:val="000106D0"/>
    <w:rsid w:val="0003330A"/>
    <w:rsid w:val="00033405"/>
    <w:rsid w:val="00034336"/>
    <w:rsid w:val="00037CB0"/>
    <w:rsid w:val="00067564"/>
    <w:rsid w:val="00092FBF"/>
    <w:rsid w:val="000A576B"/>
    <w:rsid w:val="000B4935"/>
    <w:rsid w:val="000D5F6D"/>
    <w:rsid w:val="000E3BB9"/>
    <w:rsid w:val="000E3F60"/>
    <w:rsid w:val="000E453A"/>
    <w:rsid w:val="00106AED"/>
    <w:rsid w:val="001377B2"/>
    <w:rsid w:val="0014086F"/>
    <w:rsid w:val="00140B73"/>
    <w:rsid w:val="00144C25"/>
    <w:rsid w:val="001534AD"/>
    <w:rsid w:val="00181E6A"/>
    <w:rsid w:val="00184ED4"/>
    <w:rsid w:val="00190C5F"/>
    <w:rsid w:val="001A1E4B"/>
    <w:rsid w:val="001C3161"/>
    <w:rsid w:val="001C68C7"/>
    <w:rsid w:val="001D3744"/>
    <w:rsid w:val="001D71E8"/>
    <w:rsid w:val="001E622D"/>
    <w:rsid w:val="00213DA6"/>
    <w:rsid w:val="00216302"/>
    <w:rsid w:val="00221EDB"/>
    <w:rsid w:val="00227EC0"/>
    <w:rsid w:val="00236D2D"/>
    <w:rsid w:val="00245A2B"/>
    <w:rsid w:val="00270044"/>
    <w:rsid w:val="002834E7"/>
    <w:rsid w:val="00283DB3"/>
    <w:rsid w:val="0028719C"/>
    <w:rsid w:val="0029095C"/>
    <w:rsid w:val="00295139"/>
    <w:rsid w:val="002C4E90"/>
    <w:rsid w:val="002D1C62"/>
    <w:rsid w:val="002D367B"/>
    <w:rsid w:val="0031454A"/>
    <w:rsid w:val="003328BC"/>
    <w:rsid w:val="003442E4"/>
    <w:rsid w:val="00354EC2"/>
    <w:rsid w:val="00377C8B"/>
    <w:rsid w:val="00381C3F"/>
    <w:rsid w:val="00382C94"/>
    <w:rsid w:val="00385C6C"/>
    <w:rsid w:val="00397220"/>
    <w:rsid w:val="003A2899"/>
    <w:rsid w:val="003A6733"/>
    <w:rsid w:val="003B0A38"/>
    <w:rsid w:val="003B0F73"/>
    <w:rsid w:val="003C79FE"/>
    <w:rsid w:val="003D322F"/>
    <w:rsid w:val="003D7328"/>
    <w:rsid w:val="003E2869"/>
    <w:rsid w:val="003E3722"/>
    <w:rsid w:val="003E7930"/>
    <w:rsid w:val="004103AE"/>
    <w:rsid w:val="00413662"/>
    <w:rsid w:val="00416E83"/>
    <w:rsid w:val="004227ED"/>
    <w:rsid w:val="0043550A"/>
    <w:rsid w:val="00437AC5"/>
    <w:rsid w:val="004444E4"/>
    <w:rsid w:val="00445BCE"/>
    <w:rsid w:val="00453C13"/>
    <w:rsid w:val="004543D2"/>
    <w:rsid w:val="00454F25"/>
    <w:rsid w:val="0046067E"/>
    <w:rsid w:val="004710B8"/>
    <w:rsid w:val="00477AE0"/>
    <w:rsid w:val="0048367D"/>
    <w:rsid w:val="00491883"/>
    <w:rsid w:val="00495988"/>
    <w:rsid w:val="004A0FB4"/>
    <w:rsid w:val="004B0A5C"/>
    <w:rsid w:val="004B6B59"/>
    <w:rsid w:val="004C1756"/>
    <w:rsid w:val="004C7DBD"/>
    <w:rsid w:val="004F5E44"/>
    <w:rsid w:val="00503B5A"/>
    <w:rsid w:val="00513CCF"/>
    <w:rsid w:val="005222FD"/>
    <w:rsid w:val="005273AB"/>
    <w:rsid w:val="00533E65"/>
    <w:rsid w:val="00534922"/>
    <w:rsid w:val="00536053"/>
    <w:rsid w:val="00545406"/>
    <w:rsid w:val="00557335"/>
    <w:rsid w:val="00560561"/>
    <w:rsid w:val="0056681E"/>
    <w:rsid w:val="00572AA9"/>
    <w:rsid w:val="00595906"/>
    <w:rsid w:val="005B11F9"/>
    <w:rsid w:val="005C15BB"/>
    <w:rsid w:val="005C1A97"/>
    <w:rsid w:val="005C4B38"/>
    <w:rsid w:val="005D1FCA"/>
    <w:rsid w:val="00603B9F"/>
    <w:rsid w:val="0061443A"/>
    <w:rsid w:val="00631D73"/>
    <w:rsid w:val="006358E3"/>
    <w:rsid w:val="006572D0"/>
    <w:rsid w:val="006750EF"/>
    <w:rsid w:val="00682444"/>
    <w:rsid w:val="006A0AA8"/>
    <w:rsid w:val="006B060B"/>
    <w:rsid w:val="006B19BD"/>
    <w:rsid w:val="006B1D31"/>
    <w:rsid w:val="006C789F"/>
    <w:rsid w:val="006D19BF"/>
    <w:rsid w:val="006E4B8C"/>
    <w:rsid w:val="006E5C0E"/>
    <w:rsid w:val="00745C00"/>
    <w:rsid w:val="00747B7A"/>
    <w:rsid w:val="00771ED9"/>
    <w:rsid w:val="00783317"/>
    <w:rsid w:val="007910E6"/>
    <w:rsid w:val="007966D0"/>
    <w:rsid w:val="007A5419"/>
    <w:rsid w:val="007B0B66"/>
    <w:rsid w:val="007B201A"/>
    <w:rsid w:val="007B4BC5"/>
    <w:rsid w:val="007C2143"/>
    <w:rsid w:val="007D4B4F"/>
    <w:rsid w:val="007E51DC"/>
    <w:rsid w:val="007F3ACD"/>
    <w:rsid w:val="008005FD"/>
    <w:rsid w:val="0080133F"/>
    <w:rsid w:val="008017DD"/>
    <w:rsid w:val="0080498F"/>
    <w:rsid w:val="008161AD"/>
    <w:rsid w:val="00824E35"/>
    <w:rsid w:val="00855052"/>
    <w:rsid w:val="00855C1E"/>
    <w:rsid w:val="00860654"/>
    <w:rsid w:val="00881358"/>
    <w:rsid w:val="00896B59"/>
    <w:rsid w:val="00896C25"/>
    <w:rsid w:val="008A1F73"/>
    <w:rsid w:val="008B3F2D"/>
    <w:rsid w:val="008B49D2"/>
    <w:rsid w:val="008B7461"/>
    <w:rsid w:val="008D13E6"/>
    <w:rsid w:val="008E2554"/>
    <w:rsid w:val="00903467"/>
    <w:rsid w:val="00906EAA"/>
    <w:rsid w:val="0091158B"/>
    <w:rsid w:val="0094072E"/>
    <w:rsid w:val="00941C8D"/>
    <w:rsid w:val="00950931"/>
    <w:rsid w:val="00955962"/>
    <w:rsid w:val="00970DD2"/>
    <w:rsid w:val="009A2B4B"/>
    <w:rsid w:val="009A7123"/>
    <w:rsid w:val="009B242F"/>
    <w:rsid w:val="009B27E7"/>
    <w:rsid w:val="009B76A9"/>
    <w:rsid w:val="009D15F1"/>
    <w:rsid w:val="009D2B10"/>
    <w:rsid w:val="009D4BAA"/>
    <w:rsid w:val="009E15F2"/>
    <w:rsid w:val="009E3F01"/>
    <w:rsid w:val="009F2E65"/>
    <w:rsid w:val="00A2199C"/>
    <w:rsid w:val="00A43896"/>
    <w:rsid w:val="00A4461C"/>
    <w:rsid w:val="00A54B85"/>
    <w:rsid w:val="00A6244E"/>
    <w:rsid w:val="00A641B2"/>
    <w:rsid w:val="00A77C60"/>
    <w:rsid w:val="00A80B2E"/>
    <w:rsid w:val="00AB0455"/>
    <w:rsid w:val="00AC6BB2"/>
    <w:rsid w:val="00AC7D40"/>
    <w:rsid w:val="00AD5931"/>
    <w:rsid w:val="00AE5189"/>
    <w:rsid w:val="00AE7B10"/>
    <w:rsid w:val="00B26209"/>
    <w:rsid w:val="00B35020"/>
    <w:rsid w:val="00B41635"/>
    <w:rsid w:val="00B475D4"/>
    <w:rsid w:val="00B534B3"/>
    <w:rsid w:val="00B53545"/>
    <w:rsid w:val="00B5357A"/>
    <w:rsid w:val="00B6133A"/>
    <w:rsid w:val="00B61B1C"/>
    <w:rsid w:val="00B67C58"/>
    <w:rsid w:val="00B7344A"/>
    <w:rsid w:val="00B801DA"/>
    <w:rsid w:val="00B8710B"/>
    <w:rsid w:val="00BD4AD1"/>
    <w:rsid w:val="00BE4835"/>
    <w:rsid w:val="00BE48AA"/>
    <w:rsid w:val="00C05909"/>
    <w:rsid w:val="00C151AF"/>
    <w:rsid w:val="00C404F1"/>
    <w:rsid w:val="00C44AFC"/>
    <w:rsid w:val="00C47375"/>
    <w:rsid w:val="00C503A7"/>
    <w:rsid w:val="00C5215F"/>
    <w:rsid w:val="00C70194"/>
    <w:rsid w:val="00C77968"/>
    <w:rsid w:val="00C85CB9"/>
    <w:rsid w:val="00CB4A28"/>
    <w:rsid w:val="00CB6006"/>
    <w:rsid w:val="00CD6020"/>
    <w:rsid w:val="00CF7E35"/>
    <w:rsid w:val="00D01C90"/>
    <w:rsid w:val="00D33190"/>
    <w:rsid w:val="00D34EA0"/>
    <w:rsid w:val="00D4342B"/>
    <w:rsid w:val="00D61B1C"/>
    <w:rsid w:val="00D66895"/>
    <w:rsid w:val="00DA001D"/>
    <w:rsid w:val="00DA6F03"/>
    <w:rsid w:val="00DB381E"/>
    <w:rsid w:val="00DC780E"/>
    <w:rsid w:val="00DD16AF"/>
    <w:rsid w:val="00DD2EAB"/>
    <w:rsid w:val="00DD6907"/>
    <w:rsid w:val="00DD7526"/>
    <w:rsid w:val="00DE5F31"/>
    <w:rsid w:val="00DF035A"/>
    <w:rsid w:val="00DF370D"/>
    <w:rsid w:val="00DF698E"/>
    <w:rsid w:val="00E017AC"/>
    <w:rsid w:val="00E048CB"/>
    <w:rsid w:val="00E12313"/>
    <w:rsid w:val="00E167E5"/>
    <w:rsid w:val="00E405E2"/>
    <w:rsid w:val="00E671C3"/>
    <w:rsid w:val="00E7095E"/>
    <w:rsid w:val="00E76EBF"/>
    <w:rsid w:val="00E90142"/>
    <w:rsid w:val="00E9269E"/>
    <w:rsid w:val="00E9652D"/>
    <w:rsid w:val="00E97F96"/>
    <w:rsid w:val="00EC2847"/>
    <w:rsid w:val="00ED7535"/>
    <w:rsid w:val="00EE080A"/>
    <w:rsid w:val="00EE0C9B"/>
    <w:rsid w:val="00F06EE8"/>
    <w:rsid w:val="00F07349"/>
    <w:rsid w:val="00F10BBD"/>
    <w:rsid w:val="00F113EF"/>
    <w:rsid w:val="00F126F3"/>
    <w:rsid w:val="00F22AE5"/>
    <w:rsid w:val="00F2624F"/>
    <w:rsid w:val="00F829C0"/>
    <w:rsid w:val="00F829F6"/>
    <w:rsid w:val="00FA6715"/>
    <w:rsid w:val="00FF0015"/>
    <w:rsid w:val="00FF7F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8DC14D"/>
  <w15:chartTrackingRefBased/>
  <w15:docId w15:val="{47CBC4B5-F26B-4DDC-9C79-71F06E32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F1"/>
    <w:pPr>
      <w:spacing w:after="320" w:line="336" w:lineRule="auto"/>
    </w:pPr>
    <w:rPr>
      <w:rFonts w:ascii="Arial" w:hAnsi="Arial" w:cs="Arial"/>
      <w:bCs/>
      <w:sz w:val="36"/>
      <w:szCs w:val="36"/>
    </w:rPr>
  </w:style>
  <w:style w:type="paragraph" w:styleId="Heading1">
    <w:name w:val="heading 1"/>
    <w:basedOn w:val="Heading2"/>
    <w:next w:val="Normal"/>
    <w:link w:val="Heading1Char"/>
    <w:uiPriority w:val="99"/>
    <w:qFormat/>
    <w:rsid w:val="00E7095E"/>
    <w:pPr>
      <w:outlineLvl w:val="0"/>
    </w:pPr>
    <w:rPr>
      <w:sz w:val="64"/>
      <w:szCs w:val="64"/>
    </w:rPr>
  </w:style>
  <w:style w:type="paragraph" w:styleId="Heading2">
    <w:name w:val="heading 2"/>
    <w:basedOn w:val="Normal"/>
    <w:next w:val="Normal"/>
    <w:link w:val="Heading2Char"/>
    <w:uiPriority w:val="99"/>
    <w:qFormat/>
    <w:rsid w:val="00E7095E"/>
    <w:pPr>
      <w:spacing w:after="80"/>
      <w:outlineLvl w:val="1"/>
    </w:pPr>
    <w:rPr>
      <w:b/>
      <w:sz w:val="48"/>
      <w:szCs w:val="48"/>
    </w:rPr>
  </w:style>
  <w:style w:type="paragraph" w:styleId="Heading3">
    <w:name w:val="heading 3"/>
    <w:basedOn w:val="Heading2"/>
    <w:next w:val="Normal"/>
    <w:link w:val="Heading3Char"/>
    <w:uiPriority w:val="99"/>
    <w:qFormat/>
    <w:rsid w:val="00AE7B10"/>
    <w:pPr>
      <w:spacing w:before="400"/>
      <w:outlineLvl w:val="2"/>
    </w:pPr>
    <w:rPr>
      <w:sz w:val="40"/>
      <w:szCs w:val="40"/>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095E"/>
    <w:rPr>
      <w:rFonts w:ascii="Arial" w:hAnsi="Arial" w:cs="Arial"/>
      <w:b/>
      <w:bCs/>
      <w:sz w:val="64"/>
      <w:szCs w:val="64"/>
    </w:rPr>
  </w:style>
  <w:style w:type="character" w:customStyle="1" w:styleId="Heading2Char">
    <w:name w:val="Heading 2 Char"/>
    <w:basedOn w:val="DefaultParagraphFont"/>
    <w:link w:val="Heading2"/>
    <w:uiPriority w:val="99"/>
    <w:rsid w:val="00E7095E"/>
    <w:rPr>
      <w:rFonts w:ascii="Arial" w:hAnsi="Arial" w:cs="Arial"/>
      <w:b/>
      <w:bCs/>
      <w:sz w:val="48"/>
      <w:szCs w:val="48"/>
    </w:rPr>
  </w:style>
  <w:style w:type="character" w:customStyle="1" w:styleId="Heading3Char">
    <w:name w:val="Heading 3 Char"/>
    <w:basedOn w:val="DefaultParagraphFont"/>
    <w:link w:val="Heading3"/>
    <w:uiPriority w:val="99"/>
    <w:rsid w:val="00AE7B10"/>
    <w:rPr>
      <w:rFonts w:ascii="Arial" w:hAnsi="Arial" w:cs="Arial"/>
      <w:b/>
      <w:bCs/>
      <w:sz w:val="40"/>
      <w:szCs w:val="40"/>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ListParagraph"/>
    <w:qFormat/>
    <w:rsid w:val="00E7095E"/>
    <w:pPr>
      <w:numPr>
        <w:numId w:val="39"/>
      </w:numPr>
      <w:spacing w:after="200"/>
      <w:ind w:left="357" w:hanging="357"/>
      <w:contextualSpacing w:val="0"/>
    </w:p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val="0"/>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val="0"/>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val="0"/>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CF7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E35"/>
    <w:rPr>
      <w:rFonts w:ascii="Verdana" w:hAnsi="Verdana" w:cs="Arial"/>
      <w:szCs w:val="22"/>
    </w:rPr>
  </w:style>
  <w:style w:type="paragraph" w:styleId="Revision">
    <w:name w:val="Revision"/>
    <w:hidden/>
    <w:uiPriority w:val="99"/>
    <w:semiHidden/>
    <w:rsid w:val="001377B2"/>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6E4B8C"/>
    <w:rPr>
      <w:b/>
      <w:bCs w:val="0"/>
    </w:rPr>
  </w:style>
  <w:style w:type="character" w:customStyle="1" w:styleId="CommentSubjectChar">
    <w:name w:val="Comment Subject Char"/>
    <w:basedOn w:val="CommentTextChar"/>
    <w:link w:val="CommentSubject"/>
    <w:uiPriority w:val="99"/>
    <w:semiHidden/>
    <w:rsid w:val="006E4B8C"/>
    <w:rPr>
      <w:rFonts w:ascii="Verdana" w:hAnsi="Verdana" w:cs="Arial"/>
      <w:b/>
      <w:bCs/>
    </w:rPr>
  </w:style>
  <w:style w:type="character" w:styleId="Hyperlink">
    <w:name w:val="Hyperlink"/>
    <w:basedOn w:val="DefaultParagraphFont"/>
    <w:uiPriority w:val="99"/>
    <w:unhideWhenUsed/>
    <w:rsid w:val="00536053"/>
    <w:rPr>
      <w:color w:val="0563C1"/>
      <w:u w:val="single"/>
    </w:rPr>
  </w:style>
  <w:style w:type="character" w:styleId="UnresolvedMention">
    <w:name w:val="Unresolved Mention"/>
    <w:basedOn w:val="DefaultParagraphFont"/>
    <w:uiPriority w:val="99"/>
    <w:semiHidden/>
    <w:unhideWhenUsed/>
    <w:rsid w:val="00536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d.govt.nz/pd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16E05-9812-4634-8A93-E9FB569A8555}">
  <ds:schemaRefs>
    <ds:schemaRef ds:uri="http://schemas.openxmlformats.org/officeDocument/2006/bibliography"/>
  </ds:schemaRefs>
</ds:datastoreItem>
</file>

<file path=customXml/itemProps2.xml><?xml version="1.0" encoding="utf-8"?>
<ds:datastoreItem xmlns:ds="http://schemas.openxmlformats.org/officeDocument/2006/customXml" ds:itemID="{4BCD236A-BF10-40B4-AC17-94F03F6C3F91}">
  <ds:schemaRefs>
    <ds:schemaRef ds:uri="http://schemas.microsoft.com/office/2006/documentManagement/types"/>
    <ds:schemaRef ds:uri="http://purl.org/dc/terms/"/>
    <ds:schemaRef ds:uri="http://www.w3.org/XML/1998/namespace"/>
    <ds:schemaRef ds:uri="6a7f7810-7080-4eb4-b66c-c41c6fc69d87"/>
    <ds:schemaRef ds:uri="http://schemas.microsoft.com/office/infopath/2007/PartnerControls"/>
    <ds:schemaRef ds:uri="http://purl.org/dc/elements/1.1/"/>
    <ds:schemaRef ds:uri="http://purl.org/dc/dcmitype/"/>
    <ds:schemaRef ds:uri="http://schemas.openxmlformats.org/package/2006/metadata/core-properties"/>
    <ds:schemaRef ds:uri="0c8419a8-0969-48de-a896-901fe0661d3e"/>
    <ds:schemaRef ds:uri="http://schemas.microsoft.com/office/2006/metadata/properties"/>
  </ds:schemaRefs>
</ds:datastoreItem>
</file>

<file path=customXml/itemProps3.xml><?xml version="1.0" encoding="utf-8"?>
<ds:datastoreItem xmlns:ds="http://schemas.openxmlformats.org/officeDocument/2006/customXml" ds:itemID="{2E035B09-21FB-49B2-BDCC-BEDDA3FD041C}">
  <ds:schemaRefs>
    <ds:schemaRef ds:uri="http://schemas.microsoft.com/sharepoint/v3/contenttype/forms"/>
  </ds:schemaRefs>
</ds:datastoreItem>
</file>

<file path=customXml/itemProps4.xml><?xml version="1.0" encoding="utf-8"?>
<ds:datastoreItem xmlns:ds="http://schemas.openxmlformats.org/officeDocument/2006/customXml" ds:itemID="{093D2DCA-8D7B-4139-AE59-F0E010E6B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1171</Words>
  <Characters>6592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Graham</dc:creator>
  <cp:keywords/>
  <dc:description/>
  <cp:lastModifiedBy>Tuli Mapuilesua</cp:lastModifiedBy>
  <cp:revision>2</cp:revision>
  <dcterms:created xsi:type="dcterms:W3CDTF">2025-08-22T00:23:00Z</dcterms:created>
  <dcterms:modified xsi:type="dcterms:W3CDTF">2025-08-22T00:23:00Z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2b5999da,78728055,54beb79c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2024-10-17T20:08:13Z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4e70d487-7bf4-45b4-a81a-3d4c6233509e</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MediaServiceImageTags">
    <vt:lpwstr/>
  </property>
  <property fmtid="{D5CDD505-2E9C-101B-9397-08002B2CF9AE}" pid="14" name="GrammarlyDocumentId">
    <vt:lpwstr>c1b0b5e8-5a88-4ef0-8b70-85cfec9d8497</vt:lpwstr>
  </property>
</Properties>
</file>