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F9297C" w14:textId="77777777" w:rsidR="00350833" w:rsidRDefault="00350833" w:rsidP="00350833">
      <w:pPr>
        <w:pStyle w:val="Title"/>
        <w:rPr>
          <w:noProof/>
          <w:lang w:val="en-NZ"/>
        </w:rPr>
      </w:pPr>
      <w:r w:rsidRPr="00662131">
        <w:rPr>
          <w:noProof/>
          <w:lang w:eastAsia="en-NZ"/>
        </w:rPr>
        <w:drawing>
          <wp:anchor distT="0" distB="0" distL="114300" distR="114300" simplePos="0" relativeHeight="251659264" behindDoc="0" locked="0" layoutInCell="1" allowOverlap="1" wp14:anchorId="5323A618" wp14:editId="19A7C3C8">
            <wp:simplePos x="0" y="0"/>
            <wp:positionH relativeFrom="page">
              <wp:posOffset>820770</wp:posOffset>
            </wp:positionH>
            <wp:positionV relativeFrom="page">
              <wp:posOffset>758512</wp:posOffset>
            </wp:positionV>
            <wp:extent cx="3005455" cy="701675"/>
            <wp:effectExtent l="0" t="0" r="4445" b="3175"/>
            <wp:wrapNone/>
            <wp:docPr id="6" name="Picture 6" descr="\\corp.ssi.govt.nz\usersm\mjohn034\Desktop\MSD Branding\MSD Logos\MSD_30mmBELOW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orp.ssi.govt.nz\usersm\mjohn034\Desktop\MSD Branding\MSD Logos\MSD_30mmBELOW_RGB.pn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3723" t="13514" r="3990" b="13513"/>
                    <a:stretch/>
                  </pic:blipFill>
                  <pic:spPr bwMode="auto">
                    <a:xfrm>
                      <a:off x="0" y="0"/>
                      <a:ext cx="3005455" cy="701675"/>
                    </a:xfrm>
                    <a:prstGeom prst="rect">
                      <a:avLst/>
                    </a:prstGeom>
                    <a:noFill/>
                    <a:ln>
                      <a:noFill/>
                    </a:ln>
                    <a:extLst>
                      <a:ext uri="{53640926-AAD7-44D8-BBD7-CCE9431645EC}">
                        <a14:shadowObscured xmlns:a14="http://schemas.microsoft.com/office/drawing/2010/main"/>
                      </a:ext>
                    </a:extLst>
                  </pic:spPr>
                </pic:pic>
              </a:graphicData>
            </a:graphic>
          </wp:anchor>
        </w:drawing>
      </w:r>
    </w:p>
    <w:p w14:paraId="2EB96B31" w14:textId="77777777" w:rsidR="00350833" w:rsidRPr="00A5759F" w:rsidRDefault="00350833" w:rsidP="00350833"/>
    <w:p w14:paraId="1A51F4EB" w14:textId="77777777" w:rsidR="00350833" w:rsidRDefault="00350833" w:rsidP="00350833">
      <w:pPr>
        <w:rPr>
          <w:noProof/>
        </w:rPr>
      </w:pPr>
    </w:p>
    <w:p w14:paraId="552DA519" w14:textId="73B2F0B4" w:rsidR="00350833" w:rsidRPr="00182852" w:rsidRDefault="0052689C" w:rsidP="00350833">
      <w:pPr>
        <w:rPr>
          <w:noProof/>
        </w:rPr>
      </w:pPr>
      <w:r w:rsidRPr="00A5759F">
        <w:rPr>
          <w:noProof/>
        </w:rPr>
        <mc:AlternateContent>
          <mc:Choice Requires="wps">
            <w:drawing>
              <wp:anchor distT="45720" distB="45720" distL="114300" distR="114300" simplePos="0" relativeHeight="251662336" behindDoc="0" locked="0" layoutInCell="1" allowOverlap="1" wp14:anchorId="28717A5F" wp14:editId="329B9C68">
                <wp:simplePos x="0" y="0"/>
                <wp:positionH relativeFrom="column">
                  <wp:posOffset>-534670</wp:posOffset>
                </wp:positionH>
                <wp:positionV relativeFrom="paragraph">
                  <wp:posOffset>3789680</wp:posOffset>
                </wp:positionV>
                <wp:extent cx="5172075" cy="805180"/>
                <wp:effectExtent l="0" t="0" r="0" b="0"/>
                <wp:wrapSquare wrapText="bothSides"/>
                <wp:docPr id="194459926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72075" cy="805180"/>
                        </a:xfrm>
                        <a:prstGeom prst="rect">
                          <a:avLst/>
                        </a:prstGeom>
                        <a:noFill/>
                        <a:ln w="9525">
                          <a:noFill/>
                          <a:miter lim="800000"/>
                          <a:headEnd/>
                          <a:tailEnd/>
                        </a:ln>
                      </wps:spPr>
                      <wps:txbx>
                        <w:txbxContent>
                          <w:p w14:paraId="10BDF1FD" w14:textId="33C35297" w:rsidR="00350833" w:rsidRPr="00A5759F" w:rsidRDefault="0052689C" w:rsidP="00350833">
                            <w:pPr>
                              <w:rPr>
                                <w:b/>
                                <w:bCs/>
                                <w:color w:val="FFFFFF" w:themeColor="background1"/>
                                <w:sz w:val="32"/>
                                <w:szCs w:val="32"/>
                              </w:rPr>
                            </w:pPr>
                            <w:r>
                              <w:rPr>
                                <w:b/>
                                <w:bCs/>
                                <w:color w:val="FFFFFF" w:themeColor="background1"/>
                                <w:sz w:val="32"/>
                                <w:szCs w:val="32"/>
                              </w:rPr>
                              <w:t>Technical r</w:t>
                            </w:r>
                            <w:r w:rsidR="00350833" w:rsidRPr="00A5759F">
                              <w:rPr>
                                <w:b/>
                                <w:bCs/>
                                <w:color w:val="FFFFFF" w:themeColor="background1"/>
                                <w:sz w:val="32"/>
                                <w:szCs w:val="32"/>
                              </w:rPr>
                              <w:t>eport for 202</w:t>
                            </w:r>
                            <w:r w:rsidR="00350833">
                              <w:rPr>
                                <w:b/>
                                <w:bCs/>
                                <w:color w:val="FFFFFF" w:themeColor="background1"/>
                                <w:sz w:val="32"/>
                                <w:szCs w:val="32"/>
                              </w:rPr>
                              <w:t>2</w:t>
                            </w:r>
                            <w:r w:rsidR="00350833" w:rsidRPr="00A5759F">
                              <w:rPr>
                                <w:b/>
                                <w:bCs/>
                                <w:color w:val="FFFFFF" w:themeColor="background1"/>
                                <w:sz w:val="32"/>
                                <w:szCs w:val="32"/>
                              </w:rPr>
                              <w:t>/202</w:t>
                            </w:r>
                            <w:r w:rsidR="00350833">
                              <w:rPr>
                                <w:b/>
                                <w:bCs/>
                                <w:color w:val="FFFFFF" w:themeColor="background1"/>
                                <w:sz w:val="32"/>
                                <w:szCs w:val="32"/>
                              </w:rPr>
                              <w:t>3</w:t>
                            </w:r>
                            <w:r w:rsidR="00350833" w:rsidRPr="00A5759F">
                              <w:rPr>
                                <w:b/>
                                <w:bCs/>
                                <w:color w:val="FFFFFF" w:themeColor="background1"/>
                                <w:sz w:val="32"/>
                                <w:szCs w:val="32"/>
                              </w:rPr>
                              <w:t xml:space="preserve"> financial year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8717A5F" id="_x0000_t202" coordsize="21600,21600" o:spt="202" path="m,l,21600r21600,l21600,xe">
                <v:stroke joinstyle="miter"/>
                <v:path gradientshapeok="t" o:connecttype="rect"/>
              </v:shapetype>
              <v:shape id="Text Box 2" o:spid="_x0000_s1026" type="#_x0000_t202" style="position:absolute;margin-left:-42.1pt;margin-top:298.4pt;width:407.25pt;height:63.4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" filled="f" stroked="f">
                <v:textbox>
                  <w:txbxContent>
                    <w:p w14:paraId="10BDF1FD" w14:textId="33C35297" w:rsidR="00350833" w:rsidRPr="00A5759F" w:rsidRDefault="0052689C" w:rsidP="00350833">
                      <w:pPr>
                        <w:rPr>
                          <w:b/>
                          <w:bCs/>
                          <w:color w:val="FFFFFF" w:themeColor="background1"/>
                          <w:sz w:val="32"/>
                          <w:szCs w:val="32"/>
                        </w:rPr>
                      </w:pPr>
                      <w:r>
                        <w:rPr>
                          <w:b/>
                          <w:bCs/>
                          <w:color w:val="FFFFFF" w:themeColor="background1"/>
                          <w:sz w:val="32"/>
                          <w:szCs w:val="32"/>
                        </w:rPr>
                        <w:t>Technical r</w:t>
                      </w:r>
                      <w:r w:rsidR="00350833" w:rsidRPr="00A5759F">
                        <w:rPr>
                          <w:b/>
                          <w:bCs/>
                          <w:color w:val="FFFFFF" w:themeColor="background1"/>
                          <w:sz w:val="32"/>
                          <w:szCs w:val="32"/>
                        </w:rPr>
                        <w:t>eport for 202</w:t>
                      </w:r>
                      <w:r w:rsidR="00350833">
                        <w:rPr>
                          <w:b/>
                          <w:bCs/>
                          <w:color w:val="FFFFFF" w:themeColor="background1"/>
                          <w:sz w:val="32"/>
                          <w:szCs w:val="32"/>
                        </w:rPr>
                        <w:t>2</w:t>
                      </w:r>
                      <w:r w:rsidR="00350833" w:rsidRPr="00A5759F">
                        <w:rPr>
                          <w:b/>
                          <w:bCs/>
                          <w:color w:val="FFFFFF" w:themeColor="background1"/>
                          <w:sz w:val="32"/>
                          <w:szCs w:val="32"/>
                        </w:rPr>
                        <w:t>/202</w:t>
                      </w:r>
                      <w:r w:rsidR="00350833">
                        <w:rPr>
                          <w:b/>
                          <w:bCs/>
                          <w:color w:val="FFFFFF" w:themeColor="background1"/>
                          <w:sz w:val="32"/>
                          <w:szCs w:val="32"/>
                        </w:rPr>
                        <w:t>3</w:t>
                      </w:r>
                      <w:r w:rsidR="00350833" w:rsidRPr="00A5759F">
                        <w:rPr>
                          <w:b/>
                          <w:bCs/>
                          <w:color w:val="FFFFFF" w:themeColor="background1"/>
                          <w:sz w:val="32"/>
                          <w:szCs w:val="32"/>
                        </w:rPr>
                        <w:t xml:space="preserve"> financial year</w:t>
                      </w:r>
                    </w:p>
                  </w:txbxContent>
                </v:textbox>
                <w10:wrap type="square"/>
              </v:shape>
            </w:pict>
          </mc:Fallback>
        </mc:AlternateContent>
      </w:r>
      <w:r w:rsidR="00350833" w:rsidRPr="00662131">
        <w:rPr>
          <w:rFonts w:ascii="Georgia" w:hAnsi="Georgia"/>
          <w:b/>
          <w:noProof/>
          <w:color w:val="FFFFFF" w:themeColor="background1"/>
          <w:sz w:val="56"/>
          <w:lang w:eastAsia="en-NZ"/>
        </w:rPr>
        <w:drawing>
          <wp:anchor distT="0" distB="0" distL="114300" distR="114300" simplePos="0" relativeHeight="251660288" behindDoc="1" locked="0" layoutInCell="1" allowOverlap="1" wp14:anchorId="034405B4" wp14:editId="0C66A344">
            <wp:simplePos x="0" y="0"/>
            <wp:positionH relativeFrom="page">
              <wp:align>left</wp:align>
            </wp:positionH>
            <wp:positionV relativeFrom="paragraph">
              <wp:posOffset>1295400</wp:posOffset>
            </wp:positionV>
            <wp:extent cx="7620000" cy="4135755"/>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ver 1_2.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620000" cy="4135755"/>
                    </a:xfrm>
                    <a:prstGeom prst="rect">
                      <a:avLst/>
                    </a:prstGeom>
                  </pic:spPr>
                </pic:pic>
              </a:graphicData>
            </a:graphic>
            <wp14:sizeRelH relativeFrom="page">
              <wp14:pctWidth>0</wp14:pctWidth>
            </wp14:sizeRelH>
            <wp14:sizeRelV relativeFrom="page">
              <wp14:pctHeight>0</wp14:pctHeight>
            </wp14:sizeRelV>
          </wp:anchor>
        </w:drawing>
      </w:r>
      <w:r w:rsidR="00350833" w:rsidRPr="00801652">
        <w:rPr>
          <w:noProof/>
          <w:highlight w:val="yellow"/>
        </w:rPr>
        <mc:AlternateContent>
          <mc:Choice Requires="wps">
            <w:drawing>
              <wp:anchor distT="45720" distB="45720" distL="114300" distR="114300" simplePos="0" relativeHeight="251663360" behindDoc="0" locked="0" layoutInCell="1" allowOverlap="1" wp14:anchorId="540E9A0F" wp14:editId="4F391973">
                <wp:simplePos x="0" y="0"/>
                <wp:positionH relativeFrom="margin">
                  <wp:align>left</wp:align>
                </wp:positionH>
                <wp:positionV relativeFrom="paragraph">
                  <wp:posOffset>5063490</wp:posOffset>
                </wp:positionV>
                <wp:extent cx="1964690" cy="803910"/>
                <wp:effectExtent l="0" t="0" r="0" b="0"/>
                <wp:wrapSquare wrapText="bothSides"/>
                <wp:docPr id="167113135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4690" cy="803910"/>
                        </a:xfrm>
                        <a:prstGeom prst="rect">
                          <a:avLst/>
                        </a:prstGeom>
                        <a:solidFill>
                          <a:srgbClr val="FFFFFF"/>
                        </a:solidFill>
                        <a:ln w="9525">
                          <a:noFill/>
                          <a:miter lim="800000"/>
                          <a:headEnd/>
                          <a:tailEnd/>
                        </a:ln>
                      </wps:spPr>
                      <wps:txbx>
                        <w:txbxContent>
                          <w:p w14:paraId="6E6D20E2" w14:textId="77777777" w:rsidR="00350833" w:rsidRPr="00801652" w:rsidRDefault="00350833" w:rsidP="00350833">
                            <w:pPr>
                              <w:rPr>
                                <w:b/>
                                <w:bCs/>
                                <w:color w:val="252C65" w:themeColor="text2"/>
                                <w:sz w:val="24"/>
                              </w:rPr>
                            </w:pPr>
                            <w:r w:rsidRPr="00801652">
                              <w:rPr>
                                <w:b/>
                                <w:bCs/>
                                <w:color w:val="252C65" w:themeColor="text2"/>
                                <w:sz w:val="24"/>
                              </w:rPr>
                              <w:t>May 2025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0E9A0F" id="_x0000_s1027" type="#_x0000_t202" style="position:absolute;margin-left:0;margin-top:398.7pt;width:154.7pt;height:63.3pt;z-index:25166336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" stroked="f">
                <v:textbox>
                  <w:txbxContent>
                    <w:p w14:paraId="6E6D20E2" w14:textId="77777777" w:rsidR="00350833" w:rsidRPr="00801652" w:rsidRDefault="00350833" w:rsidP="00350833">
                      <w:pPr>
                        <w:rPr>
                          <w:b/>
                          <w:bCs/>
                          <w:color w:val="252C65" w:themeColor="text2"/>
                          <w:sz w:val="24"/>
                        </w:rPr>
                      </w:pPr>
                      <w:r w:rsidRPr="00801652">
                        <w:rPr>
                          <w:b/>
                          <w:bCs/>
                          <w:color w:val="252C65" w:themeColor="text2"/>
                          <w:sz w:val="24"/>
                        </w:rPr>
                        <w:t>May 2025</w:t>
                      </w:r>
                    </w:p>
                  </w:txbxContent>
                </v:textbox>
                <w10:wrap type="square" anchorx="margin"/>
              </v:shape>
            </w:pict>
          </mc:Fallback>
        </mc:AlternateContent>
      </w:r>
      <w:r w:rsidR="00350833" w:rsidRPr="004E423D">
        <w:rPr>
          <w:noProof/>
          <w:highlight w:val="yellow"/>
        </w:rPr>
        <mc:AlternateContent>
          <mc:Choice Requires="wps">
            <w:drawing>
              <wp:anchor distT="45720" distB="45720" distL="114300" distR="114300" simplePos="0" relativeHeight="251661312" behindDoc="0" locked="0" layoutInCell="1" allowOverlap="1" wp14:anchorId="5C922F1C" wp14:editId="36DEB5C8">
                <wp:simplePos x="0" y="0"/>
                <wp:positionH relativeFrom="margin">
                  <wp:posOffset>-493395</wp:posOffset>
                </wp:positionH>
                <wp:positionV relativeFrom="paragraph">
                  <wp:posOffset>2595880</wp:posOffset>
                </wp:positionV>
                <wp:extent cx="4625975" cy="1118870"/>
                <wp:effectExtent l="0" t="0" r="0" b="508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25975" cy="1118870"/>
                        </a:xfrm>
                        <a:prstGeom prst="rect">
                          <a:avLst/>
                        </a:prstGeom>
                        <a:noFill/>
                        <a:ln w="9525">
                          <a:noFill/>
                          <a:miter lim="800000"/>
                          <a:headEnd/>
                          <a:tailEnd/>
                        </a:ln>
                      </wps:spPr>
                      <wps:txbx>
                        <w:txbxContent>
                          <w:p w14:paraId="6B936606" w14:textId="77777777" w:rsidR="00350833" w:rsidRPr="00A5759F" w:rsidRDefault="00350833" w:rsidP="00350833">
                            <w:pPr>
                              <w:rPr>
                                <w:b/>
                                <w:bCs/>
                                <w:color w:val="FFFFFF" w:themeColor="background1"/>
                                <w:sz w:val="52"/>
                                <w:szCs w:val="52"/>
                              </w:rPr>
                            </w:pPr>
                            <w:r w:rsidRPr="00A5759F">
                              <w:rPr>
                                <w:b/>
                                <w:bCs/>
                                <w:color w:val="FFFFFF" w:themeColor="background1"/>
                                <w:sz w:val="52"/>
                                <w:szCs w:val="52"/>
                              </w:rPr>
                              <w:t>Effectiveness of MSD employment assistance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922F1C" id="_x0000_s1028" type="#_x0000_t202" style="position:absolute;margin-left:-38.85pt;margin-top:204.4pt;width:364.25pt;height:88.1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" filled="f" stroked="f">
                <v:textbox>
                  <w:txbxContent>
                    <w:p w14:paraId="6B936606" w14:textId="77777777" w:rsidR="00350833" w:rsidRPr="00A5759F" w:rsidRDefault="00350833" w:rsidP="00350833">
                      <w:pPr>
                        <w:rPr>
                          <w:b/>
                          <w:bCs/>
                          <w:color w:val="FFFFFF" w:themeColor="background1"/>
                          <w:sz w:val="52"/>
                          <w:szCs w:val="52"/>
                        </w:rPr>
                      </w:pPr>
                      <w:r w:rsidRPr="00A5759F">
                        <w:rPr>
                          <w:b/>
                          <w:bCs/>
                          <w:color w:val="FFFFFF" w:themeColor="background1"/>
                          <w:sz w:val="52"/>
                          <w:szCs w:val="52"/>
                        </w:rPr>
                        <w:t>Effectiveness of MSD employment assistance</w:t>
                      </w:r>
                    </w:p>
                  </w:txbxContent>
                </v:textbox>
                <w10:wrap type="square" anchorx="margin"/>
              </v:shape>
            </w:pict>
          </mc:Fallback>
        </mc:AlternateContent>
      </w:r>
    </w:p>
    <w:sdt>
      <w:sdtPr>
        <w:rPr>
          <w:rFonts w:ascii="Verdana" w:eastAsiaTheme="minorEastAsia" w:hAnsi="Verdana" w:cstheme="minorBidi"/>
          <w:color w:val="auto"/>
          <w:sz w:val="22"/>
          <w:szCs w:val="24"/>
          <w:lang w:val="en-NZ" w:eastAsia="ja-JP"/>
        </w:rPr>
        <w:id w:val="712856439"/>
        <w:docPartObj>
          <w:docPartGallery w:val="Table of Contents"/>
          <w:docPartUnique/>
        </w:docPartObj>
      </w:sdtPr>
      <w:sdtEndPr/>
      <w:sdtContent>
        <w:p w14:paraId="35F55E7B" w14:textId="0C26565E" w:rsidR="005879B1" w:rsidRDefault="00A97397">
          <w:pPr>
            <w:pStyle w:val="TOCHeading"/>
          </w:pPr>
          <w:r>
            <w:t>Table of Contents</w:t>
          </w:r>
        </w:p>
        <w:p w14:paraId="436571A0" w14:textId="1615511F" w:rsidR="00350833" w:rsidRDefault="00350833">
          <w:pPr>
            <w:pStyle w:val="TOC1"/>
            <w:rPr>
              <w:rFonts w:asciiTheme="minorHAnsi" w:hAnsiTheme="minorHAnsi"/>
              <w:b w:val="0"/>
              <w:noProof/>
              <w:color w:val="auto"/>
              <w:kern w:val="2"/>
              <w:szCs w:val="22"/>
              <w:lang w:eastAsia="en-NZ"/>
              <w14:ligatures w14:val="standardContextual"/>
            </w:rPr>
          </w:pPr>
          <w:r>
            <w:rPr>
              <w:i/>
              <w:sz w:val="18"/>
            </w:rPr>
            <w:fldChar w:fldCharType="begin"/>
          </w:r>
          <w:r>
            <w:rPr>
              <w:i/>
              <w:sz w:val="18"/>
            </w:rPr>
            <w:instrText xml:space="preserve"> TOC \o "1-2" \h \z \u </w:instrText>
          </w:r>
          <w:r>
            <w:rPr>
              <w:i/>
              <w:sz w:val="18"/>
            </w:rPr>
            <w:fldChar w:fldCharType="separate"/>
          </w:r>
          <w:hyperlink w:anchor="_Toc197957598" w:history="1">
            <w:r w:rsidRPr="000C64A2">
              <w:rPr>
                <w:rStyle w:val="Hyperlink"/>
                <w:noProof/>
              </w:rPr>
              <w:t>Overview</w:t>
            </w:r>
            <w:r>
              <w:rPr>
                <w:noProof/>
                <w:webHidden/>
              </w:rPr>
              <w:tab/>
            </w:r>
            <w:r>
              <w:rPr>
                <w:noProof/>
                <w:webHidden/>
              </w:rPr>
              <w:fldChar w:fldCharType="begin"/>
            </w:r>
            <w:r>
              <w:rPr>
                <w:noProof/>
                <w:webHidden/>
              </w:rPr>
              <w:instrText xml:space="preserve"> PAGEREF _Toc197957598 \h </w:instrText>
            </w:r>
            <w:r>
              <w:rPr>
                <w:noProof/>
                <w:webHidden/>
              </w:rPr>
            </w:r>
            <w:r>
              <w:rPr>
                <w:noProof/>
                <w:webHidden/>
              </w:rPr>
              <w:fldChar w:fldCharType="separate"/>
            </w:r>
            <w:r w:rsidR="009E099E">
              <w:rPr>
                <w:noProof/>
                <w:webHidden/>
              </w:rPr>
              <w:t>5</w:t>
            </w:r>
            <w:r>
              <w:rPr>
                <w:noProof/>
                <w:webHidden/>
              </w:rPr>
              <w:fldChar w:fldCharType="end"/>
            </w:r>
          </w:hyperlink>
        </w:p>
        <w:p w14:paraId="25C4E1CA" w14:textId="243117D1" w:rsidR="00350833" w:rsidRDefault="009E099E">
          <w:pPr>
            <w:pStyle w:val="TOC1"/>
            <w:rPr>
              <w:rFonts w:asciiTheme="minorHAnsi" w:hAnsiTheme="minorHAnsi"/>
              <w:b w:val="0"/>
              <w:noProof/>
              <w:color w:val="auto"/>
              <w:kern w:val="2"/>
              <w:szCs w:val="22"/>
              <w:lang w:eastAsia="en-NZ"/>
              <w14:ligatures w14:val="standardContextual"/>
            </w:rPr>
          </w:pPr>
          <w:hyperlink w:anchor="_Toc197957599" w:history="1">
            <w:r w:rsidR="00350833" w:rsidRPr="000C64A2">
              <w:rPr>
                <w:rStyle w:val="Hyperlink"/>
                <w:noProof/>
              </w:rPr>
              <w:t>What are employment assistance interventions?</w:t>
            </w:r>
            <w:r w:rsidR="00350833">
              <w:rPr>
                <w:noProof/>
                <w:webHidden/>
              </w:rPr>
              <w:tab/>
            </w:r>
            <w:r w:rsidR="00350833">
              <w:rPr>
                <w:noProof/>
                <w:webHidden/>
              </w:rPr>
              <w:fldChar w:fldCharType="begin"/>
            </w:r>
            <w:r w:rsidR="00350833">
              <w:rPr>
                <w:noProof/>
                <w:webHidden/>
              </w:rPr>
              <w:instrText xml:space="preserve"> PAGEREF _Toc197957599 \h </w:instrText>
            </w:r>
            <w:r w:rsidR="00350833">
              <w:rPr>
                <w:noProof/>
                <w:webHidden/>
              </w:rPr>
            </w:r>
            <w:r w:rsidR="00350833">
              <w:rPr>
                <w:noProof/>
                <w:webHidden/>
              </w:rPr>
              <w:fldChar w:fldCharType="separate"/>
            </w:r>
            <w:r>
              <w:rPr>
                <w:noProof/>
                <w:webHidden/>
              </w:rPr>
              <w:t>6</w:t>
            </w:r>
            <w:r w:rsidR="00350833">
              <w:rPr>
                <w:noProof/>
                <w:webHidden/>
              </w:rPr>
              <w:fldChar w:fldCharType="end"/>
            </w:r>
          </w:hyperlink>
        </w:p>
        <w:p w14:paraId="0D16D3FC" w14:textId="54472220" w:rsidR="00350833" w:rsidRDefault="009E099E">
          <w:pPr>
            <w:pStyle w:val="TOC2"/>
            <w:tabs>
              <w:tab w:val="right" w:leader="dot" w:pos="8488"/>
            </w:tabs>
            <w:rPr>
              <w:rFonts w:asciiTheme="minorHAnsi" w:hAnsiTheme="minorHAnsi"/>
              <w:noProof/>
              <w:kern w:val="2"/>
              <w:szCs w:val="22"/>
              <w:lang w:eastAsia="en-NZ"/>
              <w14:ligatures w14:val="standardContextual"/>
            </w:rPr>
          </w:pPr>
          <w:hyperlink w:anchor="_Toc197957600" w:history="1">
            <w:r w:rsidR="00350833" w:rsidRPr="000C64A2">
              <w:rPr>
                <w:rStyle w:val="Hyperlink"/>
                <w:noProof/>
              </w:rPr>
              <w:t>Definition of an EA intervention spell</w:t>
            </w:r>
            <w:r w:rsidR="00350833">
              <w:rPr>
                <w:noProof/>
                <w:webHidden/>
              </w:rPr>
              <w:tab/>
            </w:r>
            <w:r w:rsidR="00350833">
              <w:rPr>
                <w:noProof/>
                <w:webHidden/>
              </w:rPr>
              <w:fldChar w:fldCharType="begin"/>
            </w:r>
            <w:r w:rsidR="00350833">
              <w:rPr>
                <w:noProof/>
                <w:webHidden/>
              </w:rPr>
              <w:instrText xml:space="preserve"> PAGEREF _Toc197957600 \h </w:instrText>
            </w:r>
            <w:r w:rsidR="00350833">
              <w:rPr>
                <w:noProof/>
                <w:webHidden/>
              </w:rPr>
            </w:r>
            <w:r w:rsidR="00350833">
              <w:rPr>
                <w:noProof/>
                <w:webHidden/>
              </w:rPr>
              <w:fldChar w:fldCharType="separate"/>
            </w:r>
            <w:r>
              <w:rPr>
                <w:noProof/>
                <w:webHidden/>
              </w:rPr>
              <w:t>7</w:t>
            </w:r>
            <w:r w:rsidR="00350833">
              <w:rPr>
                <w:noProof/>
                <w:webHidden/>
              </w:rPr>
              <w:fldChar w:fldCharType="end"/>
            </w:r>
          </w:hyperlink>
        </w:p>
        <w:p w14:paraId="3FCF169B" w14:textId="1C1913FE" w:rsidR="00350833" w:rsidRDefault="009E099E">
          <w:pPr>
            <w:pStyle w:val="TOC1"/>
            <w:rPr>
              <w:rFonts w:asciiTheme="minorHAnsi" w:hAnsiTheme="minorHAnsi"/>
              <w:b w:val="0"/>
              <w:noProof/>
              <w:color w:val="auto"/>
              <w:kern w:val="2"/>
              <w:szCs w:val="22"/>
              <w:lang w:eastAsia="en-NZ"/>
              <w14:ligatures w14:val="standardContextual"/>
            </w:rPr>
          </w:pPr>
          <w:hyperlink w:anchor="_Toc197957601" w:history="1">
            <w:r w:rsidR="00350833" w:rsidRPr="000C64A2">
              <w:rPr>
                <w:rStyle w:val="Hyperlink"/>
                <w:noProof/>
              </w:rPr>
              <w:t>Estimating the cost of EA interventions</w:t>
            </w:r>
            <w:r w:rsidR="00350833">
              <w:rPr>
                <w:noProof/>
                <w:webHidden/>
              </w:rPr>
              <w:tab/>
            </w:r>
            <w:r w:rsidR="00350833">
              <w:rPr>
                <w:noProof/>
                <w:webHidden/>
              </w:rPr>
              <w:fldChar w:fldCharType="begin"/>
            </w:r>
            <w:r w:rsidR="00350833">
              <w:rPr>
                <w:noProof/>
                <w:webHidden/>
              </w:rPr>
              <w:instrText xml:space="preserve"> PAGEREF _Toc197957601 \h </w:instrText>
            </w:r>
            <w:r w:rsidR="00350833">
              <w:rPr>
                <w:noProof/>
                <w:webHidden/>
              </w:rPr>
            </w:r>
            <w:r w:rsidR="00350833">
              <w:rPr>
                <w:noProof/>
                <w:webHidden/>
              </w:rPr>
              <w:fldChar w:fldCharType="separate"/>
            </w:r>
            <w:r>
              <w:rPr>
                <w:noProof/>
                <w:webHidden/>
              </w:rPr>
              <w:t>11</w:t>
            </w:r>
            <w:r w:rsidR="00350833">
              <w:rPr>
                <w:noProof/>
                <w:webHidden/>
              </w:rPr>
              <w:fldChar w:fldCharType="end"/>
            </w:r>
          </w:hyperlink>
        </w:p>
        <w:p w14:paraId="06A30AA9" w14:textId="475FC11C" w:rsidR="00350833" w:rsidRDefault="009E099E">
          <w:pPr>
            <w:pStyle w:val="TOC2"/>
            <w:tabs>
              <w:tab w:val="right" w:leader="dot" w:pos="8488"/>
            </w:tabs>
            <w:rPr>
              <w:rFonts w:asciiTheme="minorHAnsi" w:hAnsiTheme="minorHAnsi"/>
              <w:noProof/>
              <w:kern w:val="2"/>
              <w:szCs w:val="22"/>
              <w:lang w:eastAsia="en-NZ"/>
              <w14:ligatures w14:val="standardContextual"/>
            </w:rPr>
          </w:pPr>
          <w:hyperlink w:anchor="_Toc197957602" w:history="1">
            <w:r w:rsidR="00350833" w:rsidRPr="000C64A2">
              <w:rPr>
                <w:rStyle w:val="Hyperlink"/>
                <w:noProof/>
              </w:rPr>
              <w:t>Principles behind the cost allocation model</w:t>
            </w:r>
            <w:r w:rsidR="00350833">
              <w:rPr>
                <w:noProof/>
                <w:webHidden/>
              </w:rPr>
              <w:tab/>
            </w:r>
            <w:r w:rsidR="00350833">
              <w:rPr>
                <w:noProof/>
                <w:webHidden/>
              </w:rPr>
              <w:fldChar w:fldCharType="begin"/>
            </w:r>
            <w:r w:rsidR="00350833">
              <w:rPr>
                <w:noProof/>
                <w:webHidden/>
              </w:rPr>
              <w:instrText xml:space="preserve"> PAGEREF _Toc197957602 \h </w:instrText>
            </w:r>
            <w:r w:rsidR="00350833">
              <w:rPr>
                <w:noProof/>
                <w:webHidden/>
              </w:rPr>
            </w:r>
            <w:r w:rsidR="00350833">
              <w:rPr>
                <w:noProof/>
                <w:webHidden/>
              </w:rPr>
              <w:fldChar w:fldCharType="separate"/>
            </w:r>
            <w:r>
              <w:rPr>
                <w:noProof/>
                <w:webHidden/>
              </w:rPr>
              <w:t>11</w:t>
            </w:r>
            <w:r w:rsidR="00350833">
              <w:rPr>
                <w:noProof/>
                <w:webHidden/>
              </w:rPr>
              <w:fldChar w:fldCharType="end"/>
            </w:r>
          </w:hyperlink>
        </w:p>
        <w:p w14:paraId="37DC9A69" w14:textId="31817779" w:rsidR="00350833" w:rsidRDefault="009E099E">
          <w:pPr>
            <w:pStyle w:val="TOC2"/>
            <w:tabs>
              <w:tab w:val="right" w:leader="dot" w:pos="8488"/>
            </w:tabs>
            <w:rPr>
              <w:rFonts w:asciiTheme="minorHAnsi" w:hAnsiTheme="minorHAnsi"/>
              <w:noProof/>
              <w:kern w:val="2"/>
              <w:szCs w:val="22"/>
              <w:lang w:eastAsia="en-NZ"/>
              <w14:ligatures w14:val="standardContextual"/>
            </w:rPr>
          </w:pPr>
          <w:hyperlink w:anchor="_Toc197957603" w:history="1">
            <w:r w:rsidR="00350833" w:rsidRPr="000C64A2">
              <w:rPr>
                <w:rStyle w:val="Hyperlink"/>
                <w:noProof/>
              </w:rPr>
              <w:t>Cost allocation framework</w:t>
            </w:r>
            <w:r w:rsidR="00350833">
              <w:rPr>
                <w:noProof/>
                <w:webHidden/>
              </w:rPr>
              <w:tab/>
            </w:r>
            <w:r w:rsidR="00350833">
              <w:rPr>
                <w:noProof/>
                <w:webHidden/>
              </w:rPr>
              <w:fldChar w:fldCharType="begin"/>
            </w:r>
            <w:r w:rsidR="00350833">
              <w:rPr>
                <w:noProof/>
                <w:webHidden/>
              </w:rPr>
              <w:instrText xml:space="preserve"> PAGEREF _Toc197957603 \h </w:instrText>
            </w:r>
            <w:r w:rsidR="00350833">
              <w:rPr>
                <w:noProof/>
                <w:webHidden/>
              </w:rPr>
            </w:r>
            <w:r w:rsidR="00350833">
              <w:rPr>
                <w:noProof/>
                <w:webHidden/>
              </w:rPr>
              <w:fldChar w:fldCharType="separate"/>
            </w:r>
            <w:r>
              <w:rPr>
                <w:noProof/>
                <w:webHidden/>
              </w:rPr>
              <w:t>12</w:t>
            </w:r>
            <w:r w:rsidR="00350833">
              <w:rPr>
                <w:noProof/>
                <w:webHidden/>
              </w:rPr>
              <w:fldChar w:fldCharType="end"/>
            </w:r>
          </w:hyperlink>
        </w:p>
        <w:p w14:paraId="251C7DA5" w14:textId="47982B2A" w:rsidR="00350833" w:rsidRDefault="009E099E">
          <w:pPr>
            <w:pStyle w:val="TOC1"/>
            <w:rPr>
              <w:rFonts w:asciiTheme="minorHAnsi" w:hAnsiTheme="minorHAnsi"/>
              <w:b w:val="0"/>
              <w:noProof/>
              <w:color w:val="auto"/>
              <w:kern w:val="2"/>
              <w:szCs w:val="22"/>
              <w:lang w:eastAsia="en-NZ"/>
              <w14:ligatures w14:val="standardContextual"/>
            </w:rPr>
          </w:pPr>
          <w:hyperlink w:anchor="_Toc197957604" w:history="1">
            <w:r w:rsidR="00350833" w:rsidRPr="000C64A2">
              <w:rPr>
                <w:rStyle w:val="Hyperlink"/>
                <w:noProof/>
              </w:rPr>
              <w:t>Outcome measures</w:t>
            </w:r>
            <w:r w:rsidR="00350833">
              <w:rPr>
                <w:noProof/>
                <w:webHidden/>
              </w:rPr>
              <w:tab/>
            </w:r>
            <w:r w:rsidR="00350833">
              <w:rPr>
                <w:noProof/>
                <w:webHidden/>
              </w:rPr>
              <w:fldChar w:fldCharType="begin"/>
            </w:r>
            <w:r w:rsidR="00350833">
              <w:rPr>
                <w:noProof/>
                <w:webHidden/>
              </w:rPr>
              <w:instrText xml:space="preserve"> PAGEREF _Toc197957604 \h </w:instrText>
            </w:r>
            <w:r w:rsidR="00350833">
              <w:rPr>
                <w:noProof/>
                <w:webHidden/>
              </w:rPr>
            </w:r>
            <w:r w:rsidR="00350833">
              <w:rPr>
                <w:noProof/>
                <w:webHidden/>
              </w:rPr>
              <w:fldChar w:fldCharType="separate"/>
            </w:r>
            <w:r>
              <w:rPr>
                <w:noProof/>
                <w:webHidden/>
              </w:rPr>
              <w:t>16</w:t>
            </w:r>
            <w:r w:rsidR="00350833">
              <w:rPr>
                <w:noProof/>
                <w:webHidden/>
              </w:rPr>
              <w:fldChar w:fldCharType="end"/>
            </w:r>
          </w:hyperlink>
        </w:p>
        <w:p w14:paraId="510CF211" w14:textId="6DD26CB2" w:rsidR="00350833" w:rsidRDefault="009E099E">
          <w:pPr>
            <w:pStyle w:val="TOC2"/>
            <w:tabs>
              <w:tab w:val="right" w:leader="dot" w:pos="8488"/>
            </w:tabs>
            <w:rPr>
              <w:rFonts w:asciiTheme="minorHAnsi" w:hAnsiTheme="minorHAnsi"/>
              <w:noProof/>
              <w:kern w:val="2"/>
              <w:szCs w:val="22"/>
              <w:lang w:eastAsia="en-NZ"/>
              <w14:ligatures w14:val="standardContextual"/>
            </w:rPr>
          </w:pPr>
          <w:hyperlink w:anchor="_Toc197957605" w:history="1">
            <w:r w:rsidR="00350833" w:rsidRPr="000C64A2">
              <w:rPr>
                <w:rStyle w:val="Hyperlink"/>
                <w:noProof/>
              </w:rPr>
              <w:t>Income</w:t>
            </w:r>
            <w:r w:rsidR="00350833">
              <w:rPr>
                <w:noProof/>
                <w:webHidden/>
              </w:rPr>
              <w:tab/>
            </w:r>
            <w:r w:rsidR="00350833">
              <w:rPr>
                <w:noProof/>
                <w:webHidden/>
              </w:rPr>
              <w:fldChar w:fldCharType="begin"/>
            </w:r>
            <w:r w:rsidR="00350833">
              <w:rPr>
                <w:noProof/>
                <w:webHidden/>
              </w:rPr>
              <w:instrText xml:space="preserve"> PAGEREF _Toc197957605 \h </w:instrText>
            </w:r>
            <w:r w:rsidR="00350833">
              <w:rPr>
                <w:noProof/>
                <w:webHidden/>
              </w:rPr>
            </w:r>
            <w:r w:rsidR="00350833">
              <w:rPr>
                <w:noProof/>
                <w:webHidden/>
              </w:rPr>
              <w:fldChar w:fldCharType="separate"/>
            </w:r>
            <w:r>
              <w:rPr>
                <w:noProof/>
                <w:webHidden/>
              </w:rPr>
              <w:t>17</w:t>
            </w:r>
            <w:r w:rsidR="00350833">
              <w:rPr>
                <w:noProof/>
                <w:webHidden/>
              </w:rPr>
              <w:fldChar w:fldCharType="end"/>
            </w:r>
          </w:hyperlink>
        </w:p>
        <w:p w14:paraId="78AF48D2" w14:textId="041DDDE2" w:rsidR="00350833" w:rsidRDefault="009E099E">
          <w:pPr>
            <w:pStyle w:val="TOC2"/>
            <w:tabs>
              <w:tab w:val="right" w:leader="dot" w:pos="8488"/>
            </w:tabs>
            <w:rPr>
              <w:rFonts w:asciiTheme="minorHAnsi" w:hAnsiTheme="minorHAnsi"/>
              <w:noProof/>
              <w:kern w:val="2"/>
              <w:szCs w:val="22"/>
              <w:lang w:eastAsia="en-NZ"/>
              <w14:ligatures w14:val="standardContextual"/>
            </w:rPr>
          </w:pPr>
          <w:hyperlink w:anchor="_Toc197957606" w:history="1">
            <w:r w:rsidR="00350833" w:rsidRPr="000C64A2">
              <w:rPr>
                <w:rStyle w:val="Hyperlink"/>
                <w:noProof/>
              </w:rPr>
              <w:t>Employment</w:t>
            </w:r>
            <w:r w:rsidR="00350833">
              <w:rPr>
                <w:noProof/>
                <w:webHidden/>
              </w:rPr>
              <w:tab/>
            </w:r>
            <w:r w:rsidR="00350833">
              <w:rPr>
                <w:noProof/>
                <w:webHidden/>
              </w:rPr>
              <w:fldChar w:fldCharType="begin"/>
            </w:r>
            <w:r w:rsidR="00350833">
              <w:rPr>
                <w:noProof/>
                <w:webHidden/>
              </w:rPr>
              <w:instrText xml:space="preserve"> PAGEREF _Toc197957606 \h </w:instrText>
            </w:r>
            <w:r w:rsidR="00350833">
              <w:rPr>
                <w:noProof/>
                <w:webHidden/>
              </w:rPr>
            </w:r>
            <w:r w:rsidR="00350833">
              <w:rPr>
                <w:noProof/>
                <w:webHidden/>
              </w:rPr>
              <w:fldChar w:fldCharType="separate"/>
            </w:r>
            <w:r>
              <w:rPr>
                <w:noProof/>
                <w:webHidden/>
              </w:rPr>
              <w:t>19</w:t>
            </w:r>
            <w:r w:rsidR="00350833">
              <w:rPr>
                <w:noProof/>
                <w:webHidden/>
              </w:rPr>
              <w:fldChar w:fldCharType="end"/>
            </w:r>
          </w:hyperlink>
        </w:p>
        <w:p w14:paraId="7789878A" w14:textId="0DB0E2A4" w:rsidR="00350833" w:rsidRDefault="009E099E">
          <w:pPr>
            <w:pStyle w:val="TOC2"/>
            <w:tabs>
              <w:tab w:val="right" w:leader="dot" w:pos="8488"/>
            </w:tabs>
            <w:rPr>
              <w:rFonts w:asciiTheme="minorHAnsi" w:hAnsiTheme="minorHAnsi"/>
              <w:noProof/>
              <w:kern w:val="2"/>
              <w:szCs w:val="22"/>
              <w:lang w:eastAsia="en-NZ"/>
              <w14:ligatures w14:val="standardContextual"/>
            </w:rPr>
          </w:pPr>
          <w:hyperlink w:anchor="_Toc197957607" w:history="1">
            <w:r w:rsidR="00350833" w:rsidRPr="000C64A2">
              <w:rPr>
                <w:rStyle w:val="Hyperlink"/>
                <w:noProof/>
              </w:rPr>
              <w:t>Justice</w:t>
            </w:r>
            <w:r w:rsidR="00350833">
              <w:rPr>
                <w:noProof/>
                <w:webHidden/>
              </w:rPr>
              <w:tab/>
            </w:r>
            <w:r w:rsidR="00350833">
              <w:rPr>
                <w:noProof/>
                <w:webHidden/>
              </w:rPr>
              <w:fldChar w:fldCharType="begin"/>
            </w:r>
            <w:r w:rsidR="00350833">
              <w:rPr>
                <w:noProof/>
                <w:webHidden/>
              </w:rPr>
              <w:instrText xml:space="preserve"> PAGEREF _Toc197957607 \h </w:instrText>
            </w:r>
            <w:r w:rsidR="00350833">
              <w:rPr>
                <w:noProof/>
                <w:webHidden/>
              </w:rPr>
            </w:r>
            <w:r w:rsidR="00350833">
              <w:rPr>
                <w:noProof/>
                <w:webHidden/>
              </w:rPr>
              <w:fldChar w:fldCharType="separate"/>
            </w:r>
            <w:r>
              <w:rPr>
                <w:noProof/>
                <w:webHidden/>
              </w:rPr>
              <w:t>19</w:t>
            </w:r>
            <w:r w:rsidR="00350833">
              <w:rPr>
                <w:noProof/>
                <w:webHidden/>
              </w:rPr>
              <w:fldChar w:fldCharType="end"/>
            </w:r>
          </w:hyperlink>
        </w:p>
        <w:p w14:paraId="72219EA8" w14:textId="76747585" w:rsidR="00350833" w:rsidRDefault="009E099E">
          <w:pPr>
            <w:pStyle w:val="TOC2"/>
            <w:tabs>
              <w:tab w:val="right" w:leader="dot" w:pos="8488"/>
            </w:tabs>
            <w:rPr>
              <w:rFonts w:asciiTheme="minorHAnsi" w:hAnsiTheme="minorHAnsi"/>
              <w:noProof/>
              <w:kern w:val="2"/>
              <w:szCs w:val="22"/>
              <w:lang w:eastAsia="en-NZ"/>
              <w14:ligatures w14:val="standardContextual"/>
            </w:rPr>
          </w:pPr>
          <w:hyperlink w:anchor="_Toc197957608" w:history="1">
            <w:r w:rsidR="00350833" w:rsidRPr="000C64A2">
              <w:rPr>
                <w:rStyle w:val="Hyperlink"/>
                <w:noProof/>
              </w:rPr>
              <w:t>Education qualifications</w:t>
            </w:r>
            <w:r w:rsidR="00350833">
              <w:rPr>
                <w:noProof/>
                <w:webHidden/>
              </w:rPr>
              <w:tab/>
            </w:r>
            <w:r w:rsidR="00350833">
              <w:rPr>
                <w:noProof/>
                <w:webHidden/>
              </w:rPr>
              <w:fldChar w:fldCharType="begin"/>
            </w:r>
            <w:r w:rsidR="00350833">
              <w:rPr>
                <w:noProof/>
                <w:webHidden/>
              </w:rPr>
              <w:instrText xml:space="preserve"> PAGEREF _Toc197957608 \h </w:instrText>
            </w:r>
            <w:r w:rsidR="00350833">
              <w:rPr>
                <w:noProof/>
                <w:webHidden/>
              </w:rPr>
            </w:r>
            <w:r w:rsidR="00350833">
              <w:rPr>
                <w:noProof/>
                <w:webHidden/>
              </w:rPr>
              <w:fldChar w:fldCharType="separate"/>
            </w:r>
            <w:r>
              <w:rPr>
                <w:noProof/>
                <w:webHidden/>
              </w:rPr>
              <w:t>20</w:t>
            </w:r>
            <w:r w:rsidR="00350833">
              <w:rPr>
                <w:noProof/>
                <w:webHidden/>
              </w:rPr>
              <w:fldChar w:fldCharType="end"/>
            </w:r>
          </w:hyperlink>
        </w:p>
        <w:p w14:paraId="0ED09808" w14:textId="1F533D9E" w:rsidR="00350833" w:rsidRDefault="009E099E">
          <w:pPr>
            <w:pStyle w:val="TOC2"/>
            <w:tabs>
              <w:tab w:val="right" w:leader="dot" w:pos="8488"/>
            </w:tabs>
            <w:rPr>
              <w:rFonts w:asciiTheme="minorHAnsi" w:hAnsiTheme="minorHAnsi"/>
              <w:noProof/>
              <w:kern w:val="2"/>
              <w:szCs w:val="22"/>
              <w:lang w:eastAsia="en-NZ"/>
              <w14:ligatures w14:val="standardContextual"/>
            </w:rPr>
          </w:pPr>
          <w:hyperlink w:anchor="_Toc197957609" w:history="1">
            <w:r w:rsidR="00350833" w:rsidRPr="000C64A2">
              <w:rPr>
                <w:rStyle w:val="Hyperlink"/>
                <w:noProof/>
              </w:rPr>
              <w:t>Education participation</w:t>
            </w:r>
            <w:r w:rsidR="00350833">
              <w:rPr>
                <w:noProof/>
                <w:webHidden/>
              </w:rPr>
              <w:tab/>
            </w:r>
            <w:r w:rsidR="00350833">
              <w:rPr>
                <w:noProof/>
                <w:webHidden/>
              </w:rPr>
              <w:fldChar w:fldCharType="begin"/>
            </w:r>
            <w:r w:rsidR="00350833">
              <w:rPr>
                <w:noProof/>
                <w:webHidden/>
              </w:rPr>
              <w:instrText xml:space="preserve"> PAGEREF _Toc197957609 \h </w:instrText>
            </w:r>
            <w:r w:rsidR="00350833">
              <w:rPr>
                <w:noProof/>
                <w:webHidden/>
              </w:rPr>
            </w:r>
            <w:r w:rsidR="00350833">
              <w:rPr>
                <w:noProof/>
                <w:webHidden/>
              </w:rPr>
              <w:fldChar w:fldCharType="separate"/>
            </w:r>
            <w:r>
              <w:rPr>
                <w:noProof/>
                <w:webHidden/>
              </w:rPr>
              <w:t>21</w:t>
            </w:r>
            <w:r w:rsidR="00350833">
              <w:rPr>
                <w:noProof/>
                <w:webHidden/>
              </w:rPr>
              <w:fldChar w:fldCharType="end"/>
            </w:r>
          </w:hyperlink>
        </w:p>
        <w:p w14:paraId="73652E44" w14:textId="6D59A46C" w:rsidR="00350833" w:rsidRDefault="009E099E">
          <w:pPr>
            <w:pStyle w:val="TOC2"/>
            <w:tabs>
              <w:tab w:val="right" w:leader="dot" w:pos="8488"/>
            </w:tabs>
            <w:rPr>
              <w:rFonts w:asciiTheme="minorHAnsi" w:hAnsiTheme="minorHAnsi"/>
              <w:noProof/>
              <w:kern w:val="2"/>
              <w:szCs w:val="22"/>
              <w:lang w:eastAsia="en-NZ"/>
              <w14:ligatures w14:val="standardContextual"/>
            </w:rPr>
          </w:pPr>
          <w:hyperlink w:anchor="_Toc197957610" w:history="1">
            <w:r w:rsidR="00350833" w:rsidRPr="000C64A2">
              <w:rPr>
                <w:rStyle w:val="Hyperlink"/>
                <w:noProof/>
              </w:rPr>
              <w:t>Welfare</w:t>
            </w:r>
            <w:r w:rsidR="00350833">
              <w:rPr>
                <w:noProof/>
                <w:webHidden/>
              </w:rPr>
              <w:tab/>
            </w:r>
            <w:r w:rsidR="00350833">
              <w:rPr>
                <w:noProof/>
                <w:webHidden/>
              </w:rPr>
              <w:fldChar w:fldCharType="begin"/>
            </w:r>
            <w:r w:rsidR="00350833">
              <w:rPr>
                <w:noProof/>
                <w:webHidden/>
              </w:rPr>
              <w:instrText xml:space="preserve"> PAGEREF _Toc197957610 \h </w:instrText>
            </w:r>
            <w:r w:rsidR="00350833">
              <w:rPr>
                <w:noProof/>
                <w:webHidden/>
              </w:rPr>
            </w:r>
            <w:r w:rsidR="00350833">
              <w:rPr>
                <w:noProof/>
                <w:webHidden/>
              </w:rPr>
              <w:fldChar w:fldCharType="separate"/>
            </w:r>
            <w:r>
              <w:rPr>
                <w:noProof/>
                <w:webHidden/>
              </w:rPr>
              <w:t>21</w:t>
            </w:r>
            <w:r w:rsidR="00350833">
              <w:rPr>
                <w:noProof/>
                <w:webHidden/>
              </w:rPr>
              <w:fldChar w:fldCharType="end"/>
            </w:r>
          </w:hyperlink>
        </w:p>
        <w:p w14:paraId="0BACCBDC" w14:textId="2F0AB2BB" w:rsidR="00350833" w:rsidRDefault="009E099E">
          <w:pPr>
            <w:pStyle w:val="TOC2"/>
            <w:tabs>
              <w:tab w:val="right" w:leader="dot" w:pos="8488"/>
            </w:tabs>
            <w:rPr>
              <w:rFonts w:asciiTheme="minorHAnsi" w:hAnsiTheme="minorHAnsi"/>
              <w:noProof/>
              <w:kern w:val="2"/>
              <w:szCs w:val="22"/>
              <w:lang w:eastAsia="en-NZ"/>
              <w14:ligatures w14:val="standardContextual"/>
            </w:rPr>
          </w:pPr>
          <w:hyperlink w:anchor="_Toc197957611" w:history="1">
            <w:r w:rsidR="00350833" w:rsidRPr="000C64A2">
              <w:rPr>
                <w:rStyle w:val="Hyperlink"/>
                <w:noProof/>
              </w:rPr>
              <w:t>Driver licence status</w:t>
            </w:r>
            <w:r w:rsidR="00350833">
              <w:rPr>
                <w:noProof/>
                <w:webHidden/>
              </w:rPr>
              <w:tab/>
            </w:r>
            <w:r w:rsidR="00350833">
              <w:rPr>
                <w:noProof/>
                <w:webHidden/>
              </w:rPr>
              <w:fldChar w:fldCharType="begin"/>
            </w:r>
            <w:r w:rsidR="00350833">
              <w:rPr>
                <w:noProof/>
                <w:webHidden/>
              </w:rPr>
              <w:instrText xml:space="preserve"> PAGEREF _Toc197957611 \h </w:instrText>
            </w:r>
            <w:r w:rsidR="00350833">
              <w:rPr>
                <w:noProof/>
                <w:webHidden/>
              </w:rPr>
            </w:r>
            <w:r w:rsidR="00350833">
              <w:rPr>
                <w:noProof/>
                <w:webHidden/>
              </w:rPr>
              <w:fldChar w:fldCharType="separate"/>
            </w:r>
            <w:r>
              <w:rPr>
                <w:noProof/>
                <w:webHidden/>
              </w:rPr>
              <w:t>21</w:t>
            </w:r>
            <w:r w:rsidR="00350833">
              <w:rPr>
                <w:noProof/>
                <w:webHidden/>
              </w:rPr>
              <w:fldChar w:fldCharType="end"/>
            </w:r>
          </w:hyperlink>
        </w:p>
        <w:p w14:paraId="7F1572C9" w14:textId="2894D4A7" w:rsidR="00350833" w:rsidRDefault="009E099E">
          <w:pPr>
            <w:pStyle w:val="TOC2"/>
            <w:tabs>
              <w:tab w:val="right" w:leader="dot" w:pos="8488"/>
            </w:tabs>
            <w:rPr>
              <w:rFonts w:asciiTheme="minorHAnsi" w:hAnsiTheme="minorHAnsi"/>
              <w:noProof/>
              <w:kern w:val="2"/>
              <w:szCs w:val="22"/>
              <w:lang w:eastAsia="en-NZ"/>
              <w14:ligatures w14:val="standardContextual"/>
            </w:rPr>
          </w:pPr>
          <w:hyperlink w:anchor="_Toc197957612" w:history="1">
            <w:r w:rsidR="00350833" w:rsidRPr="000C64A2">
              <w:rPr>
                <w:rStyle w:val="Hyperlink"/>
                <w:noProof/>
              </w:rPr>
              <w:t>Tracking outcomes longitudinally</w:t>
            </w:r>
            <w:r w:rsidR="00350833">
              <w:rPr>
                <w:noProof/>
                <w:webHidden/>
              </w:rPr>
              <w:tab/>
            </w:r>
            <w:r w:rsidR="00350833">
              <w:rPr>
                <w:noProof/>
                <w:webHidden/>
              </w:rPr>
              <w:fldChar w:fldCharType="begin"/>
            </w:r>
            <w:r w:rsidR="00350833">
              <w:rPr>
                <w:noProof/>
                <w:webHidden/>
              </w:rPr>
              <w:instrText xml:space="preserve"> PAGEREF _Toc197957612 \h </w:instrText>
            </w:r>
            <w:r w:rsidR="00350833">
              <w:rPr>
                <w:noProof/>
                <w:webHidden/>
              </w:rPr>
            </w:r>
            <w:r w:rsidR="00350833">
              <w:rPr>
                <w:noProof/>
                <w:webHidden/>
              </w:rPr>
              <w:fldChar w:fldCharType="separate"/>
            </w:r>
            <w:r>
              <w:rPr>
                <w:noProof/>
                <w:webHidden/>
              </w:rPr>
              <w:t>22</w:t>
            </w:r>
            <w:r w:rsidR="00350833">
              <w:rPr>
                <w:noProof/>
                <w:webHidden/>
              </w:rPr>
              <w:fldChar w:fldCharType="end"/>
            </w:r>
          </w:hyperlink>
        </w:p>
        <w:p w14:paraId="74E18E3D" w14:textId="7DFA5DFE" w:rsidR="00350833" w:rsidRDefault="009E099E">
          <w:pPr>
            <w:pStyle w:val="TOC2"/>
            <w:tabs>
              <w:tab w:val="right" w:leader="dot" w:pos="8488"/>
            </w:tabs>
            <w:rPr>
              <w:rFonts w:asciiTheme="minorHAnsi" w:hAnsiTheme="minorHAnsi"/>
              <w:noProof/>
              <w:kern w:val="2"/>
              <w:szCs w:val="22"/>
              <w:lang w:eastAsia="en-NZ"/>
              <w14:ligatures w14:val="standardContextual"/>
            </w:rPr>
          </w:pPr>
          <w:hyperlink w:anchor="_Toc197957613" w:history="1">
            <w:r w:rsidR="00350833" w:rsidRPr="000C64A2">
              <w:rPr>
                <w:rStyle w:val="Hyperlink"/>
                <w:noProof/>
              </w:rPr>
              <w:t>Why measure outcomes from participation start?</w:t>
            </w:r>
            <w:r w:rsidR="00350833">
              <w:rPr>
                <w:noProof/>
                <w:webHidden/>
              </w:rPr>
              <w:tab/>
            </w:r>
            <w:r w:rsidR="00350833">
              <w:rPr>
                <w:noProof/>
                <w:webHidden/>
              </w:rPr>
              <w:fldChar w:fldCharType="begin"/>
            </w:r>
            <w:r w:rsidR="00350833">
              <w:rPr>
                <w:noProof/>
                <w:webHidden/>
              </w:rPr>
              <w:instrText xml:space="preserve"> PAGEREF _Toc197957613 \h </w:instrText>
            </w:r>
            <w:r w:rsidR="00350833">
              <w:rPr>
                <w:noProof/>
                <w:webHidden/>
              </w:rPr>
            </w:r>
            <w:r w:rsidR="00350833">
              <w:rPr>
                <w:noProof/>
                <w:webHidden/>
              </w:rPr>
              <w:fldChar w:fldCharType="separate"/>
            </w:r>
            <w:r>
              <w:rPr>
                <w:noProof/>
                <w:webHidden/>
              </w:rPr>
              <w:t>24</w:t>
            </w:r>
            <w:r w:rsidR="00350833">
              <w:rPr>
                <w:noProof/>
                <w:webHidden/>
              </w:rPr>
              <w:fldChar w:fldCharType="end"/>
            </w:r>
          </w:hyperlink>
        </w:p>
        <w:p w14:paraId="0C1AB8DE" w14:textId="3533A477" w:rsidR="00350833" w:rsidRDefault="009E099E">
          <w:pPr>
            <w:pStyle w:val="TOC2"/>
            <w:tabs>
              <w:tab w:val="right" w:leader="dot" w:pos="8488"/>
            </w:tabs>
            <w:rPr>
              <w:rFonts w:asciiTheme="minorHAnsi" w:hAnsiTheme="minorHAnsi"/>
              <w:noProof/>
              <w:kern w:val="2"/>
              <w:szCs w:val="22"/>
              <w:lang w:eastAsia="en-NZ"/>
              <w14:ligatures w14:val="standardContextual"/>
            </w:rPr>
          </w:pPr>
          <w:hyperlink w:anchor="_Toc197957614" w:history="1">
            <w:r w:rsidR="00350833" w:rsidRPr="000C64A2">
              <w:rPr>
                <w:rStyle w:val="Hyperlink"/>
                <w:noProof/>
              </w:rPr>
              <w:t>Migration and mortality</w:t>
            </w:r>
            <w:r w:rsidR="00350833">
              <w:rPr>
                <w:noProof/>
                <w:webHidden/>
              </w:rPr>
              <w:tab/>
            </w:r>
            <w:r w:rsidR="00350833">
              <w:rPr>
                <w:noProof/>
                <w:webHidden/>
              </w:rPr>
              <w:fldChar w:fldCharType="begin"/>
            </w:r>
            <w:r w:rsidR="00350833">
              <w:rPr>
                <w:noProof/>
                <w:webHidden/>
              </w:rPr>
              <w:instrText xml:space="preserve"> PAGEREF _Toc197957614 \h </w:instrText>
            </w:r>
            <w:r w:rsidR="00350833">
              <w:rPr>
                <w:noProof/>
                <w:webHidden/>
              </w:rPr>
            </w:r>
            <w:r w:rsidR="00350833">
              <w:rPr>
                <w:noProof/>
                <w:webHidden/>
              </w:rPr>
              <w:fldChar w:fldCharType="separate"/>
            </w:r>
            <w:r>
              <w:rPr>
                <w:noProof/>
                <w:webHidden/>
              </w:rPr>
              <w:t>25</w:t>
            </w:r>
            <w:r w:rsidR="00350833">
              <w:rPr>
                <w:noProof/>
                <w:webHidden/>
              </w:rPr>
              <w:fldChar w:fldCharType="end"/>
            </w:r>
          </w:hyperlink>
        </w:p>
        <w:p w14:paraId="7832D61E" w14:textId="4122E580" w:rsidR="00350833" w:rsidRDefault="009E099E">
          <w:pPr>
            <w:pStyle w:val="TOC1"/>
            <w:rPr>
              <w:rFonts w:asciiTheme="minorHAnsi" w:hAnsiTheme="minorHAnsi"/>
              <w:b w:val="0"/>
              <w:noProof/>
              <w:color w:val="auto"/>
              <w:kern w:val="2"/>
              <w:szCs w:val="22"/>
              <w:lang w:eastAsia="en-NZ"/>
              <w14:ligatures w14:val="standardContextual"/>
            </w:rPr>
          </w:pPr>
          <w:hyperlink w:anchor="_Toc197957615" w:history="1">
            <w:r w:rsidR="00350833" w:rsidRPr="000C64A2">
              <w:rPr>
                <w:rStyle w:val="Hyperlink"/>
                <w:noProof/>
              </w:rPr>
              <w:t>Estimating the observed impact of EA interventions</w:t>
            </w:r>
            <w:r w:rsidR="00350833">
              <w:rPr>
                <w:noProof/>
                <w:webHidden/>
              </w:rPr>
              <w:tab/>
            </w:r>
            <w:r w:rsidR="00350833">
              <w:rPr>
                <w:noProof/>
                <w:webHidden/>
              </w:rPr>
              <w:fldChar w:fldCharType="begin"/>
            </w:r>
            <w:r w:rsidR="00350833">
              <w:rPr>
                <w:noProof/>
                <w:webHidden/>
              </w:rPr>
              <w:instrText xml:space="preserve"> PAGEREF _Toc197957615 \h </w:instrText>
            </w:r>
            <w:r w:rsidR="00350833">
              <w:rPr>
                <w:noProof/>
                <w:webHidden/>
              </w:rPr>
            </w:r>
            <w:r w:rsidR="00350833">
              <w:rPr>
                <w:noProof/>
                <w:webHidden/>
              </w:rPr>
              <w:fldChar w:fldCharType="separate"/>
            </w:r>
            <w:r>
              <w:rPr>
                <w:noProof/>
                <w:webHidden/>
              </w:rPr>
              <w:t>26</w:t>
            </w:r>
            <w:r w:rsidR="00350833">
              <w:rPr>
                <w:noProof/>
                <w:webHidden/>
              </w:rPr>
              <w:fldChar w:fldCharType="end"/>
            </w:r>
          </w:hyperlink>
        </w:p>
        <w:p w14:paraId="514D22F3" w14:textId="7A0D28A5" w:rsidR="00350833" w:rsidRDefault="009E099E">
          <w:pPr>
            <w:pStyle w:val="TOC2"/>
            <w:tabs>
              <w:tab w:val="right" w:leader="dot" w:pos="8488"/>
            </w:tabs>
            <w:rPr>
              <w:rFonts w:asciiTheme="minorHAnsi" w:hAnsiTheme="minorHAnsi"/>
              <w:noProof/>
              <w:kern w:val="2"/>
              <w:szCs w:val="22"/>
              <w:lang w:eastAsia="en-NZ"/>
              <w14:ligatures w14:val="standardContextual"/>
            </w:rPr>
          </w:pPr>
          <w:hyperlink w:anchor="_Toc197957616" w:history="1">
            <w:r w:rsidR="00350833" w:rsidRPr="000C64A2">
              <w:rPr>
                <w:rStyle w:val="Hyperlink"/>
                <w:noProof/>
              </w:rPr>
              <w:t>Other considerations</w:t>
            </w:r>
            <w:r w:rsidR="00350833">
              <w:rPr>
                <w:noProof/>
                <w:webHidden/>
              </w:rPr>
              <w:tab/>
            </w:r>
            <w:r w:rsidR="00350833">
              <w:rPr>
                <w:noProof/>
                <w:webHidden/>
              </w:rPr>
              <w:fldChar w:fldCharType="begin"/>
            </w:r>
            <w:r w:rsidR="00350833">
              <w:rPr>
                <w:noProof/>
                <w:webHidden/>
              </w:rPr>
              <w:instrText xml:space="preserve"> PAGEREF _Toc197957616 \h </w:instrText>
            </w:r>
            <w:r w:rsidR="00350833">
              <w:rPr>
                <w:noProof/>
                <w:webHidden/>
              </w:rPr>
            </w:r>
            <w:r w:rsidR="00350833">
              <w:rPr>
                <w:noProof/>
                <w:webHidden/>
              </w:rPr>
              <w:fldChar w:fldCharType="separate"/>
            </w:r>
            <w:r>
              <w:rPr>
                <w:noProof/>
                <w:webHidden/>
              </w:rPr>
              <w:t>35</w:t>
            </w:r>
            <w:r w:rsidR="00350833">
              <w:rPr>
                <w:noProof/>
                <w:webHidden/>
              </w:rPr>
              <w:fldChar w:fldCharType="end"/>
            </w:r>
          </w:hyperlink>
        </w:p>
        <w:p w14:paraId="1742AD68" w14:textId="723FAE35" w:rsidR="00350833" w:rsidRDefault="009E099E">
          <w:pPr>
            <w:pStyle w:val="TOC1"/>
            <w:rPr>
              <w:rFonts w:asciiTheme="minorHAnsi" w:hAnsiTheme="minorHAnsi"/>
              <w:b w:val="0"/>
              <w:noProof/>
              <w:color w:val="auto"/>
              <w:kern w:val="2"/>
              <w:szCs w:val="22"/>
              <w:lang w:eastAsia="en-NZ"/>
              <w14:ligatures w14:val="standardContextual"/>
            </w:rPr>
          </w:pPr>
          <w:hyperlink w:anchor="_Toc197957617" w:history="1">
            <w:r w:rsidR="00350833" w:rsidRPr="000C64A2">
              <w:rPr>
                <w:rStyle w:val="Hyperlink"/>
                <w:noProof/>
              </w:rPr>
              <w:t>Estimating future impact from observed impact</w:t>
            </w:r>
            <w:r w:rsidR="00350833">
              <w:rPr>
                <w:noProof/>
                <w:webHidden/>
              </w:rPr>
              <w:tab/>
            </w:r>
            <w:r w:rsidR="00350833">
              <w:rPr>
                <w:noProof/>
                <w:webHidden/>
              </w:rPr>
              <w:fldChar w:fldCharType="begin"/>
            </w:r>
            <w:r w:rsidR="00350833">
              <w:rPr>
                <w:noProof/>
                <w:webHidden/>
              </w:rPr>
              <w:instrText xml:space="preserve"> PAGEREF _Toc197957617 \h </w:instrText>
            </w:r>
            <w:r w:rsidR="00350833">
              <w:rPr>
                <w:noProof/>
                <w:webHidden/>
              </w:rPr>
            </w:r>
            <w:r w:rsidR="00350833">
              <w:rPr>
                <w:noProof/>
                <w:webHidden/>
              </w:rPr>
              <w:fldChar w:fldCharType="separate"/>
            </w:r>
            <w:r>
              <w:rPr>
                <w:noProof/>
                <w:webHidden/>
              </w:rPr>
              <w:t>37</w:t>
            </w:r>
            <w:r w:rsidR="00350833">
              <w:rPr>
                <w:noProof/>
                <w:webHidden/>
              </w:rPr>
              <w:fldChar w:fldCharType="end"/>
            </w:r>
          </w:hyperlink>
        </w:p>
        <w:p w14:paraId="74031C2F" w14:textId="12E21420" w:rsidR="00350833" w:rsidRDefault="009E099E">
          <w:pPr>
            <w:pStyle w:val="TOC1"/>
            <w:rPr>
              <w:rFonts w:asciiTheme="minorHAnsi" w:hAnsiTheme="minorHAnsi"/>
              <w:b w:val="0"/>
              <w:noProof/>
              <w:color w:val="auto"/>
              <w:kern w:val="2"/>
              <w:szCs w:val="22"/>
              <w:lang w:eastAsia="en-NZ"/>
              <w14:ligatures w14:val="standardContextual"/>
            </w:rPr>
          </w:pPr>
          <w:hyperlink w:anchor="_Toc197957618" w:history="1">
            <w:r w:rsidR="00350833" w:rsidRPr="000C64A2">
              <w:rPr>
                <w:rStyle w:val="Hyperlink"/>
                <w:noProof/>
              </w:rPr>
              <w:t>Rating the effectiveness of interventions</w:t>
            </w:r>
            <w:r w:rsidR="00350833">
              <w:rPr>
                <w:noProof/>
                <w:webHidden/>
              </w:rPr>
              <w:tab/>
            </w:r>
            <w:r w:rsidR="00350833">
              <w:rPr>
                <w:noProof/>
                <w:webHidden/>
              </w:rPr>
              <w:fldChar w:fldCharType="begin"/>
            </w:r>
            <w:r w:rsidR="00350833">
              <w:rPr>
                <w:noProof/>
                <w:webHidden/>
              </w:rPr>
              <w:instrText xml:space="preserve"> PAGEREF _Toc197957618 \h </w:instrText>
            </w:r>
            <w:r w:rsidR="00350833">
              <w:rPr>
                <w:noProof/>
                <w:webHidden/>
              </w:rPr>
            </w:r>
            <w:r w:rsidR="00350833">
              <w:rPr>
                <w:noProof/>
                <w:webHidden/>
              </w:rPr>
              <w:fldChar w:fldCharType="separate"/>
            </w:r>
            <w:r>
              <w:rPr>
                <w:noProof/>
                <w:webHidden/>
              </w:rPr>
              <w:t>44</w:t>
            </w:r>
            <w:r w:rsidR="00350833">
              <w:rPr>
                <w:noProof/>
                <w:webHidden/>
              </w:rPr>
              <w:fldChar w:fldCharType="end"/>
            </w:r>
          </w:hyperlink>
        </w:p>
        <w:p w14:paraId="365D3A20" w14:textId="3171AF48" w:rsidR="00350833" w:rsidRDefault="009E099E">
          <w:pPr>
            <w:pStyle w:val="TOC2"/>
            <w:tabs>
              <w:tab w:val="right" w:leader="dot" w:pos="8488"/>
            </w:tabs>
            <w:rPr>
              <w:rFonts w:asciiTheme="minorHAnsi" w:hAnsiTheme="minorHAnsi"/>
              <w:noProof/>
              <w:kern w:val="2"/>
              <w:szCs w:val="22"/>
              <w:lang w:eastAsia="en-NZ"/>
              <w14:ligatures w14:val="standardContextual"/>
            </w:rPr>
          </w:pPr>
          <w:hyperlink w:anchor="_Toc197957619" w:history="1">
            <w:r w:rsidR="00350833" w:rsidRPr="000C64A2">
              <w:rPr>
                <w:rStyle w:val="Hyperlink"/>
                <w:noProof/>
              </w:rPr>
              <w:t>Rating by outcome domain</w:t>
            </w:r>
            <w:r w:rsidR="00350833">
              <w:rPr>
                <w:noProof/>
                <w:webHidden/>
              </w:rPr>
              <w:tab/>
            </w:r>
            <w:r w:rsidR="00350833">
              <w:rPr>
                <w:noProof/>
                <w:webHidden/>
              </w:rPr>
              <w:fldChar w:fldCharType="begin"/>
            </w:r>
            <w:r w:rsidR="00350833">
              <w:rPr>
                <w:noProof/>
                <w:webHidden/>
              </w:rPr>
              <w:instrText xml:space="preserve"> PAGEREF _Toc197957619 \h </w:instrText>
            </w:r>
            <w:r w:rsidR="00350833">
              <w:rPr>
                <w:noProof/>
                <w:webHidden/>
              </w:rPr>
            </w:r>
            <w:r w:rsidR="00350833">
              <w:rPr>
                <w:noProof/>
                <w:webHidden/>
              </w:rPr>
              <w:fldChar w:fldCharType="separate"/>
            </w:r>
            <w:r>
              <w:rPr>
                <w:noProof/>
                <w:webHidden/>
              </w:rPr>
              <w:t>44</w:t>
            </w:r>
            <w:r w:rsidR="00350833">
              <w:rPr>
                <w:noProof/>
                <w:webHidden/>
              </w:rPr>
              <w:fldChar w:fldCharType="end"/>
            </w:r>
          </w:hyperlink>
        </w:p>
        <w:p w14:paraId="318BABA0" w14:textId="462E8948" w:rsidR="00350833" w:rsidRDefault="009E099E">
          <w:pPr>
            <w:pStyle w:val="TOC2"/>
            <w:tabs>
              <w:tab w:val="right" w:leader="dot" w:pos="8488"/>
            </w:tabs>
            <w:rPr>
              <w:rFonts w:asciiTheme="minorHAnsi" w:hAnsiTheme="minorHAnsi"/>
              <w:noProof/>
              <w:kern w:val="2"/>
              <w:szCs w:val="22"/>
              <w:lang w:eastAsia="en-NZ"/>
              <w14:ligatures w14:val="standardContextual"/>
            </w:rPr>
          </w:pPr>
          <w:hyperlink w:anchor="_Toc197957620" w:history="1">
            <w:r w:rsidR="00350833" w:rsidRPr="000C64A2">
              <w:rPr>
                <w:rStyle w:val="Hyperlink"/>
                <w:noProof/>
              </w:rPr>
              <w:t>Translating impact to an effectiveness rating</w:t>
            </w:r>
            <w:r w:rsidR="00350833">
              <w:rPr>
                <w:noProof/>
                <w:webHidden/>
              </w:rPr>
              <w:tab/>
            </w:r>
            <w:r w:rsidR="00350833">
              <w:rPr>
                <w:noProof/>
                <w:webHidden/>
              </w:rPr>
              <w:fldChar w:fldCharType="begin"/>
            </w:r>
            <w:r w:rsidR="00350833">
              <w:rPr>
                <w:noProof/>
                <w:webHidden/>
              </w:rPr>
              <w:instrText xml:space="preserve"> PAGEREF _Toc197957620 \h </w:instrText>
            </w:r>
            <w:r w:rsidR="00350833">
              <w:rPr>
                <w:noProof/>
                <w:webHidden/>
              </w:rPr>
            </w:r>
            <w:r w:rsidR="00350833">
              <w:rPr>
                <w:noProof/>
                <w:webHidden/>
              </w:rPr>
              <w:fldChar w:fldCharType="separate"/>
            </w:r>
            <w:r>
              <w:rPr>
                <w:noProof/>
                <w:webHidden/>
              </w:rPr>
              <w:t>44</w:t>
            </w:r>
            <w:r w:rsidR="00350833">
              <w:rPr>
                <w:noProof/>
                <w:webHidden/>
              </w:rPr>
              <w:fldChar w:fldCharType="end"/>
            </w:r>
          </w:hyperlink>
        </w:p>
        <w:p w14:paraId="5643F656" w14:textId="245031CA" w:rsidR="00350833" w:rsidRDefault="009E099E">
          <w:pPr>
            <w:pStyle w:val="TOC2"/>
            <w:tabs>
              <w:tab w:val="right" w:leader="dot" w:pos="8488"/>
            </w:tabs>
            <w:rPr>
              <w:rFonts w:asciiTheme="minorHAnsi" w:hAnsiTheme="minorHAnsi"/>
              <w:noProof/>
              <w:kern w:val="2"/>
              <w:szCs w:val="22"/>
              <w:lang w:eastAsia="en-NZ"/>
              <w14:ligatures w14:val="standardContextual"/>
            </w:rPr>
          </w:pPr>
          <w:hyperlink w:anchor="_Toc197957621" w:history="1">
            <w:r w:rsidR="00350833" w:rsidRPr="000C64A2">
              <w:rPr>
                <w:rStyle w:val="Hyperlink"/>
                <w:noProof/>
              </w:rPr>
              <w:t>Rating the overall effectiveness of an intervention</w:t>
            </w:r>
            <w:r w:rsidR="00350833">
              <w:rPr>
                <w:noProof/>
                <w:webHidden/>
              </w:rPr>
              <w:tab/>
            </w:r>
            <w:r w:rsidR="00350833">
              <w:rPr>
                <w:noProof/>
                <w:webHidden/>
              </w:rPr>
              <w:fldChar w:fldCharType="begin"/>
            </w:r>
            <w:r w:rsidR="00350833">
              <w:rPr>
                <w:noProof/>
                <w:webHidden/>
              </w:rPr>
              <w:instrText xml:space="preserve"> PAGEREF _Toc197957621 \h </w:instrText>
            </w:r>
            <w:r w:rsidR="00350833">
              <w:rPr>
                <w:noProof/>
                <w:webHidden/>
              </w:rPr>
            </w:r>
            <w:r w:rsidR="00350833">
              <w:rPr>
                <w:noProof/>
                <w:webHidden/>
              </w:rPr>
              <w:fldChar w:fldCharType="separate"/>
            </w:r>
            <w:r>
              <w:rPr>
                <w:noProof/>
                <w:webHidden/>
              </w:rPr>
              <w:t>45</w:t>
            </w:r>
            <w:r w:rsidR="00350833">
              <w:rPr>
                <w:noProof/>
                <w:webHidden/>
              </w:rPr>
              <w:fldChar w:fldCharType="end"/>
            </w:r>
          </w:hyperlink>
        </w:p>
        <w:p w14:paraId="084E1996" w14:textId="24668770" w:rsidR="00350833" w:rsidRDefault="009E099E">
          <w:pPr>
            <w:pStyle w:val="TOC1"/>
            <w:rPr>
              <w:rFonts w:asciiTheme="minorHAnsi" w:hAnsiTheme="minorHAnsi"/>
              <w:b w:val="0"/>
              <w:noProof/>
              <w:color w:val="auto"/>
              <w:kern w:val="2"/>
              <w:szCs w:val="22"/>
              <w:lang w:eastAsia="en-NZ"/>
              <w14:ligatures w14:val="standardContextual"/>
            </w:rPr>
          </w:pPr>
          <w:hyperlink w:anchor="_Toc197957622" w:history="1">
            <w:r w:rsidR="00350833" w:rsidRPr="000C64A2">
              <w:rPr>
                <w:rStyle w:val="Hyperlink"/>
                <w:noProof/>
              </w:rPr>
              <w:t>References</w:t>
            </w:r>
            <w:r w:rsidR="00350833">
              <w:rPr>
                <w:noProof/>
                <w:webHidden/>
              </w:rPr>
              <w:tab/>
            </w:r>
            <w:r w:rsidR="00350833">
              <w:rPr>
                <w:noProof/>
                <w:webHidden/>
              </w:rPr>
              <w:fldChar w:fldCharType="begin"/>
            </w:r>
            <w:r w:rsidR="00350833">
              <w:rPr>
                <w:noProof/>
                <w:webHidden/>
              </w:rPr>
              <w:instrText xml:space="preserve"> PAGEREF _Toc197957622 \h </w:instrText>
            </w:r>
            <w:r w:rsidR="00350833">
              <w:rPr>
                <w:noProof/>
                <w:webHidden/>
              </w:rPr>
            </w:r>
            <w:r w:rsidR="00350833">
              <w:rPr>
                <w:noProof/>
                <w:webHidden/>
              </w:rPr>
              <w:fldChar w:fldCharType="separate"/>
            </w:r>
            <w:r>
              <w:rPr>
                <w:noProof/>
                <w:webHidden/>
              </w:rPr>
              <w:t>47</w:t>
            </w:r>
            <w:r w:rsidR="00350833">
              <w:rPr>
                <w:noProof/>
                <w:webHidden/>
              </w:rPr>
              <w:fldChar w:fldCharType="end"/>
            </w:r>
          </w:hyperlink>
        </w:p>
        <w:p w14:paraId="213667DB" w14:textId="373848E3" w:rsidR="005879B1" w:rsidRDefault="00350833">
          <w:r>
            <w:rPr>
              <w:i/>
              <w:color w:val="252C65" w:themeColor="text2"/>
              <w:sz w:val="18"/>
            </w:rPr>
            <w:fldChar w:fldCharType="end"/>
          </w:r>
        </w:p>
      </w:sdtContent>
    </w:sdt>
    <w:p w14:paraId="3F3B07DD" w14:textId="77777777" w:rsidR="005879B1" w:rsidRDefault="00A97397">
      <w:pPr>
        <w:pStyle w:val="Heading6"/>
      </w:pPr>
      <w:bookmarkStart w:id="0" w:name="page-break"/>
      <w:r>
        <w:lastRenderedPageBreak/>
        <w:t>Page break</w:t>
      </w:r>
    </w:p>
    <w:p w14:paraId="56A971D1" w14:textId="77777777" w:rsidR="005879B1" w:rsidRDefault="00A97397">
      <w:pPr>
        <w:pStyle w:val="Heading3"/>
      </w:pPr>
      <w:bookmarkStart w:id="1" w:name="author"/>
      <w:bookmarkEnd w:id="0"/>
      <w:r>
        <w:t>Author</w:t>
      </w:r>
    </w:p>
    <w:p w14:paraId="3D80322C" w14:textId="77777777" w:rsidR="005879B1" w:rsidRDefault="00A97397">
      <w:r>
        <w:t>Marc de Boer, Principal Analyst, Insights MSD, Strategy and Insights</w:t>
      </w:r>
    </w:p>
    <w:p w14:paraId="7A119441" w14:textId="77777777" w:rsidR="005879B1" w:rsidRDefault="00A97397">
      <w:pPr>
        <w:pStyle w:val="Heading3"/>
      </w:pPr>
      <w:bookmarkStart w:id="2" w:name="acknowledgements"/>
      <w:bookmarkEnd w:id="1"/>
      <w:r>
        <w:t>Acknowledgements</w:t>
      </w:r>
    </w:p>
    <w:p w14:paraId="0F716C64" w14:textId="77777777" w:rsidR="005879B1" w:rsidRDefault="00A97397">
      <w:r>
        <w:t>I would like to thank the following people for their contributions and comments in preparing this report and previous versions of this: Oliver Robertson. Any omissions and errors remain the responsibility of the author.</w:t>
      </w:r>
    </w:p>
    <w:p w14:paraId="0D57E5AA" w14:textId="77777777" w:rsidR="005879B1" w:rsidRDefault="00A97397">
      <w:pPr>
        <w:pStyle w:val="Heading3"/>
      </w:pPr>
      <w:bookmarkStart w:id="3" w:name="report-disclaimer"/>
      <w:bookmarkEnd w:id="2"/>
      <w:r>
        <w:t>Report disclaimer</w:t>
      </w:r>
    </w:p>
    <w:p w14:paraId="00125A1E" w14:textId="77777777" w:rsidR="005879B1" w:rsidRDefault="00A97397">
      <w:r>
        <w:t>The views and interpretations in this report are those of the researcher.</w:t>
      </w:r>
    </w:p>
    <w:p w14:paraId="3D761600" w14:textId="77777777" w:rsidR="005879B1" w:rsidRDefault="00A97397">
      <w:pPr>
        <w:pStyle w:val="Heading3"/>
      </w:pPr>
      <w:bookmarkStart w:id="4" w:name="integrated-data-infrastructure-idi"/>
      <w:bookmarkEnd w:id="3"/>
      <w:r>
        <w:t>Integrated Data Infrastructure (IDI)</w:t>
      </w:r>
    </w:p>
    <w:p w14:paraId="7636C541" w14:textId="77777777" w:rsidR="005879B1" w:rsidRDefault="00A97397">
      <w:r>
        <w:t>Some of the information contained in this report comes from the SNZ IDI. Below are the standard SNZ, IRD and NZDF disclaimers for this information.</w:t>
      </w:r>
    </w:p>
    <w:p w14:paraId="2E3A44DA" w14:textId="77777777" w:rsidR="005879B1" w:rsidRDefault="00A97397">
      <w:pPr>
        <w:pStyle w:val="Heading4"/>
      </w:pPr>
      <w:bookmarkStart w:id="5" w:name="statistics-new-zealand-idi-disclaimer"/>
      <w:r>
        <w:t>Statistics New Zealand IDI disclaimer</w:t>
      </w:r>
    </w:p>
    <w:p w14:paraId="0C702AF4" w14:textId="77777777" w:rsidR="005879B1" w:rsidRDefault="00A97397">
      <w:r>
        <w:t>These results are not official statistics. They have been created for research purposes from the Integrated Data Infrastructure (IDI) and the Longitudinal Business Database (LBD) which are carefully managed by Stats NZ. For more information about the IDI and LBD please visit www.stats.govt.nz/integrated-data/.</w:t>
      </w:r>
    </w:p>
    <w:p w14:paraId="462C7841" w14:textId="77777777" w:rsidR="005879B1" w:rsidRDefault="00A97397">
      <w:pPr>
        <w:pStyle w:val="Heading4"/>
      </w:pPr>
      <w:bookmarkStart w:id="6" w:name="inland-revenue-idi-disclaimer"/>
      <w:bookmarkEnd w:id="5"/>
      <w:r>
        <w:t>Inland Revenue IDI disclaimer</w:t>
      </w:r>
    </w:p>
    <w:p w14:paraId="330E367F" w14:textId="77777777" w:rsidR="005879B1" w:rsidRDefault="00A97397">
      <w:r>
        <w:t>The results are based in part on tax data supplied by Inland Revenue to Stats NZ under the Tax Administration Act 1994 for statistical purposes. Any discussion of data limitations or weaknesses is in the context of using the IDI for statistical purposes, and is not related to the data’s ability to support Inland Revenue’s core operational requirements.</w:t>
      </w:r>
    </w:p>
    <w:p w14:paraId="434D7AA8" w14:textId="77777777" w:rsidR="005879B1" w:rsidRDefault="00A97397">
      <w:pPr>
        <w:pStyle w:val="Heading4"/>
      </w:pPr>
      <w:bookmarkStart w:id="7" w:name="new-zealand-defence-force-idi-disclaimer"/>
      <w:bookmarkEnd w:id="6"/>
      <w:r>
        <w:t>New Zealand Defence Force IDI disclaimer</w:t>
      </w:r>
    </w:p>
    <w:p w14:paraId="0E6754AD" w14:textId="77777777" w:rsidR="005879B1" w:rsidRDefault="00A97397">
      <w:r>
        <w:t>The New Zealand Defence Force has consented to the release of IDI results for the Limited Services Volunteer programme to Stats NZ as part of this report.</w:t>
      </w:r>
    </w:p>
    <w:p w14:paraId="2D283BED" w14:textId="77777777" w:rsidR="005879B1" w:rsidRDefault="00A97397">
      <w:pPr>
        <w:pStyle w:val="Heading3"/>
      </w:pPr>
      <w:bookmarkStart w:id="8" w:name="creative-commons"/>
      <w:bookmarkEnd w:id="7"/>
      <w:bookmarkEnd w:id="4"/>
      <w:r>
        <w:lastRenderedPageBreak/>
        <w:t>Creative Commons</w:t>
      </w:r>
    </w:p>
    <w:p w14:paraId="7B8FCD15" w14:textId="77777777" w:rsidR="005879B1" w:rsidRDefault="00A97397">
      <w:r>
        <w:t>This work is licensed under the Creative Commons Attribution 3.0 New Zealand licence. In essence, you are free to copy, distribute and adapt the work, as long as you attribute the work to the Crown and abide by the other licence terms. To view a copy of this licence, visit creativecommons.org/licenses/by/3.0/nz/ Please note that no departmental or governmental emblem, logo or Coat of Arms may be used in any way which infringes any provision of the Flags, Emblems, and Names Protection Act 1981. Attribution to the Crown should be in written form and not be reproduction of any such emblem, logo or Coat of Arms.</w:t>
      </w:r>
    </w:p>
    <w:p w14:paraId="56BBA49A" w14:textId="77777777" w:rsidR="005879B1" w:rsidRDefault="00A97397">
      <w:pPr>
        <w:pStyle w:val="Heading3"/>
      </w:pPr>
      <w:bookmarkStart w:id="9" w:name="published"/>
      <w:bookmarkEnd w:id="8"/>
      <w:r>
        <w:t>Published</w:t>
      </w:r>
    </w:p>
    <w:p w14:paraId="77A67917" w14:textId="77777777" w:rsidR="005879B1" w:rsidRDefault="00A97397">
      <w:r>
        <w:t>Ministry of Social Development</w:t>
      </w:r>
    </w:p>
    <w:p w14:paraId="48805CB1" w14:textId="77777777" w:rsidR="005879B1" w:rsidRDefault="00A97397">
      <w:pPr>
        <w:pStyle w:val="BodyText"/>
      </w:pPr>
      <w:r>
        <w:t>PO Box 1556</w:t>
      </w:r>
    </w:p>
    <w:p w14:paraId="7F70DD85" w14:textId="77777777" w:rsidR="005879B1" w:rsidRDefault="00A97397">
      <w:pPr>
        <w:pStyle w:val="BodyText"/>
      </w:pPr>
      <w:r>
        <w:t>Wellington</w:t>
      </w:r>
    </w:p>
    <w:p w14:paraId="27EF34C0" w14:textId="77777777" w:rsidR="005879B1" w:rsidRDefault="00A97397">
      <w:pPr>
        <w:pStyle w:val="BodyText"/>
      </w:pPr>
      <w:r>
        <w:t>www.msd.govt.nz</w:t>
      </w:r>
    </w:p>
    <w:p w14:paraId="625D757A" w14:textId="7C49CF3A" w:rsidR="005879B1" w:rsidRDefault="00F3321D">
      <w:bookmarkStart w:id="10" w:name="internal-reference"/>
      <w:bookmarkEnd w:id="9"/>
      <w:r>
        <w:t>May 2025</w:t>
      </w:r>
    </w:p>
    <w:p w14:paraId="305573F9" w14:textId="308A2340" w:rsidR="00F3321D" w:rsidRPr="00F3321D" w:rsidRDefault="00F3321D">
      <w:r w:rsidRPr="00F3321D">
        <w:rPr>
          <w:b/>
          <w:bCs/>
        </w:rPr>
        <w:t>ISBN:</w:t>
      </w:r>
      <w:r>
        <w:rPr>
          <w:b/>
          <w:bCs/>
        </w:rPr>
        <w:t xml:space="preserve"> </w:t>
      </w:r>
      <w:r>
        <w:rPr>
          <w:color w:val="000000"/>
          <w:lang w:eastAsia="en-NZ"/>
        </w:rPr>
        <w:t>978-1-99-110581-3</w:t>
      </w:r>
    </w:p>
    <w:p w14:paraId="3670A509" w14:textId="77777777" w:rsidR="005879B1" w:rsidRDefault="00A97397">
      <w:pPr>
        <w:pStyle w:val="Heading1"/>
      </w:pPr>
      <w:bookmarkStart w:id="11" w:name="_Toc197957598"/>
      <w:bookmarkStart w:id="12" w:name="overview"/>
      <w:bookmarkEnd w:id="10"/>
      <w:r>
        <w:lastRenderedPageBreak/>
        <w:t>Overview</w:t>
      </w:r>
      <w:bookmarkEnd w:id="11"/>
    </w:p>
    <w:p w14:paraId="1A780A56" w14:textId="77777777" w:rsidR="005879B1" w:rsidRDefault="00A97397">
      <w:r>
        <w:t>This technical report explains the approach taken to evaluate the effectiveness of MSD’s employment assistance (EA) expenditure for the 2022/2023 financial year.</w:t>
      </w:r>
    </w:p>
    <w:p w14:paraId="0A314456" w14:textId="77777777" w:rsidR="005879B1" w:rsidRDefault="00A97397">
      <w:pPr>
        <w:pStyle w:val="BodyText"/>
      </w:pPr>
      <w:r>
        <w:t>In this report, we describe:</w:t>
      </w:r>
    </w:p>
    <w:p w14:paraId="1F174879" w14:textId="77777777" w:rsidR="005879B1" w:rsidRDefault="00A97397" w:rsidP="004357B9">
      <w:pPr>
        <w:numPr>
          <w:ilvl w:val="0"/>
          <w:numId w:val="7"/>
        </w:numPr>
      </w:pPr>
      <w:r>
        <w:t>what we define as EA interventions</w:t>
      </w:r>
    </w:p>
    <w:p w14:paraId="5B440A65" w14:textId="77777777" w:rsidR="005879B1" w:rsidRDefault="00A97397" w:rsidP="004357B9">
      <w:pPr>
        <w:numPr>
          <w:ilvl w:val="0"/>
          <w:numId w:val="7"/>
        </w:numPr>
      </w:pPr>
      <w:r>
        <w:t>how we estimate the cost of EA interventions</w:t>
      </w:r>
    </w:p>
    <w:p w14:paraId="5C4FA69F" w14:textId="77777777" w:rsidR="005879B1" w:rsidRDefault="00A97397" w:rsidP="004357B9">
      <w:pPr>
        <w:numPr>
          <w:ilvl w:val="0"/>
          <w:numId w:val="7"/>
        </w:numPr>
      </w:pPr>
      <w:r>
        <w:t>the outcome measures used to determine the effectiveness of EA interventions</w:t>
      </w:r>
    </w:p>
    <w:p w14:paraId="76B80B1C" w14:textId="77777777" w:rsidR="005879B1" w:rsidRDefault="00A97397" w:rsidP="004357B9">
      <w:pPr>
        <w:numPr>
          <w:ilvl w:val="0"/>
          <w:numId w:val="7"/>
        </w:numPr>
      </w:pPr>
      <w:r>
        <w:t>methods used to estimate the impact of EA interventions</w:t>
      </w:r>
    </w:p>
    <w:p w14:paraId="0D8F19DA" w14:textId="77777777" w:rsidR="005879B1" w:rsidRDefault="00A97397" w:rsidP="004357B9">
      <w:pPr>
        <w:numPr>
          <w:ilvl w:val="0"/>
          <w:numId w:val="7"/>
        </w:numPr>
      </w:pPr>
      <w:r>
        <w:t>the method for estimating unobserved future impacts</w:t>
      </w:r>
    </w:p>
    <w:p w14:paraId="45DF6A3B" w14:textId="77777777" w:rsidR="005879B1" w:rsidRDefault="00A97397" w:rsidP="004357B9">
      <w:pPr>
        <w:numPr>
          <w:ilvl w:val="0"/>
          <w:numId w:val="7"/>
        </w:numPr>
      </w:pPr>
      <w:r>
        <w:t>the process used to rate the effectiveness of individual interventions.</w:t>
      </w:r>
    </w:p>
    <w:p w14:paraId="26FB2F74" w14:textId="77777777" w:rsidR="005879B1" w:rsidRDefault="00A97397">
      <w:pPr>
        <w:pStyle w:val="Heading1"/>
      </w:pPr>
      <w:bookmarkStart w:id="13" w:name="_Toc197957599"/>
      <w:bookmarkStart w:id="14" w:name="X0a8dc1ef410f0486b278fb36898f6df6ec25a1f"/>
      <w:bookmarkEnd w:id="12"/>
      <w:r>
        <w:lastRenderedPageBreak/>
        <w:t>What are employment assistance interventions?</w:t>
      </w:r>
      <w:bookmarkEnd w:id="13"/>
    </w:p>
    <w:p w14:paraId="0D583CB3" w14:textId="77777777" w:rsidR="005879B1" w:rsidRDefault="00A97397">
      <w:r>
        <w:t>Employment assistance (EA) covers employment and training programmes, and services designed to help people prepare for, move into, and sustain employment. EA interventions funded by MSD are primarily targeted at people eligible for income support assistance. Table 1 below provides a broad classification of EA interventions.</w:t>
      </w:r>
    </w:p>
    <w:p w14:paraId="0D1D646A" w14:textId="77777777" w:rsidR="005879B1" w:rsidRDefault="00A97397" w:rsidP="00435ECC">
      <w:pPr>
        <w:pStyle w:val="Caption"/>
      </w:pPr>
      <w:bookmarkStart w:id="15" w:name="tab:ea-type-descriptions"/>
      <w:bookmarkEnd w:id="15"/>
      <w:r w:rsidRPr="00435ECC">
        <w:rPr>
          <w:b/>
          <w:bCs/>
        </w:rPr>
        <w:t>Table 1</w:t>
      </w:r>
      <w:r>
        <w:t>: Classification of employment assistance interventions</w:t>
      </w:r>
    </w:p>
    <w:tbl>
      <w:tblPr>
        <w:tblW w:w="0" w:type="auto"/>
        <w:jc w:val="center"/>
        <w:tblLayout w:type="fixed"/>
        <w:tblLook w:val="0420" w:firstRow="1" w:lastRow="0" w:firstColumn="0" w:lastColumn="0" w:noHBand="0" w:noVBand="1"/>
      </w:tblPr>
      <w:tblGrid>
        <w:gridCol w:w="1728"/>
        <w:gridCol w:w="4752"/>
        <w:gridCol w:w="2880"/>
      </w:tblGrid>
      <w:tr w:rsidR="005879B1" w14:paraId="7A3FA233" w14:textId="77777777">
        <w:trPr>
          <w:tblHeader/>
          <w:jc w:val="center"/>
        </w:trPr>
        <w:tc>
          <w:tcPr>
            <w:tcW w:w="1728" w:type="dxa"/>
            <w:tcBorders>
              <w:top w:val="single" w:sz="8" w:space="0" w:color="252C65"/>
              <w:left w:val="none" w:sz="0" w:space="0" w:color="000000"/>
              <w:bottom w:val="none" w:sz="0" w:space="0" w:color="000000"/>
              <w:right w:val="none" w:sz="0" w:space="0" w:color="000000"/>
            </w:tcBorders>
            <w:shd w:val="clear" w:color="auto" w:fill="252C65"/>
            <w:tcMar>
              <w:top w:w="0" w:type="dxa"/>
              <w:left w:w="0" w:type="dxa"/>
              <w:bottom w:w="0" w:type="dxa"/>
              <w:right w:w="0" w:type="dxa"/>
            </w:tcMar>
            <w:vAlign w:val="center"/>
          </w:tcPr>
          <w:p w14:paraId="3BA1F1A0" w14:textId="77777777" w:rsidR="005879B1" w:rsidRDefault="00A97397">
            <w:pPr>
              <w:pBdr>
                <w:top w:val="none" w:sz="0" w:space="0" w:color="000000"/>
                <w:left w:val="none" w:sz="0" w:space="0" w:color="000000"/>
                <w:bottom w:val="none" w:sz="0" w:space="0" w:color="000000"/>
                <w:right w:val="none" w:sz="0" w:space="0" w:color="000000"/>
              </w:pBdr>
              <w:spacing w:before="100" w:after="100" w:line="240" w:lineRule="auto"/>
              <w:ind w:left="100" w:right="100"/>
              <w:rPr>
                <w:rFonts w:ascii="Arial" w:eastAsia="Arial" w:hAnsi="Arial" w:cs="Arial"/>
                <w:color w:val="FFFFFF"/>
                <w:sz w:val="16"/>
                <w:szCs w:val="16"/>
              </w:rPr>
            </w:pPr>
            <w:r>
              <w:rPr>
                <w:rFonts w:ascii="Arial" w:eastAsia="Arial" w:hAnsi="Arial" w:cs="Arial"/>
                <w:color w:val="FFFFFF"/>
                <w:sz w:val="16"/>
                <w:szCs w:val="16"/>
              </w:rPr>
              <w:t>Type</w:t>
            </w:r>
          </w:p>
        </w:tc>
        <w:tc>
          <w:tcPr>
            <w:tcW w:w="4752" w:type="dxa"/>
            <w:tcBorders>
              <w:top w:val="single" w:sz="8" w:space="0" w:color="252C65"/>
              <w:left w:val="none" w:sz="0" w:space="0" w:color="000000"/>
              <w:bottom w:val="none" w:sz="0" w:space="0" w:color="000000"/>
              <w:right w:val="none" w:sz="0" w:space="0" w:color="000000"/>
            </w:tcBorders>
            <w:shd w:val="clear" w:color="auto" w:fill="252C65"/>
            <w:tcMar>
              <w:top w:w="0" w:type="dxa"/>
              <w:left w:w="0" w:type="dxa"/>
              <w:bottom w:w="0" w:type="dxa"/>
              <w:right w:w="0" w:type="dxa"/>
            </w:tcMar>
            <w:vAlign w:val="center"/>
          </w:tcPr>
          <w:p w14:paraId="4EBF6D07" w14:textId="77777777" w:rsidR="005879B1" w:rsidRDefault="00A97397">
            <w:pPr>
              <w:pBdr>
                <w:top w:val="none" w:sz="0" w:space="0" w:color="000000"/>
                <w:left w:val="none" w:sz="0" w:space="0" w:color="000000"/>
                <w:bottom w:val="none" w:sz="0" w:space="0" w:color="000000"/>
                <w:right w:val="none" w:sz="0" w:space="0" w:color="000000"/>
              </w:pBdr>
              <w:spacing w:before="100" w:after="100" w:line="240" w:lineRule="auto"/>
              <w:ind w:left="100" w:right="100"/>
              <w:rPr>
                <w:rFonts w:ascii="Arial" w:eastAsia="Arial" w:hAnsi="Arial" w:cs="Arial"/>
                <w:color w:val="FFFFFF"/>
                <w:sz w:val="16"/>
                <w:szCs w:val="16"/>
              </w:rPr>
            </w:pPr>
            <w:r>
              <w:rPr>
                <w:rFonts w:ascii="Arial" w:eastAsia="Arial" w:hAnsi="Arial" w:cs="Arial"/>
                <w:color w:val="FFFFFF"/>
                <w:sz w:val="16"/>
                <w:szCs w:val="16"/>
              </w:rPr>
              <w:t>Description</w:t>
            </w:r>
          </w:p>
        </w:tc>
        <w:tc>
          <w:tcPr>
            <w:tcW w:w="2880" w:type="dxa"/>
            <w:tcBorders>
              <w:top w:val="single" w:sz="8" w:space="0" w:color="252C65"/>
              <w:left w:val="none" w:sz="0" w:space="0" w:color="000000"/>
              <w:bottom w:val="none" w:sz="0" w:space="0" w:color="000000"/>
              <w:right w:val="none" w:sz="0" w:space="0" w:color="000000"/>
            </w:tcBorders>
            <w:shd w:val="clear" w:color="auto" w:fill="252C65"/>
            <w:tcMar>
              <w:top w:w="0" w:type="dxa"/>
              <w:left w:w="0" w:type="dxa"/>
              <w:bottom w:w="0" w:type="dxa"/>
              <w:right w:w="0" w:type="dxa"/>
            </w:tcMar>
            <w:vAlign w:val="center"/>
          </w:tcPr>
          <w:p w14:paraId="20C68095" w14:textId="77777777" w:rsidR="005879B1" w:rsidRDefault="00A97397">
            <w:pPr>
              <w:pBdr>
                <w:top w:val="none" w:sz="0" w:space="0" w:color="000000"/>
                <w:left w:val="none" w:sz="0" w:space="0" w:color="000000"/>
                <w:bottom w:val="none" w:sz="0" w:space="0" w:color="000000"/>
                <w:right w:val="none" w:sz="0" w:space="0" w:color="000000"/>
              </w:pBdr>
              <w:spacing w:before="100" w:after="100" w:line="240" w:lineRule="auto"/>
              <w:ind w:left="100" w:right="100"/>
              <w:rPr>
                <w:rFonts w:ascii="Arial" w:eastAsia="Arial" w:hAnsi="Arial" w:cs="Arial"/>
                <w:color w:val="FFFFFF"/>
                <w:sz w:val="16"/>
                <w:szCs w:val="16"/>
              </w:rPr>
            </w:pPr>
            <w:r>
              <w:rPr>
                <w:rFonts w:ascii="Arial" w:eastAsia="Arial" w:hAnsi="Arial" w:cs="Arial"/>
                <w:color w:val="FFFFFF"/>
                <w:sz w:val="16"/>
                <w:szCs w:val="16"/>
              </w:rPr>
              <w:t>Example interventions</w:t>
            </w:r>
          </w:p>
        </w:tc>
      </w:tr>
      <w:tr w:rsidR="005879B1" w14:paraId="65F552FE" w14:textId="77777777">
        <w:trPr>
          <w:jc w:val="center"/>
        </w:trPr>
        <w:tc>
          <w:tcPr>
            <w:tcW w:w="1728" w:type="dxa"/>
            <w:tcBorders>
              <w:top w:val="none" w:sz="0" w:space="0" w:color="000000"/>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63E8911" w14:textId="77777777" w:rsidR="005879B1" w:rsidRDefault="00A97397">
            <w:pPr>
              <w:pBdr>
                <w:top w:val="none" w:sz="0" w:space="0" w:color="000000"/>
                <w:left w:val="none" w:sz="0" w:space="0" w:color="000000"/>
                <w:bottom w:val="none" w:sz="0" w:space="0" w:color="000000"/>
                <w:right w:val="none" w:sz="0" w:space="0" w:color="000000"/>
              </w:pBdr>
              <w:spacing w:before="100" w:after="100" w:line="240" w:lineRule="auto"/>
              <w:ind w:left="100" w:right="100"/>
              <w:rPr>
                <w:rFonts w:eastAsia="Verdana" w:cs="Verdana"/>
                <w:color w:val="252C65"/>
                <w:sz w:val="16"/>
                <w:szCs w:val="16"/>
              </w:rPr>
            </w:pPr>
            <w:r>
              <w:rPr>
                <w:rFonts w:eastAsia="Verdana" w:cs="Verdana"/>
                <w:color w:val="252C65"/>
                <w:sz w:val="16"/>
                <w:szCs w:val="16"/>
              </w:rPr>
              <w:t>Activation measures</w:t>
            </w:r>
          </w:p>
        </w:tc>
        <w:tc>
          <w:tcPr>
            <w:tcW w:w="4752" w:type="dxa"/>
            <w:tcBorders>
              <w:top w:val="none" w:sz="0" w:space="0" w:color="000000"/>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81D4BD5" w14:textId="77777777" w:rsidR="005879B1" w:rsidRDefault="00A97397">
            <w:pPr>
              <w:pBdr>
                <w:top w:val="none" w:sz="0" w:space="0" w:color="000000"/>
                <w:left w:val="none" w:sz="0" w:space="0" w:color="000000"/>
                <w:bottom w:val="none" w:sz="0" w:space="0" w:color="000000"/>
                <w:right w:val="none" w:sz="0" w:space="0" w:color="000000"/>
              </w:pBdr>
              <w:spacing w:before="100" w:after="100" w:line="240" w:lineRule="auto"/>
              <w:ind w:left="100" w:right="100"/>
              <w:rPr>
                <w:rFonts w:eastAsia="Verdana" w:cs="Verdana"/>
                <w:color w:val="252C65"/>
                <w:sz w:val="16"/>
                <w:szCs w:val="16"/>
              </w:rPr>
            </w:pPr>
            <w:r>
              <w:rPr>
                <w:rFonts w:eastAsia="Verdana" w:cs="Verdana"/>
                <w:color w:val="252C65"/>
                <w:sz w:val="16"/>
                <w:szCs w:val="16"/>
              </w:rPr>
              <w:t>Activation measures cover programmes and case management techniques designed to maintain job search activities for people expected to move into employment (eg people receiving unemployment related benefits). If people are judged not to be sufficiently engaged in job search then they can have their income support payments reduced or even cancelled.</w:t>
            </w:r>
          </w:p>
        </w:tc>
        <w:tc>
          <w:tcPr>
            <w:tcW w:w="2880" w:type="dxa"/>
            <w:tcBorders>
              <w:top w:val="none" w:sz="0" w:space="0" w:color="000000"/>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6F3118D" w14:textId="77777777" w:rsidR="005879B1" w:rsidRDefault="00A97397">
            <w:pPr>
              <w:pBdr>
                <w:top w:val="none" w:sz="0" w:space="0" w:color="000000"/>
                <w:left w:val="none" w:sz="0" w:space="0" w:color="000000"/>
                <w:bottom w:val="none" w:sz="0" w:space="0" w:color="000000"/>
                <w:right w:val="none" w:sz="0" w:space="0" w:color="000000"/>
              </w:pBdr>
              <w:spacing w:before="100" w:after="100" w:line="240" w:lineRule="auto"/>
              <w:ind w:left="100" w:right="100"/>
              <w:rPr>
                <w:rFonts w:eastAsia="Verdana" w:cs="Verdana"/>
                <w:color w:val="252C65"/>
                <w:sz w:val="16"/>
                <w:szCs w:val="16"/>
              </w:rPr>
            </w:pPr>
            <w:r>
              <w:rPr>
                <w:rFonts w:eastAsia="Verdana" w:cs="Verdana"/>
                <w:color w:val="252C65"/>
                <w:sz w:val="16"/>
                <w:szCs w:val="16"/>
              </w:rPr>
              <w:t>Jobseeker Work Ready 52-week benefit reapplication,</w:t>
            </w:r>
            <w:r>
              <w:rPr>
                <w:rFonts w:eastAsia="Verdana" w:cs="Verdana"/>
                <w:color w:val="252C65"/>
                <w:sz w:val="16"/>
                <w:szCs w:val="16"/>
              </w:rPr>
              <w:br/>
              <w:t>Work Obligations,</w:t>
            </w:r>
            <w:r>
              <w:rPr>
                <w:rFonts w:eastAsia="Verdana" w:cs="Verdana"/>
                <w:color w:val="252C65"/>
                <w:sz w:val="16"/>
                <w:szCs w:val="16"/>
              </w:rPr>
              <w:br/>
              <w:t>Pre-employment drug testing</w:t>
            </w:r>
          </w:p>
        </w:tc>
      </w:tr>
      <w:tr w:rsidR="005879B1" w14:paraId="609A8231" w14:textId="77777777">
        <w:trPr>
          <w:jc w:val="center"/>
        </w:trPr>
        <w:tc>
          <w:tcPr>
            <w:tcW w:w="1728"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F7DD562" w14:textId="77777777" w:rsidR="005879B1" w:rsidRDefault="00A97397">
            <w:pPr>
              <w:pBdr>
                <w:top w:val="none" w:sz="0" w:space="0" w:color="000000"/>
                <w:left w:val="none" w:sz="0" w:space="0" w:color="000000"/>
                <w:bottom w:val="none" w:sz="0" w:space="0" w:color="000000"/>
                <w:right w:val="none" w:sz="0" w:space="0" w:color="000000"/>
              </w:pBdr>
              <w:spacing w:before="100" w:after="100" w:line="240" w:lineRule="auto"/>
              <w:ind w:left="100" w:right="100"/>
              <w:rPr>
                <w:rFonts w:eastAsia="Verdana" w:cs="Verdana"/>
                <w:color w:val="252C65"/>
                <w:sz w:val="16"/>
                <w:szCs w:val="16"/>
              </w:rPr>
            </w:pPr>
            <w:r>
              <w:rPr>
                <w:rFonts w:eastAsia="Verdana" w:cs="Verdana"/>
                <w:color w:val="252C65"/>
                <w:sz w:val="16"/>
                <w:szCs w:val="16"/>
              </w:rPr>
              <w:t>Work confidence</w:t>
            </w:r>
          </w:p>
        </w:tc>
        <w:tc>
          <w:tcPr>
            <w:tcW w:w="4752"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96FD4C9" w14:textId="77777777" w:rsidR="005879B1" w:rsidRDefault="00A97397">
            <w:pPr>
              <w:pBdr>
                <w:top w:val="none" w:sz="0" w:space="0" w:color="000000"/>
                <w:left w:val="none" w:sz="0" w:space="0" w:color="000000"/>
                <w:bottom w:val="none" w:sz="0" w:space="0" w:color="000000"/>
                <w:right w:val="none" w:sz="0" w:space="0" w:color="000000"/>
              </w:pBdr>
              <w:spacing w:before="100" w:after="100" w:line="240" w:lineRule="auto"/>
              <w:ind w:left="100" w:right="100"/>
              <w:rPr>
                <w:rFonts w:eastAsia="Verdana" w:cs="Verdana"/>
                <w:color w:val="252C65"/>
                <w:sz w:val="16"/>
                <w:szCs w:val="16"/>
              </w:rPr>
            </w:pPr>
            <w:r>
              <w:rPr>
                <w:rFonts w:eastAsia="Verdana" w:cs="Verdana"/>
                <w:color w:val="252C65"/>
                <w:sz w:val="16"/>
                <w:szCs w:val="16"/>
              </w:rPr>
              <w:t>Programmes designed to encourage and motivate people to have the confidence to begin to move into either employment or further study.</w:t>
            </w:r>
          </w:p>
        </w:tc>
        <w:tc>
          <w:tcPr>
            <w:tcW w:w="28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243081A" w14:textId="77777777" w:rsidR="005879B1" w:rsidRDefault="00A97397">
            <w:pPr>
              <w:pBdr>
                <w:top w:val="none" w:sz="0" w:space="0" w:color="000000"/>
                <w:left w:val="none" w:sz="0" w:space="0" w:color="000000"/>
                <w:bottom w:val="none" w:sz="0" w:space="0" w:color="000000"/>
                <w:right w:val="none" w:sz="0" w:space="0" w:color="000000"/>
              </w:pBdr>
              <w:spacing w:before="100" w:after="100" w:line="240" w:lineRule="auto"/>
              <w:ind w:left="100" w:right="100"/>
              <w:rPr>
                <w:rFonts w:eastAsia="Verdana" w:cs="Verdana"/>
                <w:color w:val="252C65"/>
                <w:sz w:val="16"/>
                <w:szCs w:val="16"/>
              </w:rPr>
            </w:pPr>
            <w:r>
              <w:rPr>
                <w:rFonts w:eastAsia="Verdana" w:cs="Verdana"/>
                <w:color w:val="252C65"/>
                <w:sz w:val="16"/>
                <w:szCs w:val="16"/>
              </w:rPr>
              <w:t>Limited Services Volunteer,</w:t>
            </w:r>
            <w:r>
              <w:rPr>
                <w:rFonts w:eastAsia="Verdana" w:cs="Verdana"/>
                <w:color w:val="252C65"/>
                <w:sz w:val="16"/>
                <w:szCs w:val="16"/>
              </w:rPr>
              <w:br/>
              <w:t>Outward Bound</w:t>
            </w:r>
          </w:p>
        </w:tc>
      </w:tr>
      <w:tr w:rsidR="005879B1" w14:paraId="0AF5CD14" w14:textId="77777777">
        <w:trPr>
          <w:jc w:val="center"/>
        </w:trPr>
        <w:tc>
          <w:tcPr>
            <w:tcW w:w="1728"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2818D36" w14:textId="77777777" w:rsidR="005879B1" w:rsidRDefault="00A97397">
            <w:pPr>
              <w:pBdr>
                <w:top w:val="none" w:sz="0" w:space="0" w:color="000000"/>
                <w:left w:val="none" w:sz="0" w:space="0" w:color="000000"/>
                <w:bottom w:val="none" w:sz="0" w:space="0" w:color="000000"/>
                <w:right w:val="none" w:sz="0" w:space="0" w:color="000000"/>
              </w:pBdr>
              <w:spacing w:before="100" w:after="100" w:line="240" w:lineRule="auto"/>
              <w:ind w:left="100" w:right="100"/>
              <w:rPr>
                <w:rFonts w:eastAsia="Verdana" w:cs="Verdana"/>
                <w:color w:val="252C65"/>
                <w:sz w:val="16"/>
                <w:szCs w:val="16"/>
              </w:rPr>
            </w:pPr>
            <w:r>
              <w:rPr>
                <w:rFonts w:eastAsia="Verdana" w:cs="Verdana"/>
                <w:color w:val="252C65"/>
                <w:sz w:val="16"/>
                <w:szCs w:val="16"/>
              </w:rPr>
              <w:t>Case management</w:t>
            </w:r>
          </w:p>
        </w:tc>
        <w:tc>
          <w:tcPr>
            <w:tcW w:w="4752"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F132150" w14:textId="77777777" w:rsidR="005879B1" w:rsidRDefault="00A97397">
            <w:pPr>
              <w:pBdr>
                <w:top w:val="none" w:sz="0" w:space="0" w:color="000000"/>
                <w:left w:val="none" w:sz="0" w:space="0" w:color="000000"/>
                <w:bottom w:val="none" w:sz="0" w:space="0" w:color="000000"/>
                <w:right w:val="none" w:sz="0" w:space="0" w:color="000000"/>
              </w:pBdr>
              <w:spacing w:before="100" w:after="100" w:line="240" w:lineRule="auto"/>
              <w:ind w:left="100" w:right="100"/>
              <w:rPr>
                <w:rFonts w:eastAsia="Verdana" w:cs="Verdana"/>
                <w:color w:val="252C65"/>
                <w:sz w:val="16"/>
                <w:szCs w:val="16"/>
              </w:rPr>
            </w:pPr>
            <w:r>
              <w:rPr>
                <w:rFonts w:eastAsia="Verdana" w:cs="Verdana"/>
                <w:color w:val="252C65"/>
                <w:sz w:val="16"/>
                <w:szCs w:val="16"/>
              </w:rPr>
              <w:t>One-to-one meetings with a case manager to discuss and plan on how they will move back into employment. Case management can be either in-house or contracted to an external provider.</w:t>
            </w:r>
          </w:p>
        </w:tc>
        <w:tc>
          <w:tcPr>
            <w:tcW w:w="28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BF1EBF3" w14:textId="77777777" w:rsidR="005879B1" w:rsidRDefault="00A97397">
            <w:pPr>
              <w:pBdr>
                <w:top w:val="none" w:sz="0" w:space="0" w:color="000000"/>
                <w:left w:val="none" w:sz="0" w:space="0" w:color="000000"/>
                <w:bottom w:val="none" w:sz="0" w:space="0" w:color="000000"/>
                <w:right w:val="none" w:sz="0" w:space="0" w:color="000000"/>
              </w:pBdr>
              <w:spacing w:before="100" w:after="100" w:line="240" w:lineRule="auto"/>
              <w:ind w:left="100" w:right="100"/>
              <w:rPr>
                <w:rFonts w:eastAsia="Verdana" w:cs="Verdana"/>
                <w:color w:val="252C65"/>
                <w:sz w:val="16"/>
                <w:szCs w:val="16"/>
              </w:rPr>
            </w:pPr>
            <w:r>
              <w:rPr>
                <w:rFonts w:eastAsia="Verdana" w:cs="Verdana"/>
                <w:color w:val="252C65"/>
                <w:sz w:val="16"/>
                <w:szCs w:val="16"/>
              </w:rPr>
              <w:t>Phone-based case management,</w:t>
            </w:r>
            <w:r>
              <w:rPr>
                <w:rFonts w:eastAsia="Verdana" w:cs="Verdana"/>
                <w:color w:val="252C65"/>
                <w:sz w:val="16"/>
                <w:szCs w:val="16"/>
              </w:rPr>
              <w:br/>
              <w:t>Work to Wellness</w:t>
            </w:r>
          </w:p>
        </w:tc>
      </w:tr>
      <w:tr w:rsidR="005879B1" w14:paraId="2D62FB08" w14:textId="77777777">
        <w:trPr>
          <w:jc w:val="center"/>
        </w:trPr>
        <w:tc>
          <w:tcPr>
            <w:tcW w:w="1728"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2C93F3A" w14:textId="77777777" w:rsidR="005879B1" w:rsidRDefault="00A97397">
            <w:pPr>
              <w:pBdr>
                <w:top w:val="none" w:sz="0" w:space="0" w:color="000000"/>
                <w:left w:val="none" w:sz="0" w:space="0" w:color="000000"/>
                <w:bottom w:val="none" w:sz="0" w:space="0" w:color="000000"/>
                <w:right w:val="none" w:sz="0" w:space="0" w:color="000000"/>
              </w:pBdr>
              <w:spacing w:before="100" w:after="100" w:line="240" w:lineRule="auto"/>
              <w:ind w:left="100" w:right="100"/>
              <w:rPr>
                <w:rFonts w:eastAsia="Verdana" w:cs="Verdana"/>
                <w:color w:val="252C65"/>
                <w:sz w:val="16"/>
                <w:szCs w:val="16"/>
              </w:rPr>
            </w:pPr>
            <w:r>
              <w:rPr>
                <w:rFonts w:eastAsia="Verdana" w:cs="Verdana"/>
                <w:color w:val="252C65"/>
                <w:sz w:val="16"/>
                <w:szCs w:val="16"/>
              </w:rPr>
              <w:t>Career advice /Information Services</w:t>
            </w:r>
          </w:p>
        </w:tc>
        <w:tc>
          <w:tcPr>
            <w:tcW w:w="4752"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D8B4812" w14:textId="77777777" w:rsidR="005879B1" w:rsidRDefault="00A97397">
            <w:pPr>
              <w:pBdr>
                <w:top w:val="none" w:sz="0" w:space="0" w:color="000000"/>
                <w:left w:val="none" w:sz="0" w:space="0" w:color="000000"/>
                <w:bottom w:val="none" w:sz="0" w:space="0" w:color="000000"/>
                <w:right w:val="none" w:sz="0" w:space="0" w:color="000000"/>
              </w:pBdr>
              <w:spacing w:before="100" w:after="100" w:line="240" w:lineRule="auto"/>
              <w:ind w:left="100" w:right="100"/>
              <w:rPr>
                <w:rFonts w:eastAsia="Verdana" w:cs="Verdana"/>
                <w:color w:val="252C65"/>
                <w:sz w:val="16"/>
                <w:szCs w:val="16"/>
              </w:rPr>
            </w:pPr>
            <w:r>
              <w:rPr>
                <w:rFonts w:eastAsia="Verdana" w:cs="Verdana"/>
                <w:color w:val="252C65"/>
                <w:sz w:val="16"/>
                <w:szCs w:val="16"/>
              </w:rPr>
              <w:t>Career advice and counselling is a standard service provided by public employment services to help jobseekers make informed decisions about their current and future employment choices.</w:t>
            </w:r>
          </w:p>
        </w:tc>
        <w:tc>
          <w:tcPr>
            <w:tcW w:w="28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358B6A0" w14:textId="77777777" w:rsidR="005879B1" w:rsidRDefault="00A97397">
            <w:pPr>
              <w:pBdr>
                <w:top w:val="none" w:sz="0" w:space="0" w:color="000000"/>
                <w:left w:val="none" w:sz="0" w:space="0" w:color="000000"/>
                <w:bottom w:val="none" w:sz="0" w:space="0" w:color="000000"/>
                <w:right w:val="none" w:sz="0" w:space="0" w:color="000000"/>
              </w:pBdr>
              <w:spacing w:before="100" w:after="100" w:line="240" w:lineRule="auto"/>
              <w:ind w:left="100" w:right="100"/>
              <w:rPr>
                <w:rFonts w:eastAsia="Verdana" w:cs="Verdana"/>
                <w:color w:val="252C65"/>
                <w:sz w:val="16"/>
                <w:szCs w:val="16"/>
              </w:rPr>
            </w:pPr>
            <w:r>
              <w:rPr>
                <w:rFonts w:eastAsia="Verdana" w:cs="Verdana"/>
                <w:color w:val="252C65"/>
                <w:sz w:val="16"/>
                <w:szCs w:val="16"/>
              </w:rPr>
              <w:t>Careers Guidance and Counselling</w:t>
            </w:r>
          </w:p>
        </w:tc>
      </w:tr>
      <w:tr w:rsidR="005879B1" w14:paraId="01DC0614" w14:textId="77777777">
        <w:trPr>
          <w:jc w:val="center"/>
        </w:trPr>
        <w:tc>
          <w:tcPr>
            <w:tcW w:w="1728"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94532C1" w14:textId="77777777" w:rsidR="005879B1" w:rsidRDefault="00A97397">
            <w:pPr>
              <w:pBdr>
                <w:top w:val="none" w:sz="0" w:space="0" w:color="000000"/>
                <w:left w:val="none" w:sz="0" w:space="0" w:color="000000"/>
                <w:bottom w:val="none" w:sz="0" w:space="0" w:color="000000"/>
                <w:right w:val="none" w:sz="0" w:space="0" w:color="000000"/>
              </w:pBdr>
              <w:spacing w:before="100" w:after="100" w:line="240" w:lineRule="auto"/>
              <w:ind w:left="100" w:right="100"/>
              <w:rPr>
                <w:rFonts w:eastAsia="Verdana" w:cs="Verdana"/>
                <w:color w:val="252C65"/>
                <w:sz w:val="16"/>
                <w:szCs w:val="16"/>
              </w:rPr>
            </w:pPr>
            <w:r>
              <w:rPr>
                <w:rFonts w:eastAsia="Verdana" w:cs="Verdana"/>
                <w:color w:val="252C65"/>
                <w:sz w:val="16"/>
                <w:szCs w:val="16"/>
              </w:rPr>
              <w:t>Health Interventions</w:t>
            </w:r>
          </w:p>
        </w:tc>
        <w:tc>
          <w:tcPr>
            <w:tcW w:w="4752"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EB8EF93" w14:textId="77777777" w:rsidR="005879B1" w:rsidRDefault="00A97397">
            <w:pPr>
              <w:pBdr>
                <w:top w:val="none" w:sz="0" w:space="0" w:color="000000"/>
                <w:left w:val="none" w:sz="0" w:space="0" w:color="000000"/>
                <w:bottom w:val="none" w:sz="0" w:space="0" w:color="000000"/>
                <w:right w:val="none" w:sz="0" w:space="0" w:color="000000"/>
              </w:pBdr>
              <w:spacing w:before="100" w:after="100" w:line="240" w:lineRule="auto"/>
              <w:ind w:left="100" w:right="100"/>
              <w:rPr>
                <w:rFonts w:eastAsia="Verdana" w:cs="Verdana"/>
                <w:color w:val="252C65"/>
                <w:sz w:val="16"/>
                <w:szCs w:val="16"/>
              </w:rPr>
            </w:pPr>
            <w:r>
              <w:rPr>
                <w:rFonts w:eastAsia="Verdana" w:cs="Verdana"/>
                <w:color w:val="252C65"/>
                <w:sz w:val="16"/>
                <w:szCs w:val="16"/>
              </w:rPr>
              <w:t>Providing employment-focused health interventions (including integrated employment support and health care) to support people to improve their health and wellbeing and enable them to remain in, prepare for, or move into suitable employment.</w:t>
            </w:r>
          </w:p>
        </w:tc>
        <w:tc>
          <w:tcPr>
            <w:tcW w:w="28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7CBD5F6" w14:textId="77777777" w:rsidR="005879B1" w:rsidRDefault="00A97397">
            <w:pPr>
              <w:pBdr>
                <w:top w:val="none" w:sz="0" w:space="0" w:color="000000"/>
                <w:left w:val="none" w:sz="0" w:space="0" w:color="000000"/>
                <w:bottom w:val="none" w:sz="0" w:space="0" w:color="000000"/>
                <w:right w:val="none" w:sz="0" w:space="0" w:color="000000"/>
              </w:pBdr>
              <w:spacing w:before="100" w:after="100" w:line="240" w:lineRule="auto"/>
              <w:ind w:left="100" w:right="100"/>
              <w:rPr>
                <w:rFonts w:eastAsia="Verdana" w:cs="Verdana"/>
                <w:color w:val="252C65"/>
                <w:sz w:val="16"/>
                <w:szCs w:val="16"/>
              </w:rPr>
            </w:pPr>
            <w:r>
              <w:rPr>
                <w:rFonts w:eastAsia="Verdana" w:cs="Verdana"/>
                <w:color w:val="252C65"/>
                <w:sz w:val="16"/>
                <w:szCs w:val="16"/>
              </w:rPr>
              <w:t>Individual Placement and Support (IPS),</w:t>
            </w:r>
            <w:r>
              <w:rPr>
                <w:rFonts w:eastAsia="Verdana" w:cs="Verdana"/>
                <w:color w:val="252C65"/>
                <w:sz w:val="16"/>
                <w:szCs w:val="16"/>
              </w:rPr>
              <w:br/>
              <w:t>Oranga Mahi services</w:t>
            </w:r>
          </w:p>
        </w:tc>
      </w:tr>
      <w:tr w:rsidR="005879B1" w14:paraId="0B4845F9" w14:textId="77777777">
        <w:trPr>
          <w:jc w:val="center"/>
        </w:trPr>
        <w:tc>
          <w:tcPr>
            <w:tcW w:w="1728"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0E1DA38" w14:textId="77777777" w:rsidR="005879B1" w:rsidRDefault="00A97397">
            <w:pPr>
              <w:pBdr>
                <w:top w:val="none" w:sz="0" w:space="0" w:color="000000"/>
                <w:left w:val="none" w:sz="0" w:space="0" w:color="000000"/>
                <w:bottom w:val="none" w:sz="0" w:space="0" w:color="000000"/>
                <w:right w:val="none" w:sz="0" w:space="0" w:color="000000"/>
              </w:pBdr>
              <w:spacing w:before="100" w:after="100" w:line="240" w:lineRule="auto"/>
              <w:ind w:left="100" w:right="100"/>
              <w:rPr>
                <w:rFonts w:eastAsia="Verdana" w:cs="Verdana"/>
                <w:color w:val="252C65"/>
                <w:sz w:val="16"/>
                <w:szCs w:val="16"/>
              </w:rPr>
            </w:pPr>
            <w:r>
              <w:rPr>
                <w:rFonts w:eastAsia="Verdana" w:cs="Verdana"/>
                <w:color w:val="252C65"/>
                <w:sz w:val="16"/>
                <w:szCs w:val="16"/>
              </w:rPr>
              <w:t>Training (contracted)</w:t>
            </w:r>
          </w:p>
        </w:tc>
        <w:tc>
          <w:tcPr>
            <w:tcW w:w="4752"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37D95F3" w14:textId="77777777" w:rsidR="005879B1" w:rsidRDefault="00A97397">
            <w:pPr>
              <w:pBdr>
                <w:top w:val="none" w:sz="0" w:space="0" w:color="000000"/>
                <w:left w:val="none" w:sz="0" w:space="0" w:color="000000"/>
                <w:bottom w:val="none" w:sz="0" w:space="0" w:color="000000"/>
                <w:right w:val="none" w:sz="0" w:space="0" w:color="000000"/>
              </w:pBdr>
              <w:spacing w:before="100" w:after="100" w:line="240" w:lineRule="auto"/>
              <w:ind w:left="100" w:right="100"/>
              <w:rPr>
                <w:rFonts w:eastAsia="Verdana" w:cs="Verdana"/>
                <w:color w:val="252C65"/>
                <w:sz w:val="16"/>
                <w:szCs w:val="16"/>
              </w:rPr>
            </w:pPr>
            <w:r>
              <w:rPr>
                <w:rFonts w:eastAsia="Verdana" w:cs="Verdana"/>
                <w:color w:val="252C65"/>
                <w:sz w:val="16"/>
                <w:szCs w:val="16"/>
              </w:rPr>
              <w:t>Contracted training programmes aim to increase the foundational and vocational skills of participants to enable them to compete in the labour market.</w:t>
            </w:r>
          </w:p>
        </w:tc>
        <w:tc>
          <w:tcPr>
            <w:tcW w:w="28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3EE6292" w14:textId="77777777" w:rsidR="005879B1" w:rsidRDefault="00A97397">
            <w:pPr>
              <w:pBdr>
                <w:top w:val="none" w:sz="0" w:space="0" w:color="000000"/>
                <w:left w:val="none" w:sz="0" w:space="0" w:color="000000"/>
                <w:bottom w:val="none" w:sz="0" w:space="0" w:color="000000"/>
                <w:right w:val="none" w:sz="0" w:space="0" w:color="000000"/>
              </w:pBdr>
              <w:spacing w:before="100" w:after="100" w:line="240" w:lineRule="auto"/>
              <w:ind w:left="100" w:right="100"/>
              <w:rPr>
                <w:rFonts w:eastAsia="Verdana" w:cs="Verdana"/>
                <w:color w:val="252C65"/>
                <w:sz w:val="16"/>
                <w:szCs w:val="16"/>
              </w:rPr>
            </w:pPr>
            <w:r>
              <w:rPr>
                <w:rFonts w:eastAsia="Verdana" w:cs="Verdana"/>
                <w:color w:val="252C65"/>
                <w:sz w:val="16"/>
                <w:szCs w:val="16"/>
              </w:rPr>
              <w:t>Training for Work,</w:t>
            </w:r>
            <w:r>
              <w:rPr>
                <w:rFonts w:eastAsia="Verdana" w:cs="Verdana"/>
                <w:color w:val="252C65"/>
                <w:sz w:val="16"/>
                <w:szCs w:val="16"/>
              </w:rPr>
              <w:br/>
              <w:t>Driver licence programmes</w:t>
            </w:r>
          </w:p>
        </w:tc>
      </w:tr>
      <w:tr w:rsidR="005879B1" w14:paraId="6E2676B3" w14:textId="77777777">
        <w:trPr>
          <w:jc w:val="center"/>
        </w:trPr>
        <w:tc>
          <w:tcPr>
            <w:tcW w:w="1728"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EB10725" w14:textId="77777777" w:rsidR="005879B1" w:rsidRDefault="00A97397">
            <w:pPr>
              <w:pBdr>
                <w:top w:val="none" w:sz="0" w:space="0" w:color="000000"/>
                <w:left w:val="none" w:sz="0" w:space="0" w:color="000000"/>
                <w:bottom w:val="none" w:sz="0" w:space="0" w:color="000000"/>
                <w:right w:val="none" w:sz="0" w:space="0" w:color="000000"/>
              </w:pBdr>
              <w:spacing w:before="100" w:after="100" w:line="240" w:lineRule="auto"/>
              <w:ind w:left="100" w:right="100"/>
              <w:rPr>
                <w:rFonts w:eastAsia="Verdana" w:cs="Verdana"/>
                <w:color w:val="252C65"/>
                <w:sz w:val="16"/>
                <w:szCs w:val="16"/>
              </w:rPr>
            </w:pPr>
            <w:r>
              <w:rPr>
                <w:rFonts w:eastAsia="Verdana" w:cs="Verdana"/>
                <w:color w:val="252C65"/>
                <w:sz w:val="16"/>
                <w:szCs w:val="16"/>
              </w:rPr>
              <w:t>Training (financial)</w:t>
            </w:r>
          </w:p>
        </w:tc>
        <w:tc>
          <w:tcPr>
            <w:tcW w:w="4752"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86BFE4B" w14:textId="77777777" w:rsidR="005879B1" w:rsidRDefault="00A97397">
            <w:pPr>
              <w:pBdr>
                <w:top w:val="none" w:sz="0" w:space="0" w:color="000000"/>
                <w:left w:val="none" w:sz="0" w:space="0" w:color="000000"/>
                <w:bottom w:val="none" w:sz="0" w:space="0" w:color="000000"/>
                <w:right w:val="none" w:sz="0" w:space="0" w:color="000000"/>
              </w:pBdr>
              <w:spacing w:before="100" w:after="100" w:line="240" w:lineRule="auto"/>
              <w:ind w:left="100" w:right="100"/>
              <w:rPr>
                <w:rFonts w:eastAsia="Verdana" w:cs="Verdana"/>
                <w:color w:val="252C65"/>
                <w:sz w:val="16"/>
                <w:szCs w:val="16"/>
              </w:rPr>
            </w:pPr>
            <w:r>
              <w:rPr>
                <w:rFonts w:eastAsia="Verdana" w:cs="Verdana"/>
                <w:color w:val="252C65"/>
                <w:sz w:val="16"/>
                <w:szCs w:val="16"/>
              </w:rPr>
              <w:t>Financial assistance to help people access education and training programmes.</w:t>
            </w:r>
          </w:p>
        </w:tc>
        <w:tc>
          <w:tcPr>
            <w:tcW w:w="28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20753CC" w14:textId="77777777" w:rsidR="005879B1" w:rsidRDefault="00A97397">
            <w:pPr>
              <w:pBdr>
                <w:top w:val="none" w:sz="0" w:space="0" w:color="000000"/>
                <w:left w:val="none" w:sz="0" w:space="0" w:color="000000"/>
                <w:bottom w:val="none" w:sz="0" w:space="0" w:color="000000"/>
                <w:right w:val="none" w:sz="0" w:space="0" w:color="000000"/>
              </w:pBdr>
              <w:spacing w:before="100" w:after="100" w:line="240" w:lineRule="auto"/>
              <w:ind w:left="100" w:right="100"/>
              <w:rPr>
                <w:rFonts w:eastAsia="Verdana" w:cs="Verdana"/>
                <w:color w:val="252C65"/>
                <w:sz w:val="16"/>
                <w:szCs w:val="16"/>
              </w:rPr>
            </w:pPr>
            <w:r>
              <w:rPr>
                <w:rFonts w:eastAsia="Verdana" w:cs="Verdana"/>
                <w:color w:val="252C65"/>
                <w:sz w:val="16"/>
                <w:szCs w:val="16"/>
              </w:rPr>
              <w:t>Training Incentive Allowance</w:t>
            </w:r>
          </w:p>
        </w:tc>
      </w:tr>
      <w:tr w:rsidR="005879B1" w14:paraId="2E65DE68" w14:textId="77777777">
        <w:trPr>
          <w:jc w:val="center"/>
        </w:trPr>
        <w:tc>
          <w:tcPr>
            <w:tcW w:w="1728"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4A496B5" w14:textId="77777777" w:rsidR="005879B1" w:rsidRDefault="00A97397">
            <w:pPr>
              <w:pBdr>
                <w:top w:val="none" w:sz="0" w:space="0" w:color="000000"/>
                <w:left w:val="none" w:sz="0" w:space="0" w:color="000000"/>
                <w:bottom w:val="none" w:sz="0" w:space="0" w:color="000000"/>
                <w:right w:val="none" w:sz="0" w:space="0" w:color="000000"/>
              </w:pBdr>
              <w:spacing w:before="100" w:after="100" w:line="240" w:lineRule="auto"/>
              <w:ind w:left="100" w:right="100"/>
              <w:rPr>
                <w:rFonts w:eastAsia="Verdana" w:cs="Verdana"/>
                <w:color w:val="252C65"/>
                <w:sz w:val="16"/>
                <w:szCs w:val="16"/>
              </w:rPr>
            </w:pPr>
            <w:r>
              <w:rPr>
                <w:rFonts w:eastAsia="Verdana" w:cs="Verdana"/>
                <w:color w:val="252C65"/>
                <w:sz w:val="16"/>
                <w:szCs w:val="16"/>
              </w:rPr>
              <w:t>Work experience</w:t>
            </w:r>
          </w:p>
        </w:tc>
        <w:tc>
          <w:tcPr>
            <w:tcW w:w="4752"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9367AE4" w14:textId="77777777" w:rsidR="005879B1" w:rsidRDefault="00A97397">
            <w:pPr>
              <w:pBdr>
                <w:top w:val="none" w:sz="0" w:space="0" w:color="000000"/>
                <w:left w:val="none" w:sz="0" w:space="0" w:color="000000"/>
                <w:bottom w:val="none" w:sz="0" w:space="0" w:color="000000"/>
                <w:right w:val="none" w:sz="0" w:space="0" w:color="000000"/>
              </w:pBdr>
              <w:spacing w:before="100" w:after="100" w:line="240" w:lineRule="auto"/>
              <w:ind w:left="100" w:right="100"/>
              <w:rPr>
                <w:rFonts w:eastAsia="Verdana" w:cs="Verdana"/>
                <w:color w:val="252C65"/>
                <w:sz w:val="16"/>
                <w:szCs w:val="16"/>
              </w:rPr>
            </w:pPr>
            <w:r>
              <w:rPr>
                <w:rFonts w:eastAsia="Verdana" w:cs="Verdana"/>
                <w:color w:val="252C65"/>
                <w:sz w:val="16"/>
                <w:szCs w:val="16"/>
              </w:rPr>
              <w:t>Provide people with work experience either with a private sector employer or through placements with not-for-profit organisations to help in social or environmental projects.</w:t>
            </w:r>
          </w:p>
        </w:tc>
        <w:tc>
          <w:tcPr>
            <w:tcW w:w="28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A154E33" w14:textId="77777777" w:rsidR="005879B1" w:rsidRDefault="00A97397">
            <w:pPr>
              <w:pBdr>
                <w:top w:val="none" w:sz="0" w:space="0" w:color="000000"/>
                <w:left w:val="none" w:sz="0" w:space="0" w:color="000000"/>
                <w:bottom w:val="none" w:sz="0" w:space="0" w:color="000000"/>
                <w:right w:val="none" w:sz="0" w:space="0" w:color="000000"/>
              </w:pBdr>
              <w:spacing w:before="100" w:after="100" w:line="240" w:lineRule="auto"/>
              <w:ind w:left="100" w:right="100"/>
              <w:rPr>
                <w:rFonts w:eastAsia="Verdana" w:cs="Verdana"/>
                <w:color w:val="252C65"/>
                <w:sz w:val="16"/>
                <w:szCs w:val="16"/>
              </w:rPr>
            </w:pPr>
            <w:r>
              <w:rPr>
                <w:rFonts w:eastAsia="Verdana" w:cs="Verdana"/>
                <w:color w:val="252C65"/>
                <w:sz w:val="16"/>
                <w:szCs w:val="16"/>
              </w:rPr>
              <w:t>Mainstream Employment Programme,</w:t>
            </w:r>
            <w:r>
              <w:rPr>
                <w:rFonts w:eastAsia="Verdana" w:cs="Verdana"/>
                <w:color w:val="252C65"/>
                <w:sz w:val="16"/>
                <w:szCs w:val="16"/>
              </w:rPr>
              <w:br/>
              <w:t>Activity in the Community,</w:t>
            </w:r>
            <w:r>
              <w:rPr>
                <w:rFonts w:eastAsia="Verdana" w:cs="Verdana"/>
                <w:color w:val="252C65"/>
                <w:sz w:val="16"/>
                <w:szCs w:val="16"/>
              </w:rPr>
              <w:br/>
              <w:t>Flexi-wage Project in the Community</w:t>
            </w:r>
          </w:p>
        </w:tc>
      </w:tr>
      <w:tr w:rsidR="005879B1" w14:paraId="7CD93D08" w14:textId="77777777">
        <w:trPr>
          <w:jc w:val="center"/>
        </w:trPr>
        <w:tc>
          <w:tcPr>
            <w:tcW w:w="1728"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5121A7E" w14:textId="77777777" w:rsidR="005879B1" w:rsidRDefault="00A97397">
            <w:pPr>
              <w:pBdr>
                <w:top w:val="none" w:sz="0" w:space="0" w:color="000000"/>
                <w:left w:val="none" w:sz="0" w:space="0" w:color="000000"/>
                <w:bottom w:val="none" w:sz="0" w:space="0" w:color="000000"/>
                <w:right w:val="none" w:sz="0" w:space="0" w:color="000000"/>
              </w:pBdr>
              <w:spacing w:before="100" w:after="100" w:line="240" w:lineRule="auto"/>
              <w:ind w:left="100" w:right="100"/>
              <w:rPr>
                <w:rFonts w:eastAsia="Verdana" w:cs="Verdana"/>
                <w:color w:val="252C65"/>
                <w:sz w:val="16"/>
                <w:szCs w:val="16"/>
              </w:rPr>
            </w:pPr>
            <w:r>
              <w:rPr>
                <w:rFonts w:eastAsia="Verdana" w:cs="Verdana"/>
                <w:color w:val="252C65"/>
                <w:sz w:val="16"/>
                <w:szCs w:val="16"/>
              </w:rPr>
              <w:t>Job search assistance</w:t>
            </w:r>
          </w:p>
        </w:tc>
        <w:tc>
          <w:tcPr>
            <w:tcW w:w="4752"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28F1E06" w14:textId="77777777" w:rsidR="005879B1" w:rsidRDefault="00A97397">
            <w:pPr>
              <w:pBdr>
                <w:top w:val="none" w:sz="0" w:space="0" w:color="000000"/>
                <w:left w:val="none" w:sz="0" w:space="0" w:color="000000"/>
                <w:bottom w:val="none" w:sz="0" w:space="0" w:color="000000"/>
                <w:right w:val="none" w:sz="0" w:space="0" w:color="000000"/>
              </w:pBdr>
              <w:spacing w:before="100" w:after="100" w:line="240" w:lineRule="auto"/>
              <w:ind w:left="100" w:right="100"/>
              <w:rPr>
                <w:rFonts w:eastAsia="Verdana" w:cs="Verdana"/>
                <w:color w:val="252C65"/>
                <w:sz w:val="16"/>
                <w:szCs w:val="16"/>
              </w:rPr>
            </w:pPr>
            <w:r>
              <w:rPr>
                <w:rFonts w:eastAsia="Verdana" w:cs="Verdana"/>
                <w:color w:val="252C65"/>
                <w:sz w:val="16"/>
                <w:szCs w:val="16"/>
              </w:rPr>
              <w:t>Seminars and job clubs designed to provide jobseekers with the skills to look for work (eg searching for job leads, CV and applications and interview skills) and to provide peer support to maintain motivation.</w:t>
            </w:r>
          </w:p>
        </w:tc>
        <w:tc>
          <w:tcPr>
            <w:tcW w:w="28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77FCC9B" w14:textId="77777777" w:rsidR="005879B1" w:rsidRDefault="00A97397">
            <w:pPr>
              <w:pBdr>
                <w:top w:val="none" w:sz="0" w:space="0" w:color="000000"/>
                <w:left w:val="none" w:sz="0" w:space="0" w:color="000000"/>
                <w:bottom w:val="none" w:sz="0" w:space="0" w:color="000000"/>
                <w:right w:val="none" w:sz="0" w:space="0" w:color="000000"/>
              </w:pBdr>
              <w:spacing w:before="100" w:after="100" w:line="240" w:lineRule="auto"/>
              <w:ind w:left="100" w:right="100"/>
              <w:rPr>
                <w:rFonts w:eastAsia="Verdana" w:cs="Verdana"/>
                <w:color w:val="252C65"/>
                <w:sz w:val="16"/>
                <w:szCs w:val="16"/>
              </w:rPr>
            </w:pPr>
            <w:r>
              <w:rPr>
                <w:rFonts w:eastAsia="Verdana" w:cs="Verdana"/>
                <w:color w:val="252C65"/>
                <w:sz w:val="16"/>
                <w:szCs w:val="16"/>
              </w:rPr>
              <w:t>Work Search Support</w:t>
            </w:r>
          </w:p>
        </w:tc>
      </w:tr>
      <w:tr w:rsidR="005879B1" w14:paraId="7D67556E" w14:textId="77777777">
        <w:trPr>
          <w:jc w:val="center"/>
        </w:trPr>
        <w:tc>
          <w:tcPr>
            <w:tcW w:w="1728"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5075D4F" w14:textId="77777777" w:rsidR="005879B1" w:rsidRDefault="00A97397">
            <w:pPr>
              <w:pBdr>
                <w:top w:val="none" w:sz="0" w:space="0" w:color="000000"/>
                <w:left w:val="none" w:sz="0" w:space="0" w:color="000000"/>
                <w:bottom w:val="none" w:sz="0" w:space="0" w:color="000000"/>
                <w:right w:val="none" w:sz="0" w:space="0" w:color="000000"/>
              </w:pBdr>
              <w:spacing w:before="100" w:after="100" w:line="240" w:lineRule="auto"/>
              <w:ind w:left="100" w:right="100"/>
              <w:rPr>
                <w:rFonts w:eastAsia="Verdana" w:cs="Verdana"/>
                <w:color w:val="252C65"/>
                <w:sz w:val="16"/>
                <w:szCs w:val="16"/>
              </w:rPr>
            </w:pPr>
            <w:r>
              <w:rPr>
                <w:rFonts w:eastAsia="Verdana" w:cs="Verdana"/>
                <w:color w:val="252C65"/>
                <w:sz w:val="16"/>
                <w:szCs w:val="16"/>
              </w:rPr>
              <w:lastRenderedPageBreak/>
              <w:t>Job placement services</w:t>
            </w:r>
          </w:p>
        </w:tc>
        <w:tc>
          <w:tcPr>
            <w:tcW w:w="4752"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6936DD9" w14:textId="77777777" w:rsidR="005879B1" w:rsidRDefault="00A97397">
            <w:pPr>
              <w:pBdr>
                <w:top w:val="none" w:sz="0" w:space="0" w:color="000000"/>
                <w:left w:val="none" w:sz="0" w:space="0" w:color="000000"/>
                <w:bottom w:val="none" w:sz="0" w:space="0" w:color="000000"/>
                <w:right w:val="none" w:sz="0" w:space="0" w:color="000000"/>
              </w:pBdr>
              <w:spacing w:before="100" w:after="100" w:line="240" w:lineRule="auto"/>
              <w:ind w:left="100" w:right="100"/>
              <w:rPr>
                <w:rFonts w:eastAsia="Verdana" w:cs="Verdana"/>
                <w:color w:val="252C65"/>
                <w:sz w:val="16"/>
                <w:szCs w:val="16"/>
              </w:rPr>
            </w:pPr>
            <w:r>
              <w:rPr>
                <w:rFonts w:eastAsia="Verdana" w:cs="Verdana"/>
                <w:color w:val="252C65"/>
                <w:sz w:val="16"/>
                <w:szCs w:val="16"/>
              </w:rPr>
              <w:t>In-house or contracted-out services to place people into paid employment. For contracted-out services, payments are often based on a fee-for-outcome contracting model.</w:t>
            </w:r>
          </w:p>
        </w:tc>
        <w:tc>
          <w:tcPr>
            <w:tcW w:w="28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0EA08FC" w14:textId="77777777" w:rsidR="005879B1" w:rsidRDefault="00A97397">
            <w:pPr>
              <w:pBdr>
                <w:top w:val="none" w:sz="0" w:space="0" w:color="000000"/>
                <w:left w:val="none" w:sz="0" w:space="0" w:color="000000"/>
                <w:bottom w:val="none" w:sz="0" w:space="0" w:color="000000"/>
                <w:right w:val="none" w:sz="0" w:space="0" w:color="000000"/>
              </w:pBdr>
              <w:spacing w:before="100" w:after="100" w:line="240" w:lineRule="auto"/>
              <w:ind w:left="100" w:right="100"/>
              <w:rPr>
                <w:rFonts w:eastAsia="Verdana" w:cs="Verdana"/>
                <w:color w:val="252C65"/>
                <w:sz w:val="16"/>
                <w:szCs w:val="16"/>
              </w:rPr>
            </w:pPr>
            <w:r>
              <w:rPr>
                <w:rFonts w:eastAsia="Verdana" w:cs="Verdana"/>
                <w:color w:val="252C65"/>
                <w:sz w:val="16"/>
                <w:szCs w:val="16"/>
              </w:rPr>
              <w:t>Employment Placement or Assistance Initiative,</w:t>
            </w:r>
            <w:r>
              <w:rPr>
                <w:rFonts w:eastAsia="Verdana" w:cs="Verdana"/>
                <w:color w:val="252C65"/>
                <w:sz w:val="16"/>
                <w:szCs w:val="16"/>
              </w:rPr>
              <w:br/>
              <w:t>Vacancy Placement</w:t>
            </w:r>
          </w:p>
        </w:tc>
      </w:tr>
      <w:tr w:rsidR="005879B1" w14:paraId="18D57F89" w14:textId="77777777">
        <w:trPr>
          <w:jc w:val="center"/>
        </w:trPr>
        <w:tc>
          <w:tcPr>
            <w:tcW w:w="1728"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0454B69" w14:textId="77777777" w:rsidR="005879B1" w:rsidRDefault="00A97397">
            <w:pPr>
              <w:pBdr>
                <w:top w:val="none" w:sz="0" w:space="0" w:color="000000"/>
                <w:left w:val="none" w:sz="0" w:space="0" w:color="000000"/>
                <w:bottom w:val="none" w:sz="0" w:space="0" w:color="000000"/>
                <w:right w:val="none" w:sz="0" w:space="0" w:color="000000"/>
              </w:pBdr>
              <w:spacing w:before="100" w:after="100" w:line="240" w:lineRule="auto"/>
              <w:ind w:left="100" w:right="100"/>
              <w:rPr>
                <w:rFonts w:eastAsia="Verdana" w:cs="Verdana"/>
                <w:color w:val="252C65"/>
                <w:sz w:val="16"/>
                <w:szCs w:val="16"/>
              </w:rPr>
            </w:pPr>
            <w:r>
              <w:rPr>
                <w:rFonts w:eastAsia="Verdana" w:cs="Verdana"/>
                <w:color w:val="252C65"/>
                <w:sz w:val="16"/>
                <w:szCs w:val="16"/>
              </w:rPr>
              <w:t>Hiring wage subsidies</w:t>
            </w:r>
          </w:p>
        </w:tc>
        <w:tc>
          <w:tcPr>
            <w:tcW w:w="4752"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D6AA4BA" w14:textId="77777777" w:rsidR="005879B1" w:rsidRDefault="00A97397">
            <w:pPr>
              <w:pBdr>
                <w:top w:val="none" w:sz="0" w:space="0" w:color="000000"/>
                <w:left w:val="none" w:sz="0" w:space="0" w:color="000000"/>
                <w:bottom w:val="none" w:sz="0" w:space="0" w:color="000000"/>
                <w:right w:val="none" w:sz="0" w:space="0" w:color="000000"/>
              </w:pBdr>
              <w:spacing w:before="100" w:after="100" w:line="240" w:lineRule="auto"/>
              <w:ind w:left="100" w:right="100"/>
              <w:rPr>
                <w:rFonts w:eastAsia="Verdana" w:cs="Verdana"/>
                <w:color w:val="252C65"/>
                <w:sz w:val="16"/>
                <w:szCs w:val="16"/>
              </w:rPr>
            </w:pPr>
            <w:r>
              <w:rPr>
                <w:rFonts w:eastAsia="Verdana" w:cs="Verdana"/>
                <w:color w:val="252C65"/>
                <w:sz w:val="16"/>
                <w:szCs w:val="16"/>
              </w:rPr>
              <w:t>A temporary subsidy to compensate employers who take on disadvantaged jobseekers (ie they would not have been hired by the employer in the absence of the subsidy).</w:t>
            </w:r>
          </w:p>
        </w:tc>
        <w:tc>
          <w:tcPr>
            <w:tcW w:w="28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F3E6C81" w14:textId="77777777" w:rsidR="005879B1" w:rsidRDefault="00A97397">
            <w:pPr>
              <w:pBdr>
                <w:top w:val="none" w:sz="0" w:space="0" w:color="000000"/>
                <w:left w:val="none" w:sz="0" w:space="0" w:color="000000"/>
                <w:bottom w:val="none" w:sz="0" w:space="0" w:color="000000"/>
                <w:right w:val="none" w:sz="0" w:space="0" w:color="000000"/>
              </w:pBdr>
              <w:spacing w:before="100" w:after="100" w:line="240" w:lineRule="auto"/>
              <w:ind w:left="100" w:right="100"/>
              <w:rPr>
                <w:rFonts w:eastAsia="Verdana" w:cs="Verdana"/>
                <w:color w:val="252C65"/>
                <w:sz w:val="16"/>
                <w:szCs w:val="16"/>
              </w:rPr>
            </w:pPr>
            <w:r>
              <w:rPr>
                <w:rFonts w:eastAsia="Verdana" w:cs="Verdana"/>
                <w:color w:val="252C65"/>
                <w:sz w:val="16"/>
                <w:szCs w:val="16"/>
              </w:rPr>
              <w:t>Flexi-wage</w:t>
            </w:r>
          </w:p>
        </w:tc>
      </w:tr>
      <w:tr w:rsidR="005879B1" w14:paraId="0AF50870" w14:textId="77777777">
        <w:trPr>
          <w:jc w:val="center"/>
        </w:trPr>
        <w:tc>
          <w:tcPr>
            <w:tcW w:w="1728"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18A692F" w14:textId="77777777" w:rsidR="005879B1" w:rsidRDefault="00A97397">
            <w:pPr>
              <w:pBdr>
                <w:top w:val="none" w:sz="0" w:space="0" w:color="000000"/>
                <w:left w:val="none" w:sz="0" w:space="0" w:color="000000"/>
                <w:bottom w:val="none" w:sz="0" w:space="0" w:color="000000"/>
                <w:right w:val="none" w:sz="0" w:space="0" w:color="000000"/>
              </w:pBdr>
              <w:spacing w:before="100" w:after="100" w:line="240" w:lineRule="auto"/>
              <w:ind w:left="100" w:right="100"/>
              <w:rPr>
                <w:rFonts w:eastAsia="Verdana" w:cs="Verdana"/>
                <w:color w:val="252C65"/>
                <w:sz w:val="16"/>
                <w:szCs w:val="16"/>
              </w:rPr>
            </w:pPr>
            <w:r>
              <w:rPr>
                <w:rFonts w:eastAsia="Verdana" w:cs="Verdana"/>
                <w:color w:val="252C65"/>
                <w:sz w:val="16"/>
                <w:szCs w:val="16"/>
              </w:rPr>
              <w:t>On the job training</w:t>
            </w:r>
          </w:p>
        </w:tc>
        <w:tc>
          <w:tcPr>
            <w:tcW w:w="4752"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5F215AD" w14:textId="77777777" w:rsidR="005879B1" w:rsidRDefault="00A97397">
            <w:pPr>
              <w:pBdr>
                <w:top w:val="none" w:sz="0" w:space="0" w:color="000000"/>
                <w:left w:val="none" w:sz="0" w:space="0" w:color="000000"/>
                <w:bottom w:val="none" w:sz="0" w:space="0" w:color="000000"/>
                <w:right w:val="none" w:sz="0" w:space="0" w:color="000000"/>
              </w:pBdr>
              <w:spacing w:before="100" w:after="100" w:line="240" w:lineRule="auto"/>
              <w:ind w:left="100" w:right="100"/>
              <w:rPr>
                <w:rFonts w:eastAsia="Verdana" w:cs="Verdana"/>
                <w:color w:val="252C65"/>
                <w:sz w:val="16"/>
                <w:szCs w:val="16"/>
              </w:rPr>
            </w:pPr>
            <w:r>
              <w:rPr>
                <w:rFonts w:eastAsia="Verdana" w:cs="Verdana"/>
                <w:color w:val="252C65"/>
                <w:sz w:val="16"/>
                <w:szCs w:val="16"/>
              </w:rPr>
              <w:t>Assistance to employees to help them gain skills whilst in work.</w:t>
            </w:r>
          </w:p>
        </w:tc>
        <w:tc>
          <w:tcPr>
            <w:tcW w:w="28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336735F" w14:textId="77777777" w:rsidR="005879B1" w:rsidRDefault="00A97397">
            <w:pPr>
              <w:pBdr>
                <w:top w:val="none" w:sz="0" w:space="0" w:color="000000"/>
                <w:left w:val="none" w:sz="0" w:space="0" w:color="000000"/>
                <w:bottom w:val="none" w:sz="0" w:space="0" w:color="000000"/>
                <w:right w:val="none" w:sz="0" w:space="0" w:color="000000"/>
              </w:pBdr>
              <w:spacing w:before="100" w:after="100" w:line="240" w:lineRule="auto"/>
              <w:ind w:left="100" w:right="100"/>
              <w:rPr>
                <w:rFonts w:eastAsia="Verdana" w:cs="Verdana"/>
                <w:color w:val="252C65"/>
                <w:sz w:val="16"/>
                <w:szCs w:val="16"/>
              </w:rPr>
            </w:pPr>
            <w:r>
              <w:rPr>
                <w:rFonts w:eastAsia="Verdana" w:cs="Verdana"/>
                <w:color w:val="252C65"/>
                <w:sz w:val="16"/>
                <w:szCs w:val="16"/>
              </w:rPr>
              <w:t>Mana in Mahi</w:t>
            </w:r>
          </w:p>
        </w:tc>
      </w:tr>
      <w:tr w:rsidR="005879B1" w14:paraId="496E587E" w14:textId="77777777">
        <w:trPr>
          <w:jc w:val="center"/>
        </w:trPr>
        <w:tc>
          <w:tcPr>
            <w:tcW w:w="1728"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5516D27" w14:textId="77777777" w:rsidR="005879B1" w:rsidRDefault="00A97397">
            <w:pPr>
              <w:pBdr>
                <w:top w:val="none" w:sz="0" w:space="0" w:color="000000"/>
                <w:left w:val="none" w:sz="0" w:space="0" w:color="000000"/>
                <w:bottom w:val="none" w:sz="0" w:space="0" w:color="000000"/>
                <w:right w:val="none" w:sz="0" w:space="0" w:color="000000"/>
              </w:pBdr>
              <w:spacing w:before="100" w:after="100" w:line="240" w:lineRule="auto"/>
              <w:ind w:left="100" w:right="100"/>
              <w:rPr>
                <w:rFonts w:eastAsia="Verdana" w:cs="Verdana"/>
                <w:color w:val="252C65"/>
                <w:sz w:val="16"/>
                <w:szCs w:val="16"/>
              </w:rPr>
            </w:pPr>
            <w:r>
              <w:rPr>
                <w:rFonts w:eastAsia="Verdana" w:cs="Verdana"/>
                <w:color w:val="252C65"/>
                <w:sz w:val="16"/>
                <w:szCs w:val="16"/>
              </w:rPr>
              <w:t>Training for predetermined employment</w:t>
            </w:r>
          </w:p>
        </w:tc>
        <w:tc>
          <w:tcPr>
            <w:tcW w:w="4752"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FD56169" w14:textId="77777777" w:rsidR="005879B1" w:rsidRDefault="00A97397">
            <w:pPr>
              <w:pBdr>
                <w:top w:val="none" w:sz="0" w:space="0" w:color="000000"/>
                <w:left w:val="none" w:sz="0" w:space="0" w:color="000000"/>
                <w:bottom w:val="none" w:sz="0" w:space="0" w:color="000000"/>
                <w:right w:val="none" w:sz="0" w:space="0" w:color="000000"/>
              </w:pBdr>
              <w:spacing w:before="100" w:after="100" w:line="240" w:lineRule="auto"/>
              <w:ind w:left="100" w:right="100"/>
              <w:rPr>
                <w:rFonts w:eastAsia="Verdana" w:cs="Verdana"/>
                <w:color w:val="252C65"/>
                <w:sz w:val="16"/>
                <w:szCs w:val="16"/>
              </w:rPr>
            </w:pPr>
            <w:r>
              <w:rPr>
                <w:rFonts w:eastAsia="Verdana" w:cs="Verdana"/>
                <w:color w:val="252C65"/>
                <w:sz w:val="16"/>
                <w:szCs w:val="16"/>
              </w:rPr>
              <w:t>Programmes that involve matching jobseekers to vacancies by providing short-term training to meet the specific needs of an employer (eg industry specific certificates or licences).</w:t>
            </w:r>
          </w:p>
        </w:tc>
        <w:tc>
          <w:tcPr>
            <w:tcW w:w="28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806D6E1" w14:textId="77777777" w:rsidR="005879B1" w:rsidRDefault="00A97397">
            <w:pPr>
              <w:pBdr>
                <w:top w:val="none" w:sz="0" w:space="0" w:color="000000"/>
                <w:left w:val="none" w:sz="0" w:space="0" w:color="000000"/>
                <w:bottom w:val="none" w:sz="0" w:space="0" w:color="000000"/>
                <w:right w:val="none" w:sz="0" w:space="0" w:color="000000"/>
              </w:pBdr>
              <w:spacing w:before="100" w:after="100" w:line="240" w:lineRule="auto"/>
              <w:ind w:left="100" w:right="100"/>
              <w:rPr>
                <w:rFonts w:eastAsia="Verdana" w:cs="Verdana"/>
                <w:color w:val="252C65"/>
                <w:sz w:val="16"/>
                <w:szCs w:val="16"/>
              </w:rPr>
            </w:pPr>
            <w:r>
              <w:rPr>
                <w:rFonts w:eastAsia="Verdana" w:cs="Verdana"/>
                <w:color w:val="252C65"/>
                <w:sz w:val="16"/>
                <w:szCs w:val="16"/>
              </w:rPr>
              <w:t>Skills for Industry</w:t>
            </w:r>
          </w:p>
        </w:tc>
      </w:tr>
      <w:tr w:rsidR="005879B1" w14:paraId="26ABEF83" w14:textId="77777777">
        <w:trPr>
          <w:jc w:val="center"/>
        </w:trPr>
        <w:tc>
          <w:tcPr>
            <w:tcW w:w="1728"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945C30D" w14:textId="77777777" w:rsidR="005879B1" w:rsidRDefault="00A97397">
            <w:pPr>
              <w:pBdr>
                <w:top w:val="none" w:sz="0" w:space="0" w:color="000000"/>
                <w:left w:val="none" w:sz="0" w:space="0" w:color="000000"/>
                <w:bottom w:val="none" w:sz="0" w:space="0" w:color="000000"/>
                <w:right w:val="none" w:sz="0" w:space="0" w:color="000000"/>
              </w:pBdr>
              <w:spacing w:before="100" w:after="100" w:line="240" w:lineRule="auto"/>
              <w:ind w:left="100" w:right="100"/>
              <w:rPr>
                <w:rFonts w:eastAsia="Verdana" w:cs="Verdana"/>
                <w:color w:val="252C65"/>
                <w:sz w:val="16"/>
                <w:szCs w:val="16"/>
              </w:rPr>
            </w:pPr>
            <w:r>
              <w:rPr>
                <w:rFonts w:eastAsia="Verdana" w:cs="Verdana"/>
                <w:color w:val="252C65"/>
                <w:sz w:val="16"/>
                <w:szCs w:val="16"/>
              </w:rPr>
              <w:t>Self-employment assistance</w:t>
            </w:r>
          </w:p>
        </w:tc>
        <w:tc>
          <w:tcPr>
            <w:tcW w:w="4752"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4588510" w14:textId="77777777" w:rsidR="005879B1" w:rsidRDefault="00A97397">
            <w:pPr>
              <w:pBdr>
                <w:top w:val="none" w:sz="0" w:space="0" w:color="000000"/>
                <w:left w:val="none" w:sz="0" w:space="0" w:color="000000"/>
                <w:bottom w:val="none" w:sz="0" w:space="0" w:color="000000"/>
                <w:right w:val="none" w:sz="0" w:space="0" w:color="000000"/>
              </w:pBdr>
              <w:spacing w:before="100" w:after="100" w:line="240" w:lineRule="auto"/>
              <w:ind w:left="100" w:right="100"/>
              <w:rPr>
                <w:rFonts w:eastAsia="Verdana" w:cs="Verdana"/>
                <w:color w:val="252C65"/>
                <w:sz w:val="16"/>
                <w:szCs w:val="16"/>
              </w:rPr>
            </w:pPr>
            <w:r>
              <w:rPr>
                <w:rFonts w:eastAsia="Verdana" w:cs="Verdana"/>
                <w:color w:val="252C65"/>
                <w:sz w:val="16"/>
                <w:szCs w:val="16"/>
              </w:rPr>
              <w:t>Assistance to help people set up their own business. Self-employment assistance can involve a combination of training, mentoring, capital grants, and a temporary subsidy to cover living costs until business cash flow is sufficient to support the participant.</w:t>
            </w:r>
          </w:p>
        </w:tc>
        <w:tc>
          <w:tcPr>
            <w:tcW w:w="28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2F5B1A0" w14:textId="77777777" w:rsidR="005879B1" w:rsidRDefault="00A97397">
            <w:pPr>
              <w:pBdr>
                <w:top w:val="none" w:sz="0" w:space="0" w:color="000000"/>
                <w:left w:val="none" w:sz="0" w:space="0" w:color="000000"/>
                <w:bottom w:val="none" w:sz="0" w:space="0" w:color="000000"/>
                <w:right w:val="none" w:sz="0" w:space="0" w:color="000000"/>
              </w:pBdr>
              <w:spacing w:before="100" w:after="100" w:line="240" w:lineRule="auto"/>
              <w:ind w:left="100" w:right="100"/>
              <w:rPr>
                <w:rFonts w:eastAsia="Verdana" w:cs="Verdana"/>
                <w:color w:val="252C65"/>
                <w:sz w:val="16"/>
                <w:szCs w:val="16"/>
              </w:rPr>
            </w:pPr>
            <w:r>
              <w:rPr>
                <w:rFonts w:eastAsia="Verdana" w:cs="Verdana"/>
                <w:color w:val="252C65"/>
                <w:sz w:val="16"/>
                <w:szCs w:val="16"/>
              </w:rPr>
              <w:t>Be Your Own Boss,</w:t>
            </w:r>
            <w:r>
              <w:rPr>
                <w:rFonts w:eastAsia="Verdana" w:cs="Verdana"/>
                <w:color w:val="252C65"/>
                <w:sz w:val="16"/>
                <w:szCs w:val="16"/>
              </w:rPr>
              <w:br/>
              <w:t>Business Training And Advice Grant,</w:t>
            </w:r>
            <w:r>
              <w:rPr>
                <w:rFonts w:eastAsia="Verdana" w:cs="Verdana"/>
                <w:color w:val="252C65"/>
                <w:sz w:val="16"/>
                <w:szCs w:val="16"/>
              </w:rPr>
              <w:br/>
              <w:t>Flexi-wage Self Employment (subsidy)</w:t>
            </w:r>
          </w:p>
        </w:tc>
      </w:tr>
      <w:tr w:rsidR="005879B1" w14:paraId="5E44563F" w14:textId="77777777">
        <w:trPr>
          <w:jc w:val="center"/>
        </w:trPr>
        <w:tc>
          <w:tcPr>
            <w:tcW w:w="1728"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D104AC3" w14:textId="77777777" w:rsidR="005879B1" w:rsidRDefault="00A97397">
            <w:pPr>
              <w:pBdr>
                <w:top w:val="none" w:sz="0" w:space="0" w:color="000000"/>
                <w:left w:val="none" w:sz="0" w:space="0" w:color="000000"/>
                <w:bottom w:val="none" w:sz="0" w:space="0" w:color="000000"/>
                <w:right w:val="none" w:sz="0" w:space="0" w:color="000000"/>
              </w:pBdr>
              <w:spacing w:before="100" w:after="100" w:line="240" w:lineRule="auto"/>
              <w:ind w:left="100" w:right="100"/>
              <w:rPr>
                <w:rFonts w:eastAsia="Verdana" w:cs="Verdana"/>
                <w:color w:val="252C65"/>
                <w:sz w:val="16"/>
                <w:szCs w:val="16"/>
              </w:rPr>
            </w:pPr>
            <w:r>
              <w:rPr>
                <w:rFonts w:eastAsia="Verdana" w:cs="Verdana"/>
                <w:color w:val="252C65"/>
                <w:sz w:val="16"/>
                <w:szCs w:val="16"/>
              </w:rPr>
              <w:t>Relocation payments</w:t>
            </w:r>
          </w:p>
        </w:tc>
        <w:tc>
          <w:tcPr>
            <w:tcW w:w="4752"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510E0F9" w14:textId="77777777" w:rsidR="005879B1" w:rsidRDefault="00A97397">
            <w:pPr>
              <w:pBdr>
                <w:top w:val="none" w:sz="0" w:space="0" w:color="000000"/>
                <w:left w:val="none" w:sz="0" w:space="0" w:color="000000"/>
                <w:bottom w:val="none" w:sz="0" w:space="0" w:color="000000"/>
                <w:right w:val="none" w:sz="0" w:space="0" w:color="000000"/>
              </w:pBdr>
              <w:spacing w:before="100" w:after="100" w:line="240" w:lineRule="auto"/>
              <w:ind w:left="100" w:right="100"/>
              <w:rPr>
                <w:rFonts w:eastAsia="Verdana" w:cs="Verdana"/>
                <w:color w:val="252C65"/>
                <w:sz w:val="16"/>
                <w:szCs w:val="16"/>
              </w:rPr>
            </w:pPr>
            <w:r>
              <w:rPr>
                <w:rFonts w:eastAsia="Verdana" w:cs="Verdana"/>
                <w:color w:val="252C65"/>
                <w:sz w:val="16"/>
                <w:szCs w:val="16"/>
              </w:rPr>
              <w:t>Provision of payments to help people move to take up employment outside of their local area.</w:t>
            </w:r>
          </w:p>
        </w:tc>
        <w:tc>
          <w:tcPr>
            <w:tcW w:w="28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3938AE5" w14:textId="77777777" w:rsidR="005879B1" w:rsidRDefault="00A97397">
            <w:pPr>
              <w:pBdr>
                <w:top w:val="none" w:sz="0" w:space="0" w:color="000000"/>
                <w:left w:val="none" w:sz="0" w:space="0" w:color="000000"/>
                <w:bottom w:val="none" w:sz="0" w:space="0" w:color="000000"/>
                <w:right w:val="none" w:sz="0" w:space="0" w:color="000000"/>
              </w:pBdr>
              <w:spacing w:before="100" w:after="100" w:line="240" w:lineRule="auto"/>
              <w:ind w:left="100" w:right="100"/>
              <w:rPr>
                <w:rFonts w:eastAsia="Verdana" w:cs="Verdana"/>
                <w:color w:val="252C65"/>
                <w:sz w:val="16"/>
                <w:szCs w:val="16"/>
              </w:rPr>
            </w:pPr>
            <w:r>
              <w:rPr>
                <w:rFonts w:eastAsia="Verdana" w:cs="Verdana"/>
                <w:color w:val="252C65"/>
                <w:sz w:val="16"/>
                <w:szCs w:val="16"/>
              </w:rPr>
              <w:t>5K to Work</w:t>
            </w:r>
          </w:p>
        </w:tc>
      </w:tr>
      <w:tr w:rsidR="005879B1" w14:paraId="255CE49E" w14:textId="77777777">
        <w:trPr>
          <w:jc w:val="center"/>
        </w:trPr>
        <w:tc>
          <w:tcPr>
            <w:tcW w:w="1728"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EAD8DAB" w14:textId="77777777" w:rsidR="005879B1" w:rsidRDefault="00A97397">
            <w:pPr>
              <w:pBdr>
                <w:top w:val="none" w:sz="0" w:space="0" w:color="000000"/>
                <w:left w:val="none" w:sz="0" w:space="0" w:color="000000"/>
                <w:bottom w:val="none" w:sz="0" w:space="0" w:color="000000"/>
                <w:right w:val="none" w:sz="0" w:space="0" w:color="000000"/>
              </w:pBdr>
              <w:spacing w:before="100" w:after="100" w:line="240" w:lineRule="auto"/>
              <w:ind w:left="100" w:right="100"/>
              <w:rPr>
                <w:rFonts w:eastAsia="Verdana" w:cs="Verdana"/>
                <w:color w:val="252C65"/>
                <w:sz w:val="16"/>
                <w:szCs w:val="16"/>
              </w:rPr>
            </w:pPr>
            <w:r>
              <w:rPr>
                <w:rFonts w:eastAsia="Verdana" w:cs="Verdana"/>
                <w:color w:val="252C65"/>
                <w:sz w:val="16"/>
                <w:szCs w:val="16"/>
              </w:rPr>
              <w:t>Transition to work financial support</w:t>
            </w:r>
          </w:p>
        </w:tc>
        <w:tc>
          <w:tcPr>
            <w:tcW w:w="4752"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320D0B4" w14:textId="77777777" w:rsidR="005879B1" w:rsidRDefault="00A97397">
            <w:pPr>
              <w:pBdr>
                <w:top w:val="none" w:sz="0" w:space="0" w:color="000000"/>
                <w:left w:val="none" w:sz="0" w:space="0" w:color="000000"/>
                <w:bottom w:val="none" w:sz="0" w:space="0" w:color="000000"/>
                <w:right w:val="none" w:sz="0" w:space="0" w:color="000000"/>
              </w:pBdr>
              <w:spacing w:before="100" w:after="100" w:line="240" w:lineRule="auto"/>
              <w:ind w:left="100" w:right="100"/>
              <w:rPr>
                <w:rFonts w:eastAsia="Verdana" w:cs="Verdana"/>
                <w:color w:val="252C65"/>
                <w:sz w:val="16"/>
                <w:szCs w:val="16"/>
              </w:rPr>
            </w:pPr>
            <w:r>
              <w:rPr>
                <w:rFonts w:eastAsia="Verdana" w:cs="Verdana"/>
                <w:color w:val="252C65"/>
                <w:sz w:val="16"/>
                <w:szCs w:val="16"/>
              </w:rPr>
              <w:t>Financial assistance to help cover initial costs of moving into employment (eg work clothes and equipment) or to cover the period until the person is paid by the employer.</w:t>
            </w:r>
          </w:p>
        </w:tc>
        <w:tc>
          <w:tcPr>
            <w:tcW w:w="28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CF385B1" w14:textId="77777777" w:rsidR="005879B1" w:rsidRDefault="00A97397">
            <w:pPr>
              <w:pBdr>
                <w:top w:val="none" w:sz="0" w:space="0" w:color="000000"/>
                <w:left w:val="none" w:sz="0" w:space="0" w:color="000000"/>
                <w:bottom w:val="none" w:sz="0" w:space="0" w:color="000000"/>
                <w:right w:val="none" w:sz="0" w:space="0" w:color="000000"/>
              </w:pBdr>
              <w:spacing w:before="100" w:after="100" w:line="240" w:lineRule="auto"/>
              <w:ind w:left="100" w:right="100"/>
              <w:rPr>
                <w:rFonts w:eastAsia="Verdana" w:cs="Verdana"/>
                <w:color w:val="252C65"/>
                <w:sz w:val="16"/>
                <w:szCs w:val="16"/>
              </w:rPr>
            </w:pPr>
            <w:r>
              <w:rPr>
                <w:rFonts w:eastAsia="Verdana" w:cs="Verdana"/>
                <w:color w:val="252C65"/>
                <w:sz w:val="16"/>
                <w:szCs w:val="16"/>
              </w:rPr>
              <w:t>Transition to Work Grant</w:t>
            </w:r>
          </w:p>
        </w:tc>
      </w:tr>
      <w:tr w:rsidR="005879B1" w14:paraId="5306BFBC" w14:textId="77777777">
        <w:trPr>
          <w:jc w:val="center"/>
        </w:trPr>
        <w:tc>
          <w:tcPr>
            <w:tcW w:w="1728"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7BB4B0D" w14:textId="77777777" w:rsidR="005879B1" w:rsidRDefault="00A97397">
            <w:pPr>
              <w:pBdr>
                <w:top w:val="none" w:sz="0" w:space="0" w:color="000000"/>
                <w:left w:val="none" w:sz="0" w:space="0" w:color="000000"/>
                <w:bottom w:val="none" w:sz="0" w:space="0" w:color="000000"/>
                <w:right w:val="none" w:sz="0" w:space="0" w:color="000000"/>
              </w:pBdr>
              <w:spacing w:before="100" w:after="100" w:line="240" w:lineRule="auto"/>
              <w:ind w:left="100" w:right="100"/>
              <w:rPr>
                <w:rFonts w:eastAsia="Verdana" w:cs="Verdana"/>
                <w:color w:val="252C65"/>
                <w:sz w:val="16"/>
                <w:szCs w:val="16"/>
              </w:rPr>
            </w:pPr>
            <w:r>
              <w:rPr>
                <w:rFonts w:eastAsia="Verdana" w:cs="Verdana"/>
                <w:color w:val="252C65"/>
                <w:sz w:val="16"/>
                <w:szCs w:val="16"/>
              </w:rPr>
              <w:t>In-work support (Financial)</w:t>
            </w:r>
          </w:p>
        </w:tc>
        <w:tc>
          <w:tcPr>
            <w:tcW w:w="4752"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73B20C4" w14:textId="77777777" w:rsidR="005879B1" w:rsidRDefault="00A97397">
            <w:pPr>
              <w:pBdr>
                <w:top w:val="none" w:sz="0" w:space="0" w:color="000000"/>
                <w:left w:val="none" w:sz="0" w:space="0" w:color="000000"/>
                <w:bottom w:val="none" w:sz="0" w:space="0" w:color="000000"/>
                <w:right w:val="none" w:sz="0" w:space="0" w:color="000000"/>
              </w:pBdr>
              <w:spacing w:before="100" w:after="100" w:line="240" w:lineRule="auto"/>
              <w:ind w:left="100" w:right="100"/>
              <w:rPr>
                <w:rFonts w:eastAsia="Verdana" w:cs="Verdana"/>
                <w:color w:val="252C65"/>
                <w:sz w:val="16"/>
                <w:szCs w:val="16"/>
              </w:rPr>
            </w:pPr>
            <w:r>
              <w:rPr>
                <w:rFonts w:eastAsia="Verdana" w:cs="Verdana"/>
                <w:color w:val="252C65"/>
                <w:sz w:val="16"/>
                <w:szCs w:val="16"/>
              </w:rPr>
              <w:t>Financial assistance to help people with disruptions to employment or pay to ensure they can continue in employment and avoid returning to main benefit.</w:t>
            </w:r>
          </w:p>
        </w:tc>
        <w:tc>
          <w:tcPr>
            <w:tcW w:w="28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264E088" w14:textId="77777777" w:rsidR="005879B1" w:rsidRDefault="00A97397">
            <w:pPr>
              <w:pBdr>
                <w:top w:val="none" w:sz="0" w:space="0" w:color="000000"/>
                <w:left w:val="none" w:sz="0" w:space="0" w:color="000000"/>
                <w:bottom w:val="none" w:sz="0" w:space="0" w:color="000000"/>
                <w:right w:val="none" w:sz="0" w:space="0" w:color="000000"/>
              </w:pBdr>
              <w:spacing w:before="100" w:after="100" w:line="240" w:lineRule="auto"/>
              <w:ind w:left="100" w:right="100"/>
              <w:rPr>
                <w:rFonts w:eastAsia="Verdana" w:cs="Verdana"/>
                <w:color w:val="252C65"/>
                <w:sz w:val="16"/>
                <w:szCs w:val="16"/>
              </w:rPr>
            </w:pPr>
            <w:r>
              <w:rPr>
                <w:rFonts w:eastAsia="Verdana" w:cs="Verdana"/>
                <w:color w:val="252C65"/>
                <w:sz w:val="16"/>
                <w:szCs w:val="16"/>
              </w:rPr>
              <w:t>Seasonal Work Assistance,</w:t>
            </w:r>
            <w:r>
              <w:rPr>
                <w:rFonts w:eastAsia="Verdana" w:cs="Verdana"/>
                <w:color w:val="252C65"/>
                <w:sz w:val="16"/>
                <w:szCs w:val="16"/>
              </w:rPr>
              <w:br/>
              <w:t>In-work tax credit</w:t>
            </w:r>
          </w:p>
        </w:tc>
      </w:tr>
      <w:tr w:rsidR="005879B1" w14:paraId="1C891AD6" w14:textId="77777777">
        <w:trPr>
          <w:jc w:val="center"/>
        </w:trPr>
        <w:tc>
          <w:tcPr>
            <w:tcW w:w="1728"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4F67294" w14:textId="77777777" w:rsidR="005879B1" w:rsidRDefault="00A97397">
            <w:pPr>
              <w:pBdr>
                <w:top w:val="none" w:sz="0" w:space="0" w:color="000000"/>
                <w:left w:val="none" w:sz="0" w:space="0" w:color="000000"/>
                <w:bottom w:val="none" w:sz="0" w:space="0" w:color="000000"/>
                <w:right w:val="none" w:sz="0" w:space="0" w:color="000000"/>
              </w:pBdr>
              <w:spacing w:before="100" w:after="100" w:line="240" w:lineRule="auto"/>
              <w:ind w:left="100" w:right="100"/>
              <w:rPr>
                <w:rFonts w:eastAsia="Verdana" w:cs="Verdana"/>
                <w:color w:val="252C65"/>
                <w:sz w:val="16"/>
                <w:szCs w:val="16"/>
              </w:rPr>
            </w:pPr>
            <w:r>
              <w:rPr>
                <w:rFonts w:eastAsia="Verdana" w:cs="Verdana"/>
                <w:color w:val="252C65"/>
                <w:sz w:val="16"/>
                <w:szCs w:val="16"/>
              </w:rPr>
              <w:t>In-work support (Pastoral)</w:t>
            </w:r>
          </w:p>
        </w:tc>
        <w:tc>
          <w:tcPr>
            <w:tcW w:w="4752"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D966518" w14:textId="77777777" w:rsidR="005879B1" w:rsidRDefault="00A97397">
            <w:pPr>
              <w:pBdr>
                <w:top w:val="none" w:sz="0" w:space="0" w:color="000000"/>
                <w:left w:val="none" w:sz="0" w:space="0" w:color="000000"/>
                <w:bottom w:val="none" w:sz="0" w:space="0" w:color="000000"/>
                <w:right w:val="none" w:sz="0" w:space="0" w:color="000000"/>
              </w:pBdr>
              <w:spacing w:before="100" w:after="100" w:line="240" w:lineRule="auto"/>
              <w:ind w:left="100" w:right="100"/>
              <w:rPr>
                <w:rFonts w:eastAsia="Verdana" w:cs="Verdana"/>
                <w:color w:val="252C65"/>
                <w:sz w:val="16"/>
                <w:szCs w:val="16"/>
              </w:rPr>
            </w:pPr>
            <w:r>
              <w:rPr>
                <w:rFonts w:eastAsia="Verdana" w:cs="Verdana"/>
                <w:color w:val="252C65"/>
                <w:sz w:val="16"/>
                <w:szCs w:val="16"/>
              </w:rPr>
              <w:t>Programmes that contact people once they are in work to see how things are progressing and to help with any issues that might arise.</w:t>
            </w:r>
          </w:p>
        </w:tc>
        <w:tc>
          <w:tcPr>
            <w:tcW w:w="28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DB10E94" w14:textId="77777777" w:rsidR="005879B1" w:rsidRDefault="00A97397">
            <w:pPr>
              <w:pBdr>
                <w:top w:val="none" w:sz="0" w:space="0" w:color="000000"/>
                <w:left w:val="none" w:sz="0" w:space="0" w:color="000000"/>
                <w:bottom w:val="none" w:sz="0" w:space="0" w:color="000000"/>
                <w:right w:val="none" w:sz="0" w:space="0" w:color="000000"/>
              </w:pBdr>
              <w:spacing w:before="100" w:after="100" w:line="240" w:lineRule="auto"/>
              <w:ind w:left="100" w:right="100"/>
              <w:rPr>
                <w:rFonts w:eastAsia="Verdana" w:cs="Verdana"/>
                <w:color w:val="252C65"/>
                <w:sz w:val="16"/>
                <w:szCs w:val="16"/>
              </w:rPr>
            </w:pPr>
            <w:r>
              <w:rPr>
                <w:rFonts w:eastAsia="Verdana" w:cs="Verdana"/>
                <w:color w:val="252C65"/>
                <w:sz w:val="16"/>
                <w:szCs w:val="16"/>
              </w:rPr>
              <w:t>In-Work Support</w:t>
            </w:r>
          </w:p>
        </w:tc>
      </w:tr>
      <w:tr w:rsidR="005879B1" w14:paraId="2ACFB697" w14:textId="77777777">
        <w:trPr>
          <w:jc w:val="center"/>
        </w:trPr>
        <w:tc>
          <w:tcPr>
            <w:tcW w:w="1728"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2D739C4" w14:textId="77777777" w:rsidR="005879B1" w:rsidRDefault="00A97397">
            <w:pPr>
              <w:pBdr>
                <w:top w:val="none" w:sz="0" w:space="0" w:color="000000"/>
                <w:left w:val="none" w:sz="0" w:space="0" w:color="000000"/>
                <w:bottom w:val="none" w:sz="0" w:space="0" w:color="000000"/>
                <w:right w:val="none" w:sz="0" w:space="0" w:color="000000"/>
              </w:pBdr>
              <w:spacing w:before="100" w:after="100" w:line="240" w:lineRule="auto"/>
              <w:ind w:left="100" w:right="100"/>
              <w:rPr>
                <w:rFonts w:eastAsia="Verdana" w:cs="Verdana"/>
                <w:color w:val="252C65"/>
                <w:sz w:val="16"/>
                <w:szCs w:val="16"/>
              </w:rPr>
            </w:pPr>
            <w:r>
              <w:rPr>
                <w:rFonts w:eastAsia="Verdana" w:cs="Verdana"/>
                <w:color w:val="252C65"/>
                <w:sz w:val="16"/>
                <w:szCs w:val="16"/>
              </w:rPr>
              <w:t>Childcare assistance</w:t>
            </w:r>
          </w:p>
        </w:tc>
        <w:tc>
          <w:tcPr>
            <w:tcW w:w="4752"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5CFEC9F" w14:textId="77777777" w:rsidR="005879B1" w:rsidRDefault="00A97397">
            <w:pPr>
              <w:pBdr>
                <w:top w:val="none" w:sz="0" w:space="0" w:color="000000"/>
                <w:left w:val="none" w:sz="0" w:space="0" w:color="000000"/>
                <w:bottom w:val="none" w:sz="0" w:space="0" w:color="000000"/>
                <w:right w:val="none" w:sz="0" w:space="0" w:color="000000"/>
              </w:pBdr>
              <w:spacing w:before="100" w:after="100" w:line="240" w:lineRule="auto"/>
              <w:ind w:left="100" w:right="100"/>
              <w:rPr>
                <w:rFonts w:eastAsia="Verdana" w:cs="Verdana"/>
                <w:color w:val="252C65"/>
                <w:sz w:val="16"/>
                <w:szCs w:val="16"/>
              </w:rPr>
            </w:pPr>
            <w:r>
              <w:rPr>
                <w:rFonts w:eastAsia="Verdana" w:cs="Verdana"/>
                <w:color w:val="252C65"/>
                <w:sz w:val="16"/>
                <w:szCs w:val="16"/>
              </w:rPr>
              <w:t>Financial payments to low-income families to help cover the cost of childcare services.</w:t>
            </w:r>
          </w:p>
        </w:tc>
        <w:tc>
          <w:tcPr>
            <w:tcW w:w="28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4B55020" w14:textId="77777777" w:rsidR="005879B1" w:rsidRDefault="00A97397">
            <w:pPr>
              <w:pBdr>
                <w:top w:val="none" w:sz="0" w:space="0" w:color="000000"/>
                <w:left w:val="none" w:sz="0" w:space="0" w:color="000000"/>
                <w:bottom w:val="none" w:sz="0" w:space="0" w:color="000000"/>
                <w:right w:val="none" w:sz="0" w:space="0" w:color="000000"/>
              </w:pBdr>
              <w:spacing w:before="100" w:after="100" w:line="240" w:lineRule="auto"/>
              <w:ind w:left="100" w:right="100"/>
              <w:rPr>
                <w:rFonts w:eastAsia="Verdana" w:cs="Verdana"/>
                <w:color w:val="252C65"/>
                <w:sz w:val="16"/>
                <w:szCs w:val="16"/>
              </w:rPr>
            </w:pPr>
            <w:r>
              <w:rPr>
                <w:rFonts w:eastAsia="Verdana" w:cs="Verdana"/>
                <w:color w:val="252C65"/>
                <w:sz w:val="16"/>
                <w:szCs w:val="16"/>
              </w:rPr>
              <w:t>Flexible Childcare Assistance,</w:t>
            </w:r>
            <w:r>
              <w:rPr>
                <w:rFonts w:eastAsia="Verdana" w:cs="Verdana"/>
                <w:color w:val="252C65"/>
                <w:sz w:val="16"/>
                <w:szCs w:val="16"/>
              </w:rPr>
              <w:br/>
              <w:t>Childcare Subsidy,</w:t>
            </w:r>
            <w:r>
              <w:rPr>
                <w:rFonts w:eastAsia="Verdana" w:cs="Verdana"/>
                <w:color w:val="252C65"/>
                <w:sz w:val="16"/>
                <w:szCs w:val="16"/>
              </w:rPr>
              <w:br/>
              <w:t>OSCAR subsidy</w:t>
            </w:r>
          </w:p>
        </w:tc>
      </w:tr>
      <w:tr w:rsidR="005879B1" w14:paraId="1BB6F476" w14:textId="77777777">
        <w:trPr>
          <w:jc w:val="center"/>
        </w:trPr>
        <w:tc>
          <w:tcPr>
            <w:tcW w:w="1728"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D9C85F6" w14:textId="77777777" w:rsidR="005879B1" w:rsidRDefault="00A97397">
            <w:pPr>
              <w:pBdr>
                <w:top w:val="none" w:sz="0" w:space="0" w:color="000000"/>
                <w:left w:val="none" w:sz="0" w:space="0" w:color="000000"/>
                <w:bottom w:val="none" w:sz="0" w:space="0" w:color="000000"/>
                <w:right w:val="none" w:sz="0" w:space="0" w:color="000000"/>
              </w:pBdr>
              <w:spacing w:before="100" w:after="100" w:line="240" w:lineRule="auto"/>
              <w:ind w:left="100" w:right="100"/>
              <w:rPr>
                <w:rFonts w:eastAsia="Verdana" w:cs="Verdana"/>
                <w:color w:val="252C65"/>
                <w:sz w:val="16"/>
                <w:szCs w:val="16"/>
              </w:rPr>
            </w:pPr>
            <w:r>
              <w:rPr>
                <w:rFonts w:eastAsia="Verdana" w:cs="Verdana"/>
                <w:color w:val="252C65"/>
                <w:sz w:val="16"/>
                <w:szCs w:val="16"/>
              </w:rPr>
              <w:t>Incentive payments</w:t>
            </w:r>
          </w:p>
        </w:tc>
        <w:tc>
          <w:tcPr>
            <w:tcW w:w="4752"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8CC16AA" w14:textId="77777777" w:rsidR="005879B1" w:rsidRDefault="00A97397">
            <w:pPr>
              <w:pBdr>
                <w:top w:val="none" w:sz="0" w:space="0" w:color="000000"/>
                <w:left w:val="none" w:sz="0" w:space="0" w:color="000000"/>
                <w:bottom w:val="none" w:sz="0" w:space="0" w:color="000000"/>
                <w:right w:val="none" w:sz="0" w:space="0" w:color="000000"/>
              </w:pBdr>
              <w:spacing w:before="100" w:after="100" w:line="240" w:lineRule="auto"/>
              <w:ind w:left="100" w:right="100"/>
              <w:rPr>
                <w:rFonts w:eastAsia="Verdana" w:cs="Verdana"/>
                <w:color w:val="252C65"/>
                <w:sz w:val="16"/>
                <w:szCs w:val="16"/>
              </w:rPr>
            </w:pPr>
            <w:r>
              <w:rPr>
                <w:rFonts w:eastAsia="Verdana" w:cs="Verdana"/>
                <w:color w:val="252C65"/>
                <w:sz w:val="16"/>
                <w:szCs w:val="16"/>
              </w:rPr>
              <w:t>Payments to people who remain in employment for set periods (eg after 3, 6 and 12 months).</w:t>
            </w:r>
          </w:p>
        </w:tc>
        <w:tc>
          <w:tcPr>
            <w:tcW w:w="28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88E71F7" w14:textId="77777777" w:rsidR="005879B1" w:rsidRDefault="00A97397">
            <w:pPr>
              <w:pBdr>
                <w:top w:val="none" w:sz="0" w:space="0" w:color="000000"/>
                <w:left w:val="none" w:sz="0" w:space="0" w:color="000000"/>
                <w:bottom w:val="none" w:sz="0" w:space="0" w:color="000000"/>
                <w:right w:val="none" w:sz="0" w:space="0" w:color="000000"/>
              </w:pBdr>
              <w:spacing w:before="100" w:after="100" w:line="240" w:lineRule="auto"/>
              <w:ind w:left="100" w:right="100"/>
              <w:rPr>
                <w:rFonts w:eastAsia="Verdana" w:cs="Verdana"/>
                <w:color w:val="252C65"/>
                <w:sz w:val="16"/>
                <w:szCs w:val="16"/>
              </w:rPr>
            </w:pPr>
            <w:r>
              <w:rPr>
                <w:rFonts w:eastAsia="Verdana" w:cs="Verdana"/>
                <w:color w:val="252C65"/>
                <w:sz w:val="16"/>
                <w:szCs w:val="16"/>
              </w:rPr>
              <w:t>In Work Payment,</w:t>
            </w:r>
            <w:r>
              <w:rPr>
                <w:rFonts w:eastAsia="Verdana" w:cs="Verdana"/>
                <w:color w:val="252C65"/>
                <w:sz w:val="16"/>
                <w:szCs w:val="16"/>
              </w:rPr>
              <w:br/>
              <w:t>Work Bonus</w:t>
            </w:r>
          </w:p>
        </w:tc>
      </w:tr>
      <w:tr w:rsidR="005879B1" w14:paraId="0F399A9B" w14:textId="77777777">
        <w:trPr>
          <w:jc w:val="center"/>
        </w:trPr>
        <w:tc>
          <w:tcPr>
            <w:tcW w:w="1728"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4CD23A4" w14:textId="77777777" w:rsidR="005879B1" w:rsidRDefault="00A97397">
            <w:pPr>
              <w:pBdr>
                <w:top w:val="none" w:sz="0" w:space="0" w:color="000000"/>
                <w:left w:val="none" w:sz="0" w:space="0" w:color="000000"/>
                <w:bottom w:val="none" w:sz="0" w:space="0" w:color="000000"/>
                <w:right w:val="none" w:sz="0" w:space="0" w:color="000000"/>
              </w:pBdr>
              <w:spacing w:before="100" w:after="100" w:line="240" w:lineRule="auto"/>
              <w:ind w:left="100" w:right="100"/>
              <w:rPr>
                <w:rFonts w:eastAsia="Verdana" w:cs="Verdana"/>
                <w:color w:val="252C65"/>
                <w:sz w:val="16"/>
                <w:szCs w:val="16"/>
              </w:rPr>
            </w:pPr>
            <w:r>
              <w:rPr>
                <w:rFonts w:eastAsia="Verdana" w:cs="Verdana"/>
                <w:color w:val="252C65"/>
                <w:sz w:val="16"/>
                <w:szCs w:val="16"/>
              </w:rPr>
              <w:t>Vocational Services</w:t>
            </w:r>
          </w:p>
        </w:tc>
        <w:tc>
          <w:tcPr>
            <w:tcW w:w="4752"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CDD1D13" w14:textId="77777777" w:rsidR="005879B1" w:rsidRDefault="00A97397">
            <w:pPr>
              <w:pBdr>
                <w:top w:val="none" w:sz="0" w:space="0" w:color="000000"/>
                <w:left w:val="none" w:sz="0" w:space="0" w:color="000000"/>
                <w:bottom w:val="none" w:sz="0" w:space="0" w:color="000000"/>
                <w:right w:val="none" w:sz="0" w:space="0" w:color="000000"/>
              </w:pBdr>
              <w:spacing w:before="100" w:after="100" w:line="240" w:lineRule="auto"/>
              <w:ind w:left="100" w:right="100"/>
              <w:rPr>
                <w:rFonts w:eastAsia="Verdana" w:cs="Verdana"/>
                <w:color w:val="252C65"/>
                <w:sz w:val="16"/>
                <w:szCs w:val="16"/>
              </w:rPr>
            </w:pPr>
            <w:r>
              <w:rPr>
                <w:rFonts w:eastAsia="Verdana" w:cs="Verdana"/>
                <w:color w:val="252C65"/>
                <w:sz w:val="16"/>
                <w:szCs w:val="16"/>
              </w:rPr>
              <w:t>Contracted services to support disabled people to participate in employment or in their communities .</w:t>
            </w:r>
          </w:p>
        </w:tc>
        <w:tc>
          <w:tcPr>
            <w:tcW w:w="28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9B13B38" w14:textId="77777777" w:rsidR="005879B1" w:rsidRDefault="00A97397">
            <w:pPr>
              <w:pBdr>
                <w:top w:val="none" w:sz="0" w:space="0" w:color="000000"/>
                <w:left w:val="none" w:sz="0" w:space="0" w:color="000000"/>
                <w:bottom w:val="none" w:sz="0" w:space="0" w:color="000000"/>
                <w:right w:val="none" w:sz="0" w:space="0" w:color="000000"/>
              </w:pBdr>
              <w:spacing w:before="100" w:after="100" w:line="240" w:lineRule="auto"/>
              <w:ind w:left="100" w:right="100"/>
              <w:rPr>
                <w:rFonts w:eastAsia="Verdana" w:cs="Verdana"/>
                <w:color w:val="252C65"/>
                <w:sz w:val="16"/>
                <w:szCs w:val="16"/>
              </w:rPr>
            </w:pPr>
            <w:r>
              <w:rPr>
                <w:rFonts w:eastAsia="Verdana" w:cs="Verdana"/>
                <w:color w:val="252C65"/>
                <w:sz w:val="16"/>
                <w:szCs w:val="16"/>
              </w:rPr>
              <w:t>Vocational Services Employment</w:t>
            </w:r>
          </w:p>
        </w:tc>
      </w:tr>
      <w:tr w:rsidR="005879B1" w14:paraId="7CA7F78E" w14:textId="77777777">
        <w:trPr>
          <w:jc w:val="center"/>
        </w:trPr>
        <w:tc>
          <w:tcPr>
            <w:tcW w:w="1728"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FECD5D2" w14:textId="77777777" w:rsidR="005879B1" w:rsidRDefault="00A97397">
            <w:pPr>
              <w:pBdr>
                <w:top w:val="none" w:sz="0" w:space="0" w:color="000000"/>
                <w:left w:val="none" w:sz="0" w:space="0" w:color="000000"/>
                <w:bottom w:val="none" w:sz="0" w:space="0" w:color="000000"/>
                <w:right w:val="none" w:sz="0" w:space="0" w:color="000000"/>
              </w:pBdr>
              <w:spacing w:before="100" w:after="100" w:line="240" w:lineRule="auto"/>
              <w:ind w:left="100" w:right="100"/>
              <w:rPr>
                <w:rFonts w:eastAsia="Verdana" w:cs="Verdana"/>
                <w:color w:val="252C65"/>
                <w:sz w:val="16"/>
                <w:szCs w:val="16"/>
              </w:rPr>
            </w:pPr>
            <w:r>
              <w:rPr>
                <w:rFonts w:eastAsia="Verdana" w:cs="Verdana"/>
                <w:color w:val="252C65"/>
                <w:sz w:val="16"/>
                <w:szCs w:val="16"/>
              </w:rPr>
              <w:t>Youth Programmes</w:t>
            </w:r>
          </w:p>
        </w:tc>
        <w:tc>
          <w:tcPr>
            <w:tcW w:w="4752"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BD3A4E5" w14:textId="77777777" w:rsidR="005879B1" w:rsidRDefault="00A97397">
            <w:pPr>
              <w:pBdr>
                <w:top w:val="none" w:sz="0" w:space="0" w:color="000000"/>
                <w:left w:val="none" w:sz="0" w:space="0" w:color="000000"/>
                <w:bottom w:val="none" w:sz="0" w:space="0" w:color="000000"/>
                <w:right w:val="none" w:sz="0" w:space="0" w:color="000000"/>
              </w:pBdr>
              <w:spacing w:before="100" w:after="100" w:line="240" w:lineRule="auto"/>
              <w:ind w:left="100" w:right="100"/>
              <w:rPr>
                <w:rFonts w:eastAsia="Verdana" w:cs="Verdana"/>
                <w:color w:val="252C65"/>
                <w:sz w:val="16"/>
                <w:szCs w:val="16"/>
              </w:rPr>
            </w:pPr>
            <w:r>
              <w:rPr>
                <w:rFonts w:eastAsia="Verdana" w:cs="Verdana"/>
                <w:color w:val="252C65"/>
                <w:sz w:val="16"/>
                <w:szCs w:val="16"/>
              </w:rPr>
              <w:t>Assistance targeted at teens (usually under the age of 18) to help them remain in education, training or employment.</w:t>
            </w:r>
          </w:p>
        </w:tc>
        <w:tc>
          <w:tcPr>
            <w:tcW w:w="28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169A33B" w14:textId="77777777" w:rsidR="005879B1" w:rsidRDefault="00A97397">
            <w:pPr>
              <w:pBdr>
                <w:top w:val="none" w:sz="0" w:space="0" w:color="000000"/>
                <w:left w:val="none" w:sz="0" w:space="0" w:color="000000"/>
                <w:bottom w:val="none" w:sz="0" w:space="0" w:color="000000"/>
                <w:right w:val="none" w:sz="0" w:space="0" w:color="000000"/>
              </w:pBdr>
              <w:spacing w:before="100" w:after="100" w:line="240" w:lineRule="auto"/>
              <w:ind w:left="100" w:right="100"/>
              <w:rPr>
                <w:rFonts w:eastAsia="Verdana" w:cs="Verdana"/>
                <w:color w:val="252C65"/>
                <w:sz w:val="16"/>
                <w:szCs w:val="16"/>
              </w:rPr>
            </w:pPr>
            <w:r>
              <w:rPr>
                <w:rFonts w:eastAsia="Verdana" w:cs="Verdana"/>
                <w:color w:val="252C65"/>
                <w:sz w:val="16"/>
                <w:szCs w:val="16"/>
              </w:rPr>
              <w:t>Youth Services</w:t>
            </w:r>
          </w:p>
        </w:tc>
      </w:tr>
      <w:tr w:rsidR="005879B1" w14:paraId="695B7336" w14:textId="77777777">
        <w:trPr>
          <w:jc w:val="center"/>
        </w:trPr>
        <w:tc>
          <w:tcPr>
            <w:tcW w:w="1728"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2D0FCCB" w14:textId="77777777" w:rsidR="005879B1" w:rsidRDefault="00A97397">
            <w:pPr>
              <w:pBdr>
                <w:top w:val="none" w:sz="0" w:space="0" w:color="000000"/>
                <w:left w:val="none" w:sz="0" w:space="0" w:color="000000"/>
                <w:bottom w:val="none" w:sz="0" w:space="0" w:color="000000"/>
                <w:right w:val="none" w:sz="0" w:space="0" w:color="000000"/>
              </w:pBdr>
              <w:spacing w:before="100" w:after="100" w:line="240" w:lineRule="auto"/>
              <w:ind w:left="100" w:right="100"/>
              <w:rPr>
                <w:rFonts w:eastAsia="Verdana" w:cs="Verdana"/>
                <w:color w:val="252C65"/>
                <w:sz w:val="16"/>
                <w:szCs w:val="16"/>
              </w:rPr>
            </w:pPr>
            <w:r>
              <w:rPr>
                <w:rFonts w:eastAsia="Verdana" w:cs="Verdana"/>
                <w:color w:val="252C65"/>
                <w:sz w:val="16"/>
                <w:szCs w:val="16"/>
              </w:rPr>
              <w:t>Migrant assistance</w:t>
            </w:r>
          </w:p>
        </w:tc>
        <w:tc>
          <w:tcPr>
            <w:tcW w:w="4752"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67EDB7A" w14:textId="77777777" w:rsidR="005879B1" w:rsidRDefault="00A97397">
            <w:pPr>
              <w:pBdr>
                <w:top w:val="none" w:sz="0" w:space="0" w:color="000000"/>
                <w:left w:val="none" w:sz="0" w:space="0" w:color="000000"/>
                <w:bottom w:val="none" w:sz="0" w:space="0" w:color="000000"/>
                <w:right w:val="none" w:sz="0" w:space="0" w:color="000000"/>
              </w:pBdr>
              <w:spacing w:before="100" w:after="100" w:line="240" w:lineRule="auto"/>
              <w:ind w:left="100" w:right="100"/>
              <w:rPr>
                <w:rFonts w:eastAsia="Verdana" w:cs="Verdana"/>
                <w:color w:val="252C65"/>
                <w:sz w:val="16"/>
                <w:szCs w:val="16"/>
              </w:rPr>
            </w:pPr>
            <w:r>
              <w:rPr>
                <w:rFonts w:eastAsia="Verdana" w:cs="Verdana"/>
                <w:color w:val="252C65"/>
                <w:sz w:val="16"/>
                <w:szCs w:val="16"/>
              </w:rPr>
              <w:t>Assistance targeted at new migrants and refugees.</w:t>
            </w:r>
          </w:p>
        </w:tc>
        <w:tc>
          <w:tcPr>
            <w:tcW w:w="28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BB6A818" w14:textId="77777777" w:rsidR="005879B1" w:rsidRDefault="00A97397">
            <w:pPr>
              <w:pBdr>
                <w:top w:val="none" w:sz="0" w:space="0" w:color="000000"/>
                <w:left w:val="none" w:sz="0" w:space="0" w:color="000000"/>
                <w:bottom w:val="none" w:sz="0" w:space="0" w:color="000000"/>
                <w:right w:val="none" w:sz="0" w:space="0" w:color="000000"/>
              </w:pBdr>
              <w:spacing w:before="100" w:after="100" w:line="240" w:lineRule="auto"/>
              <w:ind w:left="100" w:right="100"/>
              <w:rPr>
                <w:rFonts w:eastAsia="Verdana" w:cs="Verdana"/>
                <w:color w:val="252C65"/>
                <w:sz w:val="16"/>
                <w:szCs w:val="16"/>
              </w:rPr>
            </w:pPr>
            <w:r>
              <w:rPr>
                <w:rFonts w:eastAsia="Verdana" w:cs="Verdana"/>
                <w:color w:val="252C65"/>
                <w:sz w:val="16"/>
                <w:szCs w:val="16"/>
              </w:rPr>
              <w:t>Migrant Employment Assistance</w:t>
            </w:r>
          </w:p>
        </w:tc>
      </w:tr>
      <w:tr w:rsidR="005879B1" w14:paraId="6A235427" w14:textId="77777777">
        <w:trPr>
          <w:jc w:val="center"/>
        </w:trPr>
        <w:tc>
          <w:tcPr>
            <w:tcW w:w="1728" w:type="dxa"/>
            <w:tcBorders>
              <w:top w:val="single" w:sz="8" w:space="0" w:color="999EC6"/>
              <w:left w:val="none" w:sz="0" w:space="0" w:color="000000"/>
              <w:bottom w:val="single" w:sz="8" w:space="0" w:color="252C65"/>
              <w:right w:val="none" w:sz="0" w:space="0" w:color="000000"/>
            </w:tcBorders>
            <w:shd w:val="clear" w:color="auto" w:fill="FFFFFF"/>
            <w:tcMar>
              <w:top w:w="0" w:type="dxa"/>
              <w:left w:w="0" w:type="dxa"/>
              <w:bottom w:w="0" w:type="dxa"/>
              <w:right w:w="0" w:type="dxa"/>
            </w:tcMar>
            <w:vAlign w:val="center"/>
          </w:tcPr>
          <w:p w14:paraId="745FDE4B" w14:textId="77777777" w:rsidR="005879B1" w:rsidRDefault="00A97397">
            <w:pPr>
              <w:pBdr>
                <w:top w:val="none" w:sz="0" w:space="0" w:color="000000"/>
                <w:left w:val="none" w:sz="0" w:space="0" w:color="000000"/>
                <w:bottom w:val="none" w:sz="0" w:space="0" w:color="000000"/>
                <w:right w:val="none" w:sz="0" w:space="0" w:color="000000"/>
              </w:pBdr>
              <w:spacing w:before="100" w:after="100" w:line="240" w:lineRule="auto"/>
              <w:ind w:left="100" w:right="100"/>
              <w:rPr>
                <w:rFonts w:eastAsia="Verdana" w:cs="Verdana"/>
                <w:color w:val="252C65"/>
                <w:sz w:val="16"/>
                <w:szCs w:val="16"/>
              </w:rPr>
            </w:pPr>
            <w:r>
              <w:rPr>
                <w:rFonts w:eastAsia="Verdana" w:cs="Verdana"/>
                <w:color w:val="252C65"/>
                <w:sz w:val="16"/>
                <w:szCs w:val="16"/>
              </w:rPr>
              <w:t>New Initiatives</w:t>
            </w:r>
          </w:p>
        </w:tc>
        <w:tc>
          <w:tcPr>
            <w:tcW w:w="4752" w:type="dxa"/>
            <w:tcBorders>
              <w:top w:val="single" w:sz="8" w:space="0" w:color="999EC6"/>
              <w:left w:val="none" w:sz="0" w:space="0" w:color="000000"/>
              <w:bottom w:val="single" w:sz="8" w:space="0" w:color="252C65"/>
              <w:right w:val="none" w:sz="0" w:space="0" w:color="000000"/>
            </w:tcBorders>
            <w:shd w:val="clear" w:color="auto" w:fill="FFFFFF"/>
            <w:tcMar>
              <w:top w:w="0" w:type="dxa"/>
              <w:left w:w="0" w:type="dxa"/>
              <w:bottom w:w="0" w:type="dxa"/>
              <w:right w:w="0" w:type="dxa"/>
            </w:tcMar>
            <w:vAlign w:val="center"/>
          </w:tcPr>
          <w:p w14:paraId="1CDFD0DE" w14:textId="77777777" w:rsidR="005879B1" w:rsidRDefault="00A97397">
            <w:pPr>
              <w:pBdr>
                <w:top w:val="none" w:sz="0" w:space="0" w:color="000000"/>
                <w:left w:val="none" w:sz="0" w:space="0" w:color="000000"/>
                <w:bottom w:val="none" w:sz="0" w:space="0" w:color="000000"/>
                <w:right w:val="none" w:sz="0" w:space="0" w:color="000000"/>
              </w:pBdr>
              <w:spacing w:before="100" w:after="100" w:line="240" w:lineRule="auto"/>
              <w:ind w:left="100" w:right="100"/>
              <w:rPr>
                <w:rFonts w:eastAsia="Verdana" w:cs="Verdana"/>
                <w:color w:val="252C65"/>
                <w:sz w:val="16"/>
                <w:szCs w:val="16"/>
              </w:rPr>
            </w:pPr>
            <w:r>
              <w:rPr>
                <w:rFonts w:eastAsia="Verdana" w:cs="Verdana"/>
                <w:color w:val="252C65"/>
                <w:sz w:val="16"/>
                <w:szCs w:val="16"/>
              </w:rPr>
              <w:t>Locally developed initiatives that cannot be easily categorised.</w:t>
            </w:r>
          </w:p>
        </w:tc>
        <w:tc>
          <w:tcPr>
            <w:tcW w:w="2880" w:type="dxa"/>
            <w:tcBorders>
              <w:top w:val="single" w:sz="8" w:space="0" w:color="999EC6"/>
              <w:left w:val="none" w:sz="0" w:space="0" w:color="000000"/>
              <w:bottom w:val="single" w:sz="8" w:space="0" w:color="252C65"/>
              <w:right w:val="none" w:sz="0" w:space="0" w:color="000000"/>
            </w:tcBorders>
            <w:shd w:val="clear" w:color="auto" w:fill="FFFFFF"/>
            <w:tcMar>
              <w:top w:w="0" w:type="dxa"/>
              <w:left w:w="0" w:type="dxa"/>
              <w:bottom w:w="0" w:type="dxa"/>
              <w:right w:w="0" w:type="dxa"/>
            </w:tcMar>
            <w:vAlign w:val="center"/>
          </w:tcPr>
          <w:p w14:paraId="515CA499" w14:textId="77777777" w:rsidR="005879B1" w:rsidRDefault="00A97397">
            <w:pPr>
              <w:pBdr>
                <w:top w:val="none" w:sz="0" w:space="0" w:color="000000"/>
                <w:left w:val="none" w:sz="0" w:space="0" w:color="000000"/>
                <w:bottom w:val="none" w:sz="0" w:space="0" w:color="000000"/>
                <w:right w:val="none" w:sz="0" w:space="0" w:color="000000"/>
              </w:pBdr>
              <w:spacing w:before="100" w:after="100" w:line="240" w:lineRule="auto"/>
              <w:ind w:left="100" w:right="100"/>
              <w:rPr>
                <w:rFonts w:eastAsia="Verdana" w:cs="Verdana"/>
                <w:color w:val="252C65"/>
                <w:sz w:val="16"/>
                <w:szCs w:val="16"/>
              </w:rPr>
            </w:pPr>
            <w:r>
              <w:rPr>
                <w:rFonts w:eastAsia="Verdana" w:cs="Verdana"/>
                <w:color w:val="252C65"/>
                <w:sz w:val="16"/>
                <w:szCs w:val="16"/>
              </w:rPr>
              <w:t>New Initiatives</w:t>
            </w:r>
          </w:p>
        </w:tc>
      </w:tr>
    </w:tbl>
    <w:p w14:paraId="68603C73" w14:textId="77777777" w:rsidR="005879B1" w:rsidRDefault="00A97397">
      <w:pPr>
        <w:pStyle w:val="Heading2"/>
      </w:pPr>
      <w:bookmarkStart w:id="16" w:name="_Toc197957600"/>
      <w:bookmarkStart w:id="17" w:name="definition-of-an-ea-intervention-spell"/>
      <w:r>
        <w:t>Definition of an EA intervention spell</w:t>
      </w:r>
      <w:bookmarkEnd w:id="16"/>
    </w:p>
    <w:p w14:paraId="4EFBF147" w14:textId="77777777" w:rsidR="005879B1" w:rsidRDefault="00A97397">
      <w:r>
        <w:t>For our analysis we define EA interventions as discrete events that have the following attributes:</w:t>
      </w:r>
    </w:p>
    <w:p w14:paraId="3264010B" w14:textId="77777777" w:rsidR="005879B1" w:rsidRDefault="00A97397" w:rsidP="004357B9">
      <w:pPr>
        <w:numPr>
          <w:ilvl w:val="0"/>
          <w:numId w:val="8"/>
        </w:numPr>
      </w:pPr>
      <w:r>
        <w:lastRenderedPageBreak/>
        <w:t>Person identifier: system-id that determines who received the intervention</w:t>
      </w:r>
    </w:p>
    <w:p w14:paraId="4188CB14" w14:textId="77777777" w:rsidR="005879B1" w:rsidRDefault="00A97397" w:rsidP="004357B9">
      <w:pPr>
        <w:numPr>
          <w:ilvl w:val="0"/>
          <w:numId w:val="8"/>
        </w:numPr>
      </w:pPr>
      <w:r>
        <w:t>Intervention name: name of the intervention</w:t>
      </w:r>
    </w:p>
    <w:p w14:paraId="37E38E11" w14:textId="77777777" w:rsidR="005879B1" w:rsidRDefault="00A97397" w:rsidP="004357B9">
      <w:pPr>
        <w:numPr>
          <w:ilvl w:val="0"/>
          <w:numId w:val="8"/>
        </w:numPr>
      </w:pPr>
      <w:r>
        <w:t>Start date: calendar date the person started the intervention.</w:t>
      </w:r>
    </w:p>
    <w:p w14:paraId="2FCDE6D0" w14:textId="77777777" w:rsidR="005879B1" w:rsidRDefault="00A97397">
      <w:r>
        <w:t>These elements are the minimum necessary to evaluate the effectiveness of the intervention. Additional attributes that we also try to collect include:</w:t>
      </w:r>
    </w:p>
    <w:p w14:paraId="091C7BBA" w14:textId="77777777" w:rsidR="005879B1" w:rsidRDefault="00A97397" w:rsidP="004357B9">
      <w:pPr>
        <w:numPr>
          <w:ilvl w:val="0"/>
          <w:numId w:val="9"/>
        </w:numPr>
      </w:pPr>
      <w:r>
        <w:t>End date: the date the person finished the intervention</w:t>
      </w:r>
    </w:p>
    <w:p w14:paraId="24C350F5" w14:textId="77777777" w:rsidR="005879B1" w:rsidRDefault="00A97397" w:rsidP="004357B9">
      <w:pPr>
        <w:numPr>
          <w:ilvl w:val="0"/>
          <w:numId w:val="9"/>
        </w:numPr>
      </w:pPr>
      <w:r>
        <w:t>Referral date: when they were referred to the intervention</w:t>
      </w:r>
    </w:p>
    <w:p w14:paraId="74059E4B" w14:textId="77777777" w:rsidR="005879B1" w:rsidRDefault="00A97397" w:rsidP="004357B9">
      <w:pPr>
        <w:numPr>
          <w:ilvl w:val="0"/>
          <w:numId w:val="9"/>
        </w:numPr>
      </w:pPr>
      <w:r>
        <w:t>Provider: who delivered the intervention, especially when it is contracted out</w:t>
      </w:r>
    </w:p>
    <w:p w14:paraId="1696948A" w14:textId="77777777" w:rsidR="005879B1" w:rsidRDefault="00A97397" w:rsidP="004357B9">
      <w:pPr>
        <w:numPr>
          <w:ilvl w:val="0"/>
          <w:numId w:val="9"/>
        </w:numPr>
      </w:pPr>
      <w:r>
        <w:t>Cost: how much it cost.</w:t>
      </w:r>
    </w:p>
    <w:p w14:paraId="29CD3E30" w14:textId="77777777" w:rsidR="005879B1" w:rsidRDefault="00A97397">
      <w:pPr>
        <w:pStyle w:val="Heading3"/>
      </w:pPr>
      <w:bookmarkStart w:id="18" w:name="X63168939f143593dbef88231df124500994c587"/>
      <w:r>
        <w:t>Treatment of short duration spells or non-completers</w:t>
      </w:r>
    </w:p>
    <w:p w14:paraId="41D778ED" w14:textId="77777777" w:rsidR="005879B1" w:rsidRDefault="00A97397">
      <w:r>
        <w:t>In the analysis of EA interventions, we include all participant starts and do not exclude any short participation spells or those recorded as not having completed the programme or course. There are two reasons for taking this position. The first is the difficulty in having reliable participation end dates or information on who completed the intervention. As discussed below, this information may or may not be recorded; it depends on the source system or the diligence of staff in recording these types of outcomes in the administrative system.</w:t>
      </w:r>
    </w:p>
    <w:p w14:paraId="0246EC80" w14:textId="77777777" w:rsidR="005879B1" w:rsidRDefault="00A97397">
      <w:pPr>
        <w:pStyle w:val="BodyText"/>
      </w:pPr>
      <w:r>
        <w:t>The second reason is that we consider early exits or non-completion as a core feature of the intervention which should be included in any assessment of its effectiveness. For example, if an intervention is being run such that many participants either exit soon after starting or fail to complete the programme, then this should be reflected in its performance.</w:t>
      </w:r>
    </w:p>
    <w:p w14:paraId="75EB9A27" w14:textId="77777777" w:rsidR="005879B1" w:rsidRDefault="00A97397">
      <w:pPr>
        <w:pStyle w:val="Heading3"/>
      </w:pPr>
      <w:bookmarkStart w:id="19" w:name="common-issues-with-ea-intervention-data"/>
      <w:bookmarkEnd w:id="18"/>
      <w:r>
        <w:t>Common issues with EA intervention data</w:t>
      </w:r>
    </w:p>
    <w:p w14:paraId="6A85B816" w14:textId="77777777" w:rsidR="005879B1" w:rsidRDefault="00A97397">
      <w:r>
        <w:t>Because EA information exists in more than seven MSD administrative systems compiling information about EA interventions is not always straightforward. As with most administrative data, there are several issues with how well EA intervention data is recorded.</w:t>
      </w:r>
    </w:p>
    <w:p w14:paraId="26F426BE" w14:textId="77777777" w:rsidR="005879B1" w:rsidRDefault="00A97397">
      <w:pPr>
        <w:pStyle w:val="Heading4"/>
      </w:pPr>
      <w:bookmarkStart w:id="20" w:name="duplicate-participation-events"/>
      <w:r>
        <w:t>Duplicate participation events</w:t>
      </w:r>
    </w:p>
    <w:p w14:paraId="7F7F1F6F" w14:textId="77777777" w:rsidR="005879B1" w:rsidRDefault="00A97397">
      <w:r>
        <w:t xml:space="preserve">Participation events are defined as any recorded participation spell. In some cases, a person may participate in two different interventions on the same day. This occurs where a person may receive different forms of assistance (eg a Job Plus and Work Start Grant or Enterprise Allowance and Enterprise </w:t>
      </w:r>
      <w:r>
        <w:lastRenderedPageBreak/>
        <w:t>Capitalisation). However, there are also duplicate participation spells for the same person, intervention and start date. When these occur, we select only one event.</w:t>
      </w:r>
    </w:p>
    <w:p w14:paraId="4AE5F26A" w14:textId="77777777" w:rsidR="005879B1" w:rsidRDefault="00A97397">
      <w:pPr>
        <w:pStyle w:val="BodyText"/>
      </w:pPr>
      <w:r>
        <w:t>In a small number of instances, we also take an intervention’s participation from only one IT administrative source. These occur where business processes indicate that this is the primary system for recording intervention participation spells.</w:t>
      </w:r>
    </w:p>
    <w:p w14:paraId="7291A78B" w14:textId="77777777" w:rsidR="005879B1" w:rsidRDefault="00A97397">
      <w:pPr>
        <w:pStyle w:val="Heading4"/>
      </w:pPr>
      <w:bookmarkStart w:id="21" w:name="inconsistent-system-information"/>
      <w:bookmarkEnd w:id="20"/>
      <w:r>
        <w:t>Inconsistent system information</w:t>
      </w:r>
    </w:p>
    <w:p w14:paraId="58D573EF" w14:textId="77777777" w:rsidR="005879B1" w:rsidRDefault="00A97397">
      <w:r>
        <w:t>In a substantial number of cases, there is more than one source of information for a variable for a given EA participation record. Important examples include the name of the intervention, provider name and participation start and end dates. We identify those records where these inconsistencies occur. The general approach to resolving these inconsistencies is to favour the source that is most associated with the event itself. For example, if a contract system end date differs from the front-line system recorded end date, we take the front-line system end date.</w:t>
      </w:r>
    </w:p>
    <w:p w14:paraId="0FCD7C28" w14:textId="77777777" w:rsidR="005879B1" w:rsidRDefault="00A97397">
      <w:pPr>
        <w:pStyle w:val="Heading4"/>
      </w:pPr>
      <w:bookmarkStart w:id="22" w:name="participation-end-dates"/>
      <w:bookmarkEnd w:id="21"/>
      <w:r>
        <w:t>Participation end dates</w:t>
      </w:r>
    </w:p>
    <w:p w14:paraId="5920C653" w14:textId="77777777" w:rsidR="005879B1" w:rsidRDefault="00A97397">
      <w:r>
        <w:t>One difficult area of EA participation is an accurate recording of participation end dates. Either end dates are missing, or they are miss-keyed, giving either implausibly long participation spells or end dates that are earlier than start dates. In many instances, it is necessary to impute end dates where they are currently null or implausible (eg a seminar lasting eight years). If there is information about the expected end date, then we use this when the actual end date is missing. If no suitable end date is available, we estimate the end date based on the observed duration that people spend on the intervention or a similar intervention, if required.</w:t>
      </w:r>
    </w:p>
    <w:p w14:paraId="5965360B" w14:textId="77777777" w:rsidR="005879B1" w:rsidRDefault="00A97397">
      <w:pPr>
        <w:pStyle w:val="Heading4"/>
      </w:pPr>
      <w:bookmarkStart w:id="23" w:name="referral-dates"/>
      <w:bookmarkEnd w:id="22"/>
      <w:r>
        <w:t>Referral dates</w:t>
      </w:r>
    </w:p>
    <w:p w14:paraId="1AD7204F" w14:textId="77777777" w:rsidR="005879B1" w:rsidRDefault="00A97397">
      <w:r>
        <w:t>From an evaluation perspective, we are interested in when people are referred to interventions to identify who might have been approached about participating, as well as to identify likely effects of being referred to an intervention. For example, do we see a lock-in effect or the reverse, people exiting benefit in the period between referral and intervention start?</w:t>
      </w:r>
    </w:p>
    <w:p w14:paraId="49FF4825" w14:textId="77777777" w:rsidR="005879B1" w:rsidRDefault="00A97397">
      <w:pPr>
        <w:pStyle w:val="BodyText"/>
      </w:pPr>
      <w:r>
        <w:t xml:space="preserve">Referral information is generally unreliable for this type of analysis. In many instances, the formal recording of a referral occurs after an informal discussion and conversation with the intervention providers. Under these conditions, referral captures the point when a person is confirmed as intending to participate in the intervention. What is missed are those people </w:t>
      </w:r>
      <w:r>
        <w:lastRenderedPageBreak/>
        <w:t>where the case manager may have discussed the opportunity with the participant and the individual turned it down or where a provider had screened the potential applicant out.</w:t>
      </w:r>
    </w:p>
    <w:p w14:paraId="617F9E4A" w14:textId="77777777" w:rsidR="005879B1" w:rsidRDefault="00A97397">
      <w:pPr>
        <w:pStyle w:val="Heading1"/>
      </w:pPr>
      <w:bookmarkStart w:id="24" w:name="_Toc197957601"/>
      <w:bookmarkStart w:id="25" w:name="estimating-the-cost-of-ea-interventions"/>
      <w:bookmarkEnd w:id="23"/>
      <w:bookmarkEnd w:id="19"/>
      <w:bookmarkEnd w:id="17"/>
      <w:bookmarkEnd w:id="14"/>
      <w:r>
        <w:lastRenderedPageBreak/>
        <w:t>Estimating the cost of EA interventions</w:t>
      </w:r>
      <w:bookmarkEnd w:id="24"/>
    </w:p>
    <w:p w14:paraId="77E85778" w14:textId="77777777" w:rsidR="005879B1" w:rsidRDefault="00A97397">
      <w:r>
        <w:t>We use the individual Cost Allocation Model (iCAM) to estimate the cost of EA interventions for each financial year (MSD, 2017). Insights MSD created iCAM to provide a view of how spending to date has been allocated to outputs at the individual level. Here we define outputs as activities that MSD does to assist people such as a face-to-face meeting, a main benefit application, or an EA intervention.</w:t>
      </w:r>
    </w:p>
    <w:p w14:paraId="27708796" w14:textId="77777777" w:rsidR="005879B1" w:rsidRDefault="00A97397">
      <w:pPr>
        <w:pStyle w:val="Heading2"/>
      </w:pPr>
      <w:bookmarkStart w:id="26" w:name="_Toc197957602"/>
      <w:bookmarkStart w:id="27" w:name="X315013d2e25dc05c9ad8b612a0a2f020fb8409f"/>
      <w:r>
        <w:t>Principles behind the cost allocation model</w:t>
      </w:r>
      <w:bookmarkEnd w:id="26"/>
    </w:p>
    <w:p w14:paraId="230E5C09" w14:textId="77777777" w:rsidR="005879B1" w:rsidRDefault="00A97397">
      <w:r>
        <w:t>The cost allocation model works on the following principles:</w:t>
      </w:r>
    </w:p>
    <w:p w14:paraId="78ED973D" w14:textId="77777777" w:rsidR="005879B1" w:rsidRDefault="00A97397" w:rsidP="004357B9">
      <w:pPr>
        <w:numPr>
          <w:ilvl w:val="0"/>
          <w:numId w:val="10"/>
        </w:numPr>
      </w:pPr>
      <w:r>
        <w:rPr>
          <w:b/>
          <w:bCs/>
        </w:rPr>
        <w:t>Include all financial costs for Service Delivery (the operational arm of MSD)</w:t>
      </w:r>
      <w:r>
        <w:t>: the model starts with appropriation</w:t>
      </w:r>
      <w:r>
        <w:rPr>
          <w:rStyle w:val="FootnoteReference"/>
        </w:rPr>
        <w:footnoteReference w:id="1"/>
      </w:r>
      <w:r>
        <w:t xml:space="preserve"> expenditure for all outputs delivered by Service Delivery. The reason behind this principle is to make sure we do not exclude any costs that are already recorded in the Ministry’s financial systems. Having said this, income support payments designed to reduce income inadequacy are currently excluded, but we plan to include this information in later updates.</w:t>
      </w:r>
    </w:p>
    <w:p w14:paraId="4DCFF46C" w14:textId="77777777" w:rsidR="005879B1" w:rsidRDefault="00A97397" w:rsidP="004357B9">
      <w:pPr>
        <w:numPr>
          <w:ilvl w:val="0"/>
          <w:numId w:val="10"/>
        </w:numPr>
      </w:pPr>
      <w:r>
        <w:rPr>
          <w:b/>
          <w:bCs/>
        </w:rPr>
        <w:t>Reconcile allocated expenditure to financial totals</w:t>
      </w:r>
      <w:r>
        <w:t>: for each appropriation, the model reconciles (as far as possible) the allocated expenditure back to the appropriation amount in each financial year. At the very least, the sum of the allocated expenditure in each financial year should not exceed the appropriation amount.</w:t>
      </w:r>
    </w:p>
    <w:p w14:paraId="3DE0B76A" w14:textId="77777777" w:rsidR="005879B1" w:rsidRDefault="00A97397" w:rsidP="004357B9">
      <w:pPr>
        <w:numPr>
          <w:ilvl w:val="0"/>
          <w:numId w:val="10"/>
        </w:numPr>
      </w:pPr>
      <w:r>
        <w:rPr>
          <w:b/>
          <w:bCs/>
        </w:rPr>
        <w:t>Disaggregate costs down to the individual output level</w:t>
      </w:r>
      <w:r>
        <w:t>: to provide the highest level of accuracy and flexibility, the model disaggregates costs down to outputs (see the Cost allocation framework section below) at the person-event level. By doing so, we can accurately assess the amount of expenditure for individuals as well as retain the flexibility to summarise costs for any group of people. By building the model this way, we can also estimate the variability in the cost of delivering specific types of outputs.</w:t>
      </w:r>
    </w:p>
    <w:p w14:paraId="70E931B9" w14:textId="77777777" w:rsidR="005879B1" w:rsidRDefault="00A97397" w:rsidP="004357B9">
      <w:pPr>
        <w:numPr>
          <w:ilvl w:val="0"/>
          <w:numId w:val="10"/>
        </w:numPr>
      </w:pPr>
      <w:r>
        <w:rPr>
          <w:b/>
          <w:bCs/>
        </w:rPr>
        <w:t>Estimate the distribution of costs across outputs</w:t>
      </w:r>
      <w:r>
        <w:t xml:space="preserve">: when possible the iCAM uses metrics that try to align with the actual variation in the </w:t>
      </w:r>
      <w:r>
        <w:lastRenderedPageBreak/>
        <w:t>cost of delivering a given output, rather than relying on simple averages.</w:t>
      </w:r>
    </w:p>
    <w:p w14:paraId="3D258CB4" w14:textId="77777777" w:rsidR="005879B1" w:rsidRDefault="00A97397" w:rsidP="004357B9">
      <w:pPr>
        <w:numPr>
          <w:ilvl w:val="0"/>
          <w:numId w:val="10"/>
        </w:numPr>
      </w:pPr>
      <w:r>
        <w:rPr>
          <w:b/>
          <w:bCs/>
        </w:rPr>
        <w:t>Apply the same approach over all financial years</w:t>
      </w:r>
      <w:r>
        <w:t>: by applying the same approach across financial years (from 2001/2002 onwards) it is possible to identify trends in the cost of Service Delivery outputs across groups of people. However, this also means it is not possible to compare results across different versions of reports or cost models.</w:t>
      </w:r>
    </w:p>
    <w:p w14:paraId="6493B107" w14:textId="77777777" w:rsidR="005879B1" w:rsidRDefault="00A97397">
      <w:pPr>
        <w:pStyle w:val="Heading2"/>
      </w:pPr>
      <w:bookmarkStart w:id="28" w:name="_Toc197957603"/>
      <w:bookmarkStart w:id="29" w:name="cost-allocation-framework"/>
      <w:bookmarkEnd w:id="27"/>
      <w:r>
        <w:t>Cost allocation framework</w:t>
      </w:r>
      <w:bookmarkEnd w:id="28"/>
    </w:p>
    <w:p w14:paraId="10FB3901" w14:textId="77777777" w:rsidR="005879B1" w:rsidRDefault="00A97397">
      <w:r>
        <w:t>In this report, we briefly describe how the cost model works by using an example of an in-house seminar delivered by MSD. For a more detailed description, please refer to the iCAM technical report (MSD, 2017).</w:t>
      </w:r>
    </w:p>
    <w:p w14:paraId="10C69E94" w14:textId="77777777" w:rsidR="005879B1" w:rsidRDefault="00A97397">
      <w:pPr>
        <w:pStyle w:val="BodyText"/>
      </w:pPr>
      <w:r>
        <w:t>The process of delivering a seminar can be broken down into several components as listed in Table 2. For example, one component would be the time taken to book an appointment, alongside the seminar cost itself in the form of staff running the seminar. We first determine the total expenditure (see the Financial inputs section below) for each of these components by financial year.</w:t>
      </w:r>
    </w:p>
    <w:p w14:paraId="2EBE449F" w14:textId="77777777" w:rsidR="005879B1" w:rsidRPr="00435ECC" w:rsidRDefault="00A97397" w:rsidP="00435ECC">
      <w:pPr>
        <w:pStyle w:val="Caption"/>
      </w:pPr>
      <w:bookmarkStart w:id="30" w:name="tab:icam-comp-descriptions"/>
      <w:bookmarkEnd w:id="30"/>
      <w:r w:rsidRPr="00435ECC">
        <w:rPr>
          <w:b/>
          <w:bCs/>
        </w:rPr>
        <w:t>Table 2</w:t>
      </w:r>
      <w:r w:rsidRPr="00435ECC">
        <w:t>: Cost components and their metrics</w:t>
      </w:r>
    </w:p>
    <w:tbl>
      <w:tblPr>
        <w:tblW w:w="0" w:type="auto"/>
        <w:jc w:val="center"/>
        <w:tblLayout w:type="fixed"/>
        <w:tblLook w:val="0420" w:firstRow="1" w:lastRow="0" w:firstColumn="0" w:lastColumn="0" w:noHBand="0" w:noVBand="1"/>
      </w:tblPr>
      <w:tblGrid>
        <w:gridCol w:w="2160"/>
        <w:gridCol w:w="5040"/>
        <w:gridCol w:w="2160"/>
      </w:tblGrid>
      <w:tr w:rsidR="005879B1" w14:paraId="4718F866" w14:textId="77777777">
        <w:trPr>
          <w:tblHeader/>
          <w:jc w:val="center"/>
        </w:trPr>
        <w:tc>
          <w:tcPr>
            <w:tcW w:w="2160" w:type="dxa"/>
            <w:tcBorders>
              <w:top w:val="single" w:sz="8" w:space="0" w:color="252C65"/>
              <w:left w:val="none" w:sz="0" w:space="0" w:color="000000"/>
              <w:bottom w:val="none" w:sz="0" w:space="0" w:color="000000"/>
              <w:right w:val="none" w:sz="0" w:space="0" w:color="000000"/>
            </w:tcBorders>
            <w:shd w:val="clear" w:color="auto" w:fill="252C65"/>
            <w:tcMar>
              <w:top w:w="0" w:type="dxa"/>
              <w:left w:w="0" w:type="dxa"/>
              <w:bottom w:w="0" w:type="dxa"/>
              <w:right w:w="0" w:type="dxa"/>
            </w:tcMar>
            <w:vAlign w:val="center"/>
          </w:tcPr>
          <w:p w14:paraId="545B4BB9" w14:textId="77777777" w:rsidR="005879B1" w:rsidRDefault="00A97397">
            <w:pPr>
              <w:pBdr>
                <w:top w:val="none" w:sz="0" w:space="0" w:color="000000"/>
                <w:left w:val="none" w:sz="0" w:space="0" w:color="000000"/>
                <w:bottom w:val="none" w:sz="0" w:space="0" w:color="000000"/>
                <w:right w:val="none" w:sz="0" w:space="0" w:color="000000"/>
              </w:pBdr>
              <w:spacing w:before="100" w:after="100" w:line="240" w:lineRule="auto"/>
              <w:ind w:left="100" w:right="100"/>
              <w:rPr>
                <w:rFonts w:ascii="Arial" w:eastAsia="Arial" w:hAnsi="Arial" w:cs="Arial"/>
                <w:color w:val="FFFFFF"/>
                <w:sz w:val="16"/>
                <w:szCs w:val="16"/>
              </w:rPr>
            </w:pPr>
            <w:r>
              <w:rPr>
                <w:rFonts w:ascii="Arial" w:eastAsia="Arial" w:hAnsi="Arial" w:cs="Arial"/>
                <w:color w:val="FFFFFF"/>
                <w:sz w:val="16"/>
                <w:szCs w:val="16"/>
              </w:rPr>
              <w:t>Component</w:t>
            </w:r>
          </w:p>
        </w:tc>
        <w:tc>
          <w:tcPr>
            <w:tcW w:w="5040" w:type="dxa"/>
            <w:tcBorders>
              <w:top w:val="single" w:sz="8" w:space="0" w:color="252C65"/>
              <w:left w:val="none" w:sz="0" w:space="0" w:color="000000"/>
              <w:bottom w:val="none" w:sz="0" w:space="0" w:color="000000"/>
              <w:right w:val="none" w:sz="0" w:space="0" w:color="000000"/>
            </w:tcBorders>
            <w:shd w:val="clear" w:color="auto" w:fill="252C65"/>
            <w:tcMar>
              <w:top w:w="0" w:type="dxa"/>
              <w:left w:w="0" w:type="dxa"/>
              <w:bottom w:w="0" w:type="dxa"/>
              <w:right w:w="0" w:type="dxa"/>
            </w:tcMar>
            <w:vAlign w:val="center"/>
          </w:tcPr>
          <w:p w14:paraId="4D74C861" w14:textId="77777777" w:rsidR="005879B1" w:rsidRDefault="00A97397">
            <w:pPr>
              <w:pBdr>
                <w:top w:val="none" w:sz="0" w:space="0" w:color="000000"/>
                <w:left w:val="none" w:sz="0" w:space="0" w:color="000000"/>
                <w:bottom w:val="none" w:sz="0" w:space="0" w:color="000000"/>
                <w:right w:val="none" w:sz="0" w:space="0" w:color="000000"/>
              </w:pBdr>
              <w:spacing w:before="100" w:after="100" w:line="240" w:lineRule="auto"/>
              <w:ind w:left="100" w:right="100"/>
              <w:rPr>
                <w:rFonts w:ascii="Arial" w:eastAsia="Arial" w:hAnsi="Arial" w:cs="Arial"/>
                <w:color w:val="FFFFFF"/>
                <w:sz w:val="16"/>
                <w:szCs w:val="16"/>
              </w:rPr>
            </w:pPr>
            <w:r>
              <w:rPr>
                <w:rFonts w:ascii="Arial" w:eastAsia="Arial" w:hAnsi="Arial" w:cs="Arial"/>
                <w:color w:val="FFFFFF"/>
                <w:sz w:val="16"/>
                <w:szCs w:val="16"/>
              </w:rPr>
              <w:t>Definition</w:t>
            </w:r>
          </w:p>
        </w:tc>
        <w:tc>
          <w:tcPr>
            <w:tcW w:w="2160" w:type="dxa"/>
            <w:tcBorders>
              <w:top w:val="single" w:sz="8" w:space="0" w:color="252C65"/>
              <w:left w:val="none" w:sz="0" w:space="0" w:color="000000"/>
              <w:bottom w:val="none" w:sz="0" w:space="0" w:color="000000"/>
              <w:right w:val="none" w:sz="0" w:space="0" w:color="000000"/>
            </w:tcBorders>
            <w:shd w:val="clear" w:color="auto" w:fill="252C65"/>
            <w:tcMar>
              <w:top w:w="0" w:type="dxa"/>
              <w:left w:w="0" w:type="dxa"/>
              <w:bottom w:w="0" w:type="dxa"/>
              <w:right w:w="0" w:type="dxa"/>
            </w:tcMar>
            <w:vAlign w:val="center"/>
          </w:tcPr>
          <w:p w14:paraId="143818B8" w14:textId="77777777" w:rsidR="005879B1" w:rsidRDefault="00A97397">
            <w:pPr>
              <w:pBdr>
                <w:top w:val="none" w:sz="0" w:space="0" w:color="000000"/>
                <w:left w:val="none" w:sz="0" w:space="0" w:color="000000"/>
                <w:bottom w:val="none" w:sz="0" w:space="0" w:color="000000"/>
                <w:right w:val="none" w:sz="0" w:space="0" w:color="000000"/>
              </w:pBdr>
              <w:spacing w:before="100" w:after="100" w:line="240" w:lineRule="auto"/>
              <w:ind w:left="100" w:right="100"/>
              <w:rPr>
                <w:rFonts w:ascii="Arial" w:eastAsia="Arial" w:hAnsi="Arial" w:cs="Arial"/>
                <w:color w:val="FFFFFF"/>
                <w:sz w:val="16"/>
                <w:szCs w:val="16"/>
              </w:rPr>
            </w:pPr>
            <w:r>
              <w:rPr>
                <w:rFonts w:ascii="Arial" w:eastAsia="Arial" w:hAnsi="Arial" w:cs="Arial"/>
                <w:color w:val="FFFFFF"/>
                <w:sz w:val="16"/>
                <w:szCs w:val="16"/>
              </w:rPr>
              <w:t>Metric</w:t>
            </w:r>
          </w:p>
        </w:tc>
      </w:tr>
      <w:tr w:rsidR="005879B1" w14:paraId="51AC7791" w14:textId="77777777">
        <w:trPr>
          <w:jc w:val="center"/>
        </w:trPr>
        <w:tc>
          <w:tcPr>
            <w:tcW w:w="2160" w:type="dxa"/>
            <w:tcBorders>
              <w:top w:val="none" w:sz="0" w:space="0" w:color="000000"/>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3FE4BAE" w14:textId="77777777" w:rsidR="005879B1" w:rsidRDefault="00A97397">
            <w:pPr>
              <w:pBdr>
                <w:top w:val="none" w:sz="0" w:space="0" w:color="000000"/>
                <w:left w:val="none" w:sz="0" w:space="0" w:color="000000"/>
                <w:bottom w:val="none" w:sz="0" w:space="0" w:color="000000"/>
                <w:right w:val="none" w:sz="0" w:space="0" w:color="000000"/>
              </w:pBdr>
              <w:spacing w:before="100" w:after="100" w:line="240" w:lineRule="auto"/>
              <w:ind w:left="100" w:right="100"/>
              <w:rPr>
                <w:rFonts w:eastAsia="Verdana" w:cs="Verdana"/>
                <w:color w:val="252C65"/>
                <w:sz w:val="16"/>
                <w:szCs w:val="16"/>
              </w:rPr>
            </w:pPr>
            <w:r>
              <w:rPr>
                <w:rFonts w:eastAsia="Verdana" w:cs="Verdana"/>
                <w:color w:val="252C65"/>
                <w:sz w:val="16"/>
                <w:szCs w:val="16"/>
              </w:rPr>
              <w:t>Appointment</w:t>
            </w:r>
          </w:p>
        </w:tc>
        <w:tc>
          <w:tcPr>
            <w:tcW w:w="5040" w:type="dxa"/>
            <w:tcBorders>
              <w:top w:val="none" w:sz="0" w:space="0" w:color="000000"/>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DAA17E4" w14:textId="77777777" w:rsidR="005879B1" w:rsidRDefault="00A97397">
            <w:pPr>
              <w:pBdr>
                <w:top w:val="none" w:sz="0" w:space="0" w:color="000000"/>
                <w:left w:val="none" w:sz="0" w:space="0" w:color="000000"/>
                <w:bottom w:val="none" w:sz="0" w:space="0" w:color="000000"/>
                <w:right w:val="none" w:sz="0" w:space="0" w:color="000000"/>
              </w:pBdr>
              <w:spacing w:before="100" w:after="100" w:line="240" w:lineRule="auto"/>
              <w:ind w:left="100" w:right="100"/>
              <w:rPr>
                <w:rFonts w:eastAsia="Verdana" w:cs="Verdana"/>
                <w:color w:val="252C65"/>
                <w:sz w:val="16"/>
                <w:szCs w:val="16"/>
              </w:rPr>
            </w:pPr>
            <w:r>
              <w:rPr>
                <w:rFonts w:eastAsia="Verdana" w:cs="Verdana"/>
                <w:color w:val="252C65"/>
                <w:sz w:val="16"/>
                <w:szCs w:val="16"/>
              </w:rPr>
              <w:t>Scheduling an appointment</w:t>
            </w:r>
          </w:p>
        </w:tc>
        <w:tc>
          <w:tcPr>
            <w:tcW w:w="2160" w:type="dxa"/>
            <w:tcBorders>
              <w:top w:val="none" w:sz="0" w:space="0" w:color="000000"/>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163832F" w14:textId="77777777" w:rsidR="005879B1" w:rsidRDefault="00A97397">
            <w:pPr>
              <w:pBdr>
                <w:top w:val="none" w:sz="0" w:space="0" w:color="000000"/>
                <w:left w:val="none" w:sz="0" w:space="0" w:color="000000"/>
                <w:bottom w:val="none" w:sz="0" w:space="0" w:color="000000"/>
                <w:right w:val="none" w:sz="0" w:space="0" w:color="000000"/>
              </w:pBdr>
              <w:spacing w:before="100" w:after="100" w:line="240" w:lineRule="auto"/>
              <w:ind w:left="100" w:right="100"/>
              <w:rPr>
                <w:rFonts w:eastAsia="Verdana" w:cs="Verdana"/>
                <w:color w:val="252C65"/>
                <w:sz w:val="16"/>
                <w:szCs w:val="16"/>
              </w:rPr>
            </w:pPr>
            <w:r>
              <w:rPr>
                <w:rFonts w:eastAsia="Verdana" w:cs="Verdana"/>
                <w:color w:val="252C65"/>
                <w:sz w:val="16"/>
                <w:szCs w:val="16"/>
              </w:rPr>
              <w:t>Staff time</w:t>
            </w:r>
          </w:p>
        </w:tc>
      </w:tr>
      <w:tr w:rsidR="005879B1" w14:paraId="15CFD357" w14:textId="77777777">
        <w:trPr>
          <w:jc w:val="center"/>
        </w:trPr>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073D92E" w14:textId="77777777" w:rsidR="005879B1" w:rsidRDefault="00A97397">
            <w:pPr>
              <w:pBdr>
                <w:top w:val="none" w:sz="0" w:space="0" w:color="000000"/>
                <w:left w:val="none" w:sz="0" w:space="0" w:color="000000"/>
                <w:bottom w:val="none" w:sz="0" w:space="0" w:color="000000"/>
                <w:right w:val="none" w:sz="0" w:space="0" w:color="000000"/>
              </w:pBdr>
              <w:spacing w:before="100" w:after="100" w:line="240" w:lineRule="auto"/>
              <w:ind w:left="100" w:right="100"/>
              <w:rPr>
                <w:rFonts w:eastAsia="Verdana" w:cs="Verdana"/>
                <w:color w:val="252C65"/>
                <w:sz w:val="16"/>
                <w:szCs w:val="16"/>
              </w:rPr>
            </w:pPr>
            <w:r>
              <w:rPr>
                <w:rFonts w:eastAsia="Verdana" w:cs="Verdana"/>
                <w:color w:val="252C65"/>
                <w:sz w:val="16"/>
                <w:szCs w:val="16"/>
              </w:rPr>
              <w:t>Benefit administration</w:t>
            </w:r>
          </w:p>
        </w:tc>
        <w:tc>
          <w:tcPr>
            <w:tcW w:w="50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75F9BF1" w14:textId="77777777" w:rsidR="005879B1" w:rsidRDefault="00A97397">
            <w:pPr>
              <w:pBdr>
                <w:top w:val="none" w:sz="0" w:space="0" w:color="000000"/>
                <w:left w:val="none" w:sz="0" w:space="0" w:color="000000"/>
                <w:bottom w:val="none" w:sz="0" w:space="0" w:color="000000"/>
                <w:right w:val="none" w:sz="0" w:space="0" w:color="000000"/>
              </w:pBdr>
              <w:spacing w:before="100" w:after="100" w:line="240" w:lineRule="auto"/>
              <w:ind w:left="100" w:right="100"/>
              <w:rPr>
                <w:rFonts w:eastAsia="Verdana" w:cs="Verdana"/>
                <w:color w:val="252C65"/>
                <w:sz w:val="16"/>
                <w:szCs w:val="16"/>
              </w:rPr>
            </w:pPr>
            <w:r>
              <w:rPr>
                <w:rFonts w:eastAsia="Verdana" w:cs="Verdana"/>
                <w:color w:val="252C65"/>
                <w:sz w:val="16"/>
                <w:szCs w:val="16"/>
              </w:rPr>
              <w:t>Assessing and maintaining entitlement to income support assistance</w:t>
            </w:r>
          </w:p>
        </w:tc>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9EE4B6A" w14:textId="77777777" w:rsidR="005879B1" w:rsidRDefault="00A97397">
            <w:pPr>
              <w:pBdr>
                <w:top w:val="none" w:sz="0" w:space="0" w:color="000000"/>
                <w:left w:val="none" w:sz="0" w:space="0" w:color="000000"/>
                <w:bottom w:val="none" w:sz="0" w:space="0" w:color="000000"/>
                <w:right w:val="none" w:sz="0" w:space="0" w:color="000000"/>
              </w:pBdr>
              <w:spacing w:before="100" w:after="100" w:line="240" w:lineRule="auto"/>
              <w:ind w:left="100" w:right="100"/>
              <w:rPr>
                <w:rFonts w:eastAsia="Verdana" w:cs="Verdana"/>
                <w:color w:val="252C65"/>
                <w:sz w:val="16"/>
                <w:szCs w:val="16"/>
              </w:rPr>
            </w:pPr>
            <w:r>
              <w:rPr>
                <w:rFonts w:eastAsia="Verdana" w:cs="Verdana"/>
                <w:color w:val="252C65"/>
                <w:sz w:val="16"/>
                <w:szCs w:val="16"/>
              </w:rPr>
              <w:t>Staff time</w:t>
            </w:r>
          </w:p>
        </w:tc>
      </w:tr>
      <w:tr w:rsidR="005879B1" w14:paraId="39601251" w14:textId="77777777">
        <w:trPr>
          <w:jc w:val="center"/>
        </w:trPr>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0EB5C10" w14:textId="77777777" w:rsidR="005879B1" w:rsidRDefault="00A97397">
            <w:pPr>
              <w:pBdr>
                <w:top w:val="none" w:sz="0" w:space="0" w:color="000000"/>
                <w:left w:val="none" w:sz="0" w:space="0" w:color="000000"/>
                <w:bottom w:val="none" w:sz="0" w:space="0" w:color="000000"/>
                <w:right w:val="none" w:sz="0" w:space="0" w:color="000000"/>
              </w:pBdr>
              <w:spacing w:before="100" w:after="100" w:line="240" w:lineRule="auto"/>
              <w:ind w:left="100" w:right="100"/>
              <w:rPr>
                <w:rFonts w:eastAsia="Verdana" w:cs="Verdana"/>
                <w:color w:val="252C65"/>
                <w:sz w:val="16"/>
                <w:szCs w:val="16"/>
              </w:rPr>
            </w:pPr>
            <w:r>
              <w:rPr>
                <w:rFonts w:eastAsia="Verdana" w:cs="Verdana"/>
                <w:color w:val="252C65"/>
                <w:sz w:val="16"/>
                <w:szCs w:val="16"/>
              </w:rPr>
              <w:t>Benefit payments</w:t>
            </w:r>
          </w:p>
        </w:tc>
        <w:tc>
          <w:tcPr>
            <w:tcW w:w="50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037B924" w14:textId="77777777" w:rsidR="005879B1" w:rsidRDefault="00A97397">
            <w:pPr>
              <w:pBdr>
                <w:top w:val="none" w:sz="0" w:space="0" w:color="000000"/>
                <w:left w:val="none" w:sz="0" w:space="0" w:color="000000"/>
                <w:bottom w:val="none" w:sz="0" w:space="0" w:color="000000"/>
                <w:right w:val="none" w:sz="0" w:space="0" w:color="000000"/>
              </w:pBdr>
              <w:spacing w:before="100" w:after="100" w:line="240" w:lineRule="auto"/>
              <w:ind w:left="100" w:right="100"/>
              <w:rPr>
                <w:rFonts w:eastAsia="Verdana" w:cs="Verdana"/>
                <w:color w:val="252C65"/>
                <w:sz w:val="16"/>
                <w:szCs w:val="16"/>
              </w:rPr>
            </w:pPr>
            <w:r>
              <w:rPr>
                <w:rFonts w:eastAsia="Verdana" w:cs="Verdana"/>
                <w:color w:val="252C65"/>
                <w:sz w:val="16"/>
                <w:szCs w:val="16"/>
              </w:rPr>
              <w:t>Bank fees for payment of income support benefits</w:t>
            </w:r>
          </w:p>
        </w:tc>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4C66010" w14:textId="77777777" w:rsidR="005879B1" w:rsidRDefault="00A97397">
            <w:pPr>
              <w:pBdr>
                <w:top w:val="none" w:sz="0" w:space="0" w:color="000000"/>
                <w:left w:val="none" w:sz="0" w:space="0" w:color="000000"/>
                <w:bottom w:val="none" w:sz="0" w:space="0" w:color="000000"/>
                <w:right w:val="none" w:sz="0" w:space="0" w:color="000000"/>
              </w:pBdr>
              <w:spacing w:before="100" w:after="100" w:line="240" w:lineRule="auto"/>
              <w:ind w:left="100" w:right="100"/>
              <w:rPr>
                <w:rFonts w:eastAsia="Verdana" w:cs="Verdana"/>
                <w:color w:val="252C65"/>
                <w:sz w:val="16"/>
                <w:szCs w:val="16"/>
              </w:rPr>
            </w:pPr>
            <w:r>
              <w:rPr>
                <w:rFonts w:eastAsia="Verdana" w:cs="Verdana"/>
                <w:color w:val="252C65"/>
                <w:sz w:val="16"/>
                <w:szCs w:val="16"/>
              </w:rPr>
              <w:t>Pay weeks</w:t>
            </w:r>
          </w:p>
        </w:tc>
      </w:tr>
      <w:tr w:rsidR="005879B1" w14:paraId="7914975A" w14:textId="77777777">
        <w:trPr>
          <w:jc w:val="center"/>
        </w:trPr>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5AB725C" w14:textId="77777777" w:rsidR="005879B1" w:rsidRDefault="00A97397">
            <w:pPr>
              <w:pBdr>
                <w:top w:val="none" w:sz="0" w:space="0" w:color="000000"/>
                <w:left w:val="none" w:sz="0" w:space="0" w:color="000000"/>
                <w:bottom w:val="none" w:sz="0" w:space="0" w:color="000000"/>
                <w:right w:val="none" w:sz="0" w:space="0" w:color="000000"/>
              </w:pBdr>
              <w:spacing w:before="100" w:after="100" w:line="240" w:lineRule="auto"/>
              <w:ind w:left="100" w:right="100"/>
              <w:rPr>
                <w:rFonts w:eastAsia="Verdana" w:cs="Verdana"/>
                <w:color w:val="252C65"/>
                <w:sz w:val="16"/>
                <w:szCs w:val="16"/>
              </w:rPr>
            </w:pPr>
            <w:r>
              <w:rPr>
                <w:rFonts w:eastAsia="Verdana" w:cs="Verdana"/>
                <w:color w:val="252C65"/>
                <w:sz w:val="16"/>
                <w:szCs w:val="16"/>
              </w:rPr>
              <w:t>Client contact</w:t>
            </w:r>
          </w:p>
        </w:tc>
        <w:tc>
          <w:tcPr>
            <w:tcW w:w="50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D4F1176" w14:textId="77777777" w:rsidR="005879B1" w:rsidRDefault="00A97397">
            <w:pPr>
              <w:pBdr>
                <w:top w:val="none" w:sz="0" w:space="0" w:color="000000"/>
                <w:left w:val="none" w:sz="0" w:space="0" w:color="000000"/>
                <w:bottom w:val="none" w:sz="0" w:space="0" w:color="000000"/>
                <w:right w:val="none" w:sz="0" w:space="0" w:color="000000"/>
              </w:pBdr>
              <w:spacing w:before="100" w:after="100" w:line="240" w:lineRule="auto"/>
              <w:ind w:left="100" w:right="100"/>
              <w:rPr>
                <w:rFonts w:eastAsia="Verdana" w:cs="Verdana"/>
                <w:color w:val="252C65"/>
                <w:sz w:val="16"/>
                <w:szCs w:val="16"/>
              </w:rPr>
            </w:pPr>
            <w:r>
              <w:rPr>
                <w:rFonts w:eastAsia="Verdana" w:cs="Verdana"/>
                <w:color w:val="252C65"/>
                <w:sz w:val="16"/>
                <w:szCs w:val="16"/>
              </w:rPr>
              <w:t>Contact with individuals to help them plan and move into employment or time spent updating their records</w:t>
            </w:r>
          </w:p>
        </w:tc>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D5D8DC5" w14:textId="77777777" w:rsidR="005879B1" w:rsidRDefault="00A97397">
            <w:pPr>
              <w:pBdr>
                <w:top w:val="none" w:sz="0" w:space="0" w:color="000000"/>
                <w:left w:val="none" w:sz="0" w:space="0" w:color="000000"/>
                <w:bottom w:val="none" w:sz="0" w:space="0" w:color="000000"/>
                <w:right w:val="none" w:sz="0" w:space="0" w:color="000000"/>
              </w:pBdr>
              <w:spacing w:before="100" w:after="100" w:line="240" w:lineRule="auto"/>
              <w:ind w:left="100" w:right="100"/>
              <w:rPr>
                <w:rFonts w:eastAsia="Verdana" w:cs="Verdana"/>
                <w:color w:val="252C65"/>
                <w:sz w:val="16"/>
                <w:szCs w:val="16"/>
              </w:rPr>
            </w:pPr>
            <w:r>
              <w:rPr>
                <w:rFonts w:eastAsia="Verdana" w:cs="Verdana"/>
                <w:color w:val="252C65"/>
                <w:sz w:val="16"/>
                <w:szCs w:val="16"/>
              </w:rPr>
              <w:t>Staff time</w:t>
            </w:r>
          </w:p>
        </w:tc>
      </w:tr>
      <w:tr w:rsidR="005879B1" w14:paraId="67AACC70" w14:textId="77777777">
        <w:trPr>
          <w:jc w:val="center"/>
        </w:trPr>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5FF6144" w14:textId="77777777" w:rsidR="005879B1" w:rsidRDefault="00A97397">
            <w:pPr>
              <w:pBdr>
                <w:top w:val="none" w:sz="0" w:space="0" w:color="000000"/>
                <w:left w:val="none" w:sz="0" w:space="0" w:color="000000"/>
                <w:bottom w:val="none" w:sz="0" w:space="0" w:color="000000"/>
                <w:right w:val="none" w:sz="0" w:space="0" w:color="000000"/>
              </w:pBdr>
              <w:spacing w:before="100" w:after="100" w:line="240" w:lineRule="auto"/>
              <w:ind w:left="100" w:right="100"/>
              <w:rPr>
                <w:rFonts w:eastAsia="Verdana" w:cs="Verdana"/>
                <w:color w:val="252C65"/>
                <w:sz w:val="16"/>
                <w:szCs w:val="16"/>
              </w:rPr>
            </w:pPr>
            <w:r>
              <w:rPr>
                <w:rFonts w:eastAsia="Verdana" w:cs="Verdana"/>
                <w:color w:val="252C65"/>
                <w:sz w:val="16"/>
                <w:szCs w:val="16"/>
              </w:rPr>
              <w:t>Contract Administration</w:t>
            </w:r>
          </w:p>
        </w:tc>
        <w:tc>
          <w:tcPr>
            <w:tcW w:w="50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143340F" w14:textId="77777777" w:rsidR="005879B1" w:rsidRDefault="00A97397">
            <w:pPr>
              <w:pBdr>
                <w:top w:val="none" w:sz="0" w:space="0" w:color="000000"/>
                <w:left w:val="none" w:sz="0" w:space="0" w:color="000000"/>
                <w:bottom w:val="none" w:sz="0" w:space="0" w:color="000000"/>
                <w:right w:val="none" w:sz="0" w:space="0" w:color="000000"/>
              </w:pBdr>
              <w:spacing w:before="100" w:after="100" w:line="240" w:lineRule="auto"/>
              <w:ind w:left="100" w:right="100"/>
              <w:rPr>
                <w:rFonts w:eastAsia="Verdana" w:cs="Verdana"/>
                <w:color w:val="252C65"/>
                <w:sz w:val="16"/>
                <w:szCs w:val="16"/>
              </w:rPr>
            </w:pPr>
            <w:r>
              <w:rPr>
                <w:rFonts w:eastAsia="Verdana" w:cs="Verdana"/>
                <w:color w:val="252C65"/>
                <w:sz w:val="16"/>
                <w:szCs w:val="16"/>
              </w:rPr>
              <w:t>Administration of contracts, including tendering, negotiation, payment and managing the performance of contracted providers</w:t>
            </w:r>
          </w:p>
        </w:tc>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A3112CC" w14:textId="77777777" w:rsidR="005879B1" w:rsidRDefault="00A97397">
            <w:pPr>
              <w:pBdr>
                <w:top w:val="none" w:sz="0" w:space="0" w:color="000000"/>
                <w:left w:val="none" w:sz="0" w:space="0" w:color="000000"/>
                <w:bottom w:val="none" w:sz="0" w:space="0" w:color="000000"/>
                <w:right w:val="none" w:sz="0" w:space="0" w:color="000000"/>
              </w:pBdr>
              <w:spacing w:before="100" w:after="100" w:line="240" w:lineRule="auto"/>
              <w:ind w:left="100" w:right="100"/>
              <w:rPr>
                <w:rFonts w:eastAsia="Verdana" w:cs="Verdana"/>
                <w:color w:val="252C65"/>
                <w:sz w:val="16"/>
                <w:szCs w:val="16"/>
              </w:rPr>
            </w:pPr>
            <w:r>
              <w:rPr>
                <w:rFonts w:eastAsia="Verdana" w:cs="Verdana"/>
                <w:color w:val="252C65"/>
                <w:sz w:val="16"/>
                <w:szCs w:val="16"/>
              </w:rPr>
              <w:t>Contract amount</w:t>
            </w:r>
          </w:p>
        </w:tc>
      </w:tr>
      <w:tr w:rsidR="005879B1" w14:paraId="33A9CCA9" w14:textId="77777777">
        <w:trPr>
          <w:jc w:val="center"/>
        </w:trPr>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E71C499" w14:textId="77777777" w:rsidR="005879B1" w:rsidRDefault="00A97397">
            <w:pPr>
              <w:pBdr>
                <w:top w:val="none" w:sz="0" w:space="0" w:color="000000"/>
                <w:left w:val="none" w:sz="0" w:space="0" w:color="000000"/>
                <w:bottom w:val="none" w:sz="0" w:space="0" w:color="000000"/>
                <w:right w:val="none" w:sz="0" w:space="0" w:color="000000"/>
              </w:pBdr>
              <w:spacing w:before="100" w:after="100" w:line="240" w:lineRule="auto"/>
              <w:ind w:left="100" w:right="100"/>
              <w:rPr>
                <w:rFonts w:eastAsia="Verdana" w:cs="Verdana"/>
                <w:color w:val="252C65"/>
                <w:sz w:val="16"/>
                <w:szCs w:val="16"/>
              </w:rPr>
            </w:pPr>
            <w:r>
              <w:rPr>
                <w:rFonts w:eastAsia="Verdana" w:cs="Verdana"/>
                <w:color w:val="252C65"/>
                <w:sz w:val="16"/>
                <w:szCs w:val="16"/>
              </w:rPr>
              <w:t>Contract payment</w:t>
            </w:r>
          </w:p>
        </w:tc>
        <w:tc>
          <w:tcPr>
            <w:tcW w:w="50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D8FE83E" w14:textId="77777777" w:rsidR="005879B1" w:rsidRDefault="00A97397">
            <w:pPr>
              <w:pBdr>
                <w:top w:val="none" w:sz="0" w:space="0" w:color="000000"/>
                <w:left w:val="none" w:sz="0" w:space="0" w:color="000000"/>
                <w:bottom w:val="none" w:sz="0" w:space="0" w:color="000000"/>
                <w:right w:val="none" w:sz="0" w:space="0" w:color="000000"/>
              </w:pBdr>
              <w:spacing w:before="100" w:after="100" w:line="240" w:lineRule="auto"/>
              <w:ind w:left="100" w:right="100"/>
              <w:rPr>
                <w:rFonts w:eastAsia="Verdana" w:cs="Verdana"/>
                <w:color w:val="252C65"/>
                <w:sz w:val="16"/>
                <w:szCs w:val="16"/>
              </w:rPr>
            </w:pPr>
            <w:r>
              <w:rPr>
                <w:rFonts w:eastAsia="Verdana" w:cs="Verdana"/>
                <w:color w:val="252C65"/>
                <w:sz w:val="16"/>
                <w:szCs w:val="16"/>
              </w:rPr>
              <w:t>Payment of contracts</w:t>
            </w:r>
          </w:p>
        </w:tc>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4CD5103" w14:textId="77777777" w:rsidR="005879B1" w:rsidRDefault="00A97397">
            <w:pPr>
              <w:pBdr>
                <w:top w:val="none" w:sz="0" w:space="0" w:color="000000"/>
                <w:left w:val="none" w:sz="0" w:space="0" w:color="000000"/>
                <w:bottom w:val="none" w:sz="0" w:space="0" w:color="000000"/>
                <w:right w:val="none" w:sz="0" w:space="0" w:color="000000"/>
              </w:pBdr>
              <w:spacing w:before="100" w:after="100" w:line="240" w:lineRule="auto"/>
              <w:ind w:left="100" w:right="100"/>
              <w:rPr>
                <w:rFonts w:eastAsia="Verdana" w:cs="Verdana"/>
                <w:color w:val="252C65"/>
                <w:sz w:val="16"/>
                <w:szCs w:val="16"/>
              </w:rPr>
            </w:pPr>
            <w:r>
              <w:rPr>
                <w:rFonts w:eastAsia="Verdana" w:cs="Verdana"/>
                <w:color w:val="252C65"/>
                <w:sz w:val="16"/>
                <w:szCs w:val="16"/>
              </w:rPr>
              <w:t>Contract amount</w:t>
            </w:r>
          </w:p>
        </w:tc>
      </w:tr>
      <w:tr w:rsidR="005879B1" w14:paraId="15862E41" w14:textId="77777777">
        <w:trPr>
          <w:jc w:val="center"/>
        </w:trPr>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41D50CE" w14:textId="77777777" w:rsidR="005879B1" w:rsidRDefault="00A97397">
            <w:pPr>
              <w:pBdr>
                <w:top w:val="none" w:sz="0" w:space="0" w:color="000000"/>
                <w:left w:val="none" w:sz="0" w:space="0" w:color="000000"/>
                <w:bottom w:val="none" w:sz="0" w:space="0" w:color="000000"/>
                <w:right w:val="none" w:sz="0" w:space="0" w:color="000000"/>
              </w:pBdr>
              <w:spacing w:before="100" w:after="100" w:line="240" w:lineRule="auto"/>
              <w:ind w:left="100" w:right="100"/>
              <w:rPr>
                <w:rFonts w:eastAsia="Verdana" w:cs="Verdana"/>
                <w:color w:val="252C65"/>
                <w:sz w:val="16"/>
                <w:szCs w:val="16"/>
              </w:rPr>
            </w:pPr>
            <w:r>
              <w:rPr>
                <w:rFonts w:eastAsia="Verdana" w:cs="Verdana"/>
                <w:color w:val="252C65"/>
                <w:sz w:val="16"/>
                <w:szCs w:val="16"/>
              </w:rPr>
              <w:t>Grant</w:t>
            </w:r>
          </w:p>
        </w:tc>
        <w:tc>
          <w:tcPr>
            <w:tcW w:w="50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3B1A768" w14:textId="77777777" w:rsidR="005879B1" w:rsidRDefault="00A97397">
            <w:pPr>
              <w:pBdr>
                <w:top w:val="none" w:sz="0" w:space="0" w:color="000000"/>
                <w:left w:val="none" w:sz="0" w:space="0" w:color="000000"/>
                <w:bottom w:val="none" w:sz="0" w:space="0" w:color="000000"/>
                <w:right w:val="none" w:sz="0" w:space="0" w:color="000000"/>
              </w:pBdr>
              <w:spacing w:before="100" w:after="100" w:line="240" w:lineRule="auto"/>
              <w:ind w:left="100" w:right="100"/>
              <w:rPr>
                <w:rFonts w:eastAsia="Verdana" w:cs="Verdana"/>
                <w:color w:val="252C65"/>
                <w:sz w:val="16"/>
                <w:szCs w:val="16"/>
              </w:rPr>
            </w:pPr>
            <w:r>
              <w:rPr>
                <w:rFonts w:eastAsia="Verdana" w:cs="Verdana"/>
                <w:color w:val="252C65"/>
                <w:sz w:val="16"/>
                <w:szCs w:val="16"/>
              </w:rPr>
              <w:t>Financial transfer to people to assist them with further training or with transitioning into employment</w:t>
            </w:r>
          </w:p>
        </w:tc>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1701FF1" w14:textId="77777777" w:rsidR="005879B1" w:rsidRDefault="00A97397">
            <w:pPr>
              <w:pBdr>
                <w:top w:val="none" w:sz="0" w:space="0" w:color="000000"/>
                <w:left w:val="none" w:sz="0" w:space="0" w:color="000000"/>
                <w:bottom w:val="none" w:sz="0" w:space="0" w:color="000000"/>
                <w:right w:val="none" w:sz="0" w:space="0" w:color="000000"/>
              </w:pBdr>
              <w:spacing w:before="100" w:after="100" w:line="240" w:lineRule="auto"/>
              <w:ind w:left="100" w:right="100"/>
              <w:rPr>
                <w:rFonts w:eastAsia="Verdana" w:cs="Verdana"/>
                <w:color w:val="252C65"/>
                <w:sz w:val="16"/>
                <w:szCs w:val="16"/>
              </w:rPr>
            </w:pPr>
            <w:r>
              <w:rPr>
                <w:rFonts w:eastAsia="Verdana" w:cs="Verdana"/>
                <w:color w:val="252C65"/>
                <w:sz w:val="16"/>
                <w:szCs w:val="16"/>
              </w:rPr>
              <w:t>Grant amount</w:t>
            </w:r>
          </w:p>
        </w:tc>
      </w:tr>
      <w:tr w:rsidR="005879B1" w14:paraId="611FEC8F" w14:textId="77777777">
        <w:trPr>
          <w:jc w:val="center"/>
        </w:trPr>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7A934F3" w14:textId="77777777" w:rsidR="005879B1" w:rsidRDefault="00A97397">
            <w:pPr>
              <w:pBdr>
                <w:top w:val="none" w:sz="0" w:space="0" w:color="000000"/>
                <w:left w:val="none" w:sz="0" w:space="0" w:color="000000"/>
                <w:bottom w:val="none" w:sz="0" w:space="0" w:color="000000"/>
                <w:right w:val="none" w:sz="0" w:space="0" w:color="000000"/>
              </w:pBdr>
              <w:spacing w:before="100" w:after="100" w:line="240" w:lineRule="auto"/>
              <w:ind w:left="100" w:right="100"/>
              <w:rPr>
                <w:rFonts w:eastAsia="Verdana" w:cs="Verdana"/>
                <w:color w:val="252C65"/>
                <w:sz w:val="16"/>
                <w:szCs w:val="16"/>
              </w:rPr>
            </w:pPr>
            <w:r>
              <w:rPr>
                <w:rFonts w:eastAsia="Verdana" w:cs="Verdana"/>
                <w:color w:val="252C65"/>
                <w:sz w:val="16"/>
                <w:szCs w:val="16"/>
              </w:rPr>
              <w:t>Grant Administration</w:t>
            </w:r>
          </w:p>
        </w:tc>
        <w:tc>
          <w:tcPr>
            <w:tcW w:w="50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161371B" w14:textId="77777777" w:rsidR="005879B1" w:rsidRDefault="00A97397">
            <w:pPr>
              <w:pBdr>
                <w:top w:val="none" w:sz="0" w:space="0" w:color="000000"/>
                <w:left w:val="none" w:sz="0" w:space="0" w:color="000000"/>
                <w:bottom w:val="none" w:sz="0" w:space="0" w:color="000000"/>
                <w:right w:val="none" w:sz="0" w:space="0" w:color="000000"/>
              </w:pBdr>
              <w:spacing w:before="100" w:after="100" w:line="240" w:lineRule="auto"/>
              <w:ind w:left="100" w:right="100"/>
              <w:rPr>
                <w:rFonts w:eastAsia="Verdana" w:cs="Verdana"/>
                <w:color w:val="252C65"/>
                <w:sz w:val="16"/>
                <w:szCs w:val="16"/>
              </w:rPr>
            </w:pPr>
            <w:r>
              <w:rPr>
                <w:rFonts w:eastAsia="Verdana" w:cs="Verdana"/>
                <w:color w:val="252C65"/>
                <w:sz w:val="16"/>
                <w:szCs w:val="16"/>
              </w:rPr>
              <w:t>Assessing and administering grant applications</w:t>
            </w:r>
          </w:p>
        </w:tc>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98BBEB4" w14:textId="77777777" w:rsidR="005879B1" w:rsidRDefault="00A97397">
            <w:pPr>
              <w:pBdr>
                <w:top w:val="none" w:sz="0" w:space="0" w:color="000000"/>
                <w:left w:val="none" w:sz="0" w:space="0" w:color="000000"/>
                <w:bottom w:val="none" w:sz="0" w:space="0" w:color="000000"/>
                <w:right w:val="none" w:sz="0" w:space="0" w:color="000000"/>
              </w:pBdr>
              <w:spacing w:before="100" w:after="100" w:line="240" w:lineRule="auto"/>
              <w:ind w:left="100" w:right="100"/>
              <w:rPr>
                <w:rFonts w:eastAsia="Verdana" w:cs="Verdana"/>
                <w:color w:val="252C65"/>
                <w:sz w:val="16"/>
                <w:szCs w:val="16"/>
              </w:rPr>
            </w:pPr>
            <w:r>
              <w:rPr>
                <w:rFonts w:eastAsia="Verdana" w:cs="Verdana"/>
                <w:color w:val="252C65"/>
                <w:sz w:val="16"/>
                <w:szCs w:val="16"/>
              </w:rPr>
              <w:t>Staff time</w:t>
            </w:r>
          </w:p>
        </w:tc>
      </w:tr>
      <w:tr w:rsidR="005879B1" w14:paraId="36B47238" w14:textId="77777777">
        <w:trPr>
          <w:jc w:val="center"/>
        </w:trPr>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0C31CBE" w14:textId="77777777" w:rsidR="005879B1" w:rsidRDefault="00A97397">
            <w:pPr>
              <w:pBdr>
                <w:top w:val="none" w:sz="0" w:space="0" w:color="000000"/>
                <w:left w:val="none" w:sz="0" w:space="0" w:color="000000"/>
                <w:bottom w:val="none" w:sz="0" w:space="0" w:color="000000"/>
                <w:right w:val="none" w:sz="0" w:space="0" w:color="000000"/>
              </w:pBdr>
              <w:spacing w:before="100" w:after="100" w:line="240" w:lineRule="auto"/>
              <w:ind w:left="100" w:right="100"/>
              <w:rPr>
                <w:rFonts w:eastAsia="Verdana" w:cs="Verdana"/>
                <w:color w:val="252C65"/>
                <w:sz w:val="16"/>
                <w:szCs w:val="16"/>
              </w:rPr>
            </w:pPr>
            <w:r>
              <w:rPr>
                <w:rFonts w:eastAsia="Verdana" w:cs="Verdana"/>
                <w:color w:val="252C65"/>
                <w:sz w:val="16"/>
                <w:szCs w:val="16"/>
              </w:rPr>
              <w:t>Integrity (fraud and debt)</w:t>
            </w:r>
          </w:p>
        </w:tc>
        <w:tc>
          <w:tcPr>
            <w:tcW w:w="50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83262FC" w14:textId="77777777" w:rsidR="005879B1" w:rsidRDefault="00A97397">
            <w:pPr>
              <w:pBdr>
                <w:top w:val="none" w:sz="0" w:space="0" w:color="000000"/>
                <w:left w:val="none" w:sz="0" w:space="0" w:color="000000"/>
                <w:bottom w:val="none" w:sz="0" w:space="0" w:color="000000"/>
                <w:right w:val="none" w:sz="0" w:space="0" w:color="000000"/>
              </w:pBdr>
              <w:spacing w:before="100" w:after="100" w:line="240" w:lineRule="auto"/>
              <w:ind w:left="100" w:right="100"/>
              <w:rPr>
                <w:rFonts w:eastAsia="Verdana" w:cs="Verdana"/>
                <w:color w:val="252C65"/>
                <w:sz w:val="16"/>
                <w:szCs w:val="16"/>
              </w:rPr>
            </w:pPr>
            <w:r>
              <w:rPr>
                <w:rFonts w:eastAsia="Verdana" w:cs="Verdana"/>
                <w:color w:val="252C65"/>
                <w:sz w:val="16"/>
                <w:szCs w:val="16"/>
              </w:rPr>
              <w:t>Identification of benefit fraud and the collection of outstanding debt</w:t>
            </w:r>
          </w:p>
        </w:tc>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00C6611" w14:textId="77777777" w:rsidR="005879B1" w:rsidRDefault="00A97397">
            <w:pPr>
              <w:pBdr>
                <w:top w:val="none" w:sz="0" w:space="0" w:color="000000"/>
                <w:left w:val="none" w:sz="0" w:space="0" w:color="000000"/>
                <w:bottom w:val="none" w:sz="0" w:space="0" w:color="000000"/>
                <w:right w:val="none" w:sz="0" w:space="0" w:color="000000"/>
              </w:pBdr>
              <w:spacing w:before="100" w:after="100" w:line="240" w:lineRule="auto"/>
              <w:ind w:left="100" w:right="100"/>
              <w:rPr>
                <w:rFonts w:eastAsia="Verdana" w:cs="Verdana"/>
                <w:color w:val="252C65"/>
                <w:sz w:val="16"/>
                <w:szCs w:val="16"/>
              </w:rPr>
            </w:pPr>
            <w:r>
              <w:rPr>
                <w:rFonts w:eastAsia="Verdana" w:cs="Verdana"/>
                <w:color w:val="252C65"/>
                <w:sz w:val="16"/>
                <w:szCs w:val="16"/>
              </w:rPr>
              <w:t>Staff time</w:t>
            </w:r>
          </w:p>
        </w:tc>
      </w:tr>
      <w:tr w:rsidR="005879B1" w14:paraId="27C0711C" w14:textId="77777777">
        <w:trPr>
          <w:jc w:val="center"/>
        </w:trPr>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38E923B" w14:textId="77777777" w:rsidR="005879B1" w:rsidRDefault="00A97397">
            <w:pPr>
              <w:pBdr>
                <w:top w:val="none" w:sz="0" w:space="0" w:color="000000"/>
                <w:left w:val="none" w:sz="0" w:space="0" w:color="000000"/>
                <w:bottom w:val="none" w:sz="0" w:space="0" w:color="000000"/>
                <w:right w:val="none" w:sz="0" w:space="0" w:color="000000"/>
              </w:pBdr>
              <w:spacing w:before="100" w:after="100" w:line="240" w:lineRule="auto"/>
              <w:ind w:left="100" w:right="100"/>
              <w:rPr>
                <w:rFonts w:eastAsia="Verdana" w:cs="Verdana"/>
                <w:color w:val="252C65"/>
                <w:sz w:val="16"/>
                <w:szCs w:val="16"/>
              </w:rPr>
            </w:pPr>
            <w:r>
              <w:rPr>
                <w:rFonts w:eastAsia="Verdana" w:cs="Verdana"/>
                <w:color w:val="252C65"/>
                <w:sz w:val="16"/>
                <w:szCs w:val="16"/>
              </w:rPr>
              <w:t>Placement opportunity</w:t>
            </w:r>
          </w:p>
        </w:tc>
        <w:tc>
          <w:tcPr>
            <w:tcW w:w="50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F8CAAA3" w14:textId="77777777" w:rsidR="005879B1" w:rsidRDefault="00A97397">
            <w:pPr>
              <w:pBdr>
                <w:top w:val="none" w:sz="0" w:space="0" w:color="000000"/>
                <w:left w:val="none" w:sz="0" w:space="0" w:color="000000"/>
                <w:bottom w:val="none" w:sz="0" w:space="0" w:color="000000"/>
                <w:right w:val="none" w:sz="0" w:space="0" w:color="000000"/>
              </w:pBdr>
              <w:spacing w:before="100" w:after="100" w:line="240" w:lineRule="auto"/>
              <w:ind w:left="100" w:right="100"/>
              <w:rPr>
                <w:rFonts w:eastAsia="Verdana" w:cs="Verdana"/>
                <w:color w:val="252C65"/>
                <w:sz w:val="16"/>
                <w:szCs w:val="16"/>
              </w:rPr>
            </w:pPr>
            <w:r>
              <w:rPr>
                <w:rFonts w:eastAsia="Verdana" w:cs="Verdana"/>
                <w:color w:val="252C65"/>
                <w:sz w:val="16"/>
                <w:szCs w:val="16"/>
              </w:rPr>
              <w:t>Time spent by contact centre staff and work brokers to identify and establish vacancies with employers</w:t>
            </w:r>
          </w:p>
        </w:tc>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27B1ACF" w14:textId="77777777" w:rsidR="005879B1" w:rsidRDefault="00A97397">
            <w:pPr>
              <w:pBdr>
                <w:top w:val="none" w:sz="0" w:space="0" w:color="000000"/>
                <w:left w:val="none" w:sz="0" w:space="0" w:color="000000"/>
                <w:bottom w:val="none" w:sz="0" w:space="0" w:color="000000"/>
                <w:right w:val="none" w:sz="0" w:space="0" w:color="000000"/>
              </w:pBdr>
              <w:spacing w:before="100" w:after="100" w:line="240" w:lineRule="auto"/>
              <w:ind w:left="100" w:right="100"/>
              <w:rPr>
                <w:rFonts w:eastAsia="Verdana" w:cs="Verdana"/>
                <w:color w:val="252C65"/>
                <w:sz w:val="16"/>
                <w:szCs w:val="16"/>
              </w:rPr>
            </w:pPr>
            <w:r>
              <w:rPr>
                <w:rFonts w:eastAsia="Verdana" w:cs="Verdana"/>
                <w:color w:val="252C65"/>
                <w:sz w:val="16"/>
                <w:szCs w:val="16"/>
              </w:rPr>
              <w:t>Starts</w:t>
            </w:r>
          </w:p>
        </w:tc>
      </w:tr>
      <w:tr w:rsidR="005879B1" w14:paraId="20198FCB" w14:textId="77777777">
        <w:trPr>
          <w:jc w:val="center"/>
        </w:trPr>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CC006F5" w14:textId="77777777" w:rsidR="005879B1" w:rsidRDefault="00A97397">
            <w:pPr>
              <w:pBdr>
                <w:top w:val="none" w:sz="0" w:space="0" w:color="000000"/>
                <w:left w:val="none" w:sz="0" w:space="0" w:color="000000"/>
                <w:bottom w:val="none" w:sz="0" w:space="0" w:color="000000"/>
                <w:right w:val="none" w:sz="0" w:space="0" w:color="000000"/>
              </w:pBdr>
              <w:spacing w:before="100" w:after="100" w:line="240" w:lineRule="auto"/>
              <w:ind w:left="100" w:right="100"/>
              <w:rPr>
                <w:rFonts w:eastAsia="Verdana" w:cs="Verdana"/>
                <w:color w:val="252C65"/>
                <w:sz w:val="16"/>
                <w:szCs w:val="16"/>
              </w:rPr>
            </w:pPr>
            <w:r>
              <w:rPr>
                <w:rFonts w:eastAsia="Verdana" w:cs="Verdana"/>
                <w:color w:val="252C65"/>
                <w:sz w:val="16"/>
                <w:szCs w:val="16"/>
              </w:rPr>
              <w:t>Referral</w:t>
            </w:r>
          </w:p>
        </w:tc>
        <w:tc>
          <w:tcPr>
            <w:tcW w:w="50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DD798EF" w14:textId="77777777" w:rsidR="005879B1" w:rsidRDefault="00A97397">
            <w:pPr>
              <w:pBdr>
                <w:top w:val="none" w:sz="0" w:space="0" w:color="000000"/>
                <w:left w:val="none" w:sz="0" w:space="0" w:color="000000"/>
                <w:bottom w:val="none" w:sz="0" w:space="0" w:color="000000"/>
                <w:right w:val="none" w:sz="0" w:space="0" w:color="000000"/>
              </w:pBdr>
              <w:spacing w:before="100" w:after="100" w:line="240" w:lineRule="auto"/>
              <w:ind w:left="100" w:right="100"/>
              <w:rPr>
                <w:rFonts w:eastAsia="Verdana" w:cs="Verdana"/>
                <w:color w:val="252C65"/>
                <w:sz w:val="16"/>
                <w:szCs w:val="16"/>
              </w:rPr>
            </w:pPr>
            <w:r>
              <w:rPr>
                <w:rFonts w:eastAsia="Verdana" w:cs="Verdana"/>
                <w:color w:val="252C65"/>
                <w:sz w:val="16"/>
                <w:szCs w:val="16"/>
              </w:rPr>
              <w:t>Time spent by case managers in referring people to employment vacancies, employment programmes, or training programmes</w:t>
            </w:r>
          </w:p>
        </w:tc>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312B795" w14:textId="77777777" w:rsidR="005879B1" w:rsidRDefault="00A97397">
            <w:pPr>
              <w:pBdr>
                <w:top w:val="none" w:sz="0" w:space="0" w:color="000000"/>
                <w:left w:val="none" w:sz="0" w:space="0" w:color="000000"/>
                <w:bottom w:val="none" w:sz="0" w:space="0" w:color="000000"/>
                <w:right w:val="none" w:sz="0" w:space="0" w:color="000000"/>
              </w:pBdr>
              <w:spacing w:before="100" w:after="100" w:line="240" w:lineRule="auto"/>
              <w:ind w:left="100" w:right="100"/>
              <w:rPr>
                <w:rFonts w:eastAsia="Verdana" w:cs="Verdana"/>
                <w:color w:val="252C65"/>
                <w:sz w:val="16"/>
                <w:szCs w:val="16"/>
              </w:rPr>
            </w:pPr>
            <w:r>
              <w:rPr>
                <w:rFonts w:eastAsia="Verdana" w:cs="Verdana"/>
                <w:color w:val="252C65"/>
                <w:sz w:val="16"/>
                <w:szCs w:val="16"/>
              </w:rPr>
              <w:t>Staff time</w:t>
            </w:r>
          </w:p>
        </w:tc>
      </w:tr>
      <w:tr w:rsidR="005879B1" w14:paraId="50285D2F" w14:textId="77777777">
        <w:trPr>
          <w:jc w:val="center"/>
        </w:trPr>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FAE2F39" w14:textId="77777777" w:rsidR="005879B1" w:rsidRDefault="00A97397">
            <w:pPr>
              <w:pBdr>
                <w:top w:val="none" w:sz="0" w:space="0" w:color="000000"/>
                <w:left w:val="none" w:sz="0" w:space="0" w:color="000000"/>
                <w:bottom w:val="none" w:sz="0" w:space="0" w:color="000000"/>
                <w:right w:val="none" w:sz="0" w:space="0" w:color="000000"/>
              </w:pBdr>
              <w:spacing w:before="100" w:after="100" w:line="240" w:lineRule="auto"/>
              <w:ind w:left="100" w:right="100"/>
              <w:rPr>
                <w:rFonts w:eastAsia="Verdana" w:cs="Verdana"/>
                <w:color w:val="252C65"/>
                <w:sz w:val="16"/>
                <w:szCs w:val="16"/>
              </w:rPr>
            </w:pPr>
            <w:r>
              <w:rPr>
                <w:rFonts w:eastAsia="Verdana" w:cs="Verdana"/>
                <w:color w:val="252C65"/>
                <w:sz w:val="16"/>
                <w:szCs w:val="16"/>
              </w:rPr>
              <w:lastRenderedPageBreak/>
              <w:t>Seminar</w:t>
            </w:r>
          </w:p>
        </w:tc>
        <w:tc>
          <w:tcPr>
            <w:tcW w:w="50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8565455" w14:textId="77777777" w:rsidR="005879B1" w:rsidRDefault="00A97397">
            <w:pPr>
              <w:pBdr>
                <w:top w:val="none" w:sz="0" w:space="0" w:color="000000"/>
                <w:left w:val="none" w:sz="0" w:space="0" w:color="000000"/>
                <w:bottom w:val="none" w:sz="0" w:space="0" w:color="000000"/>
                <w:right w:val="none" w:sz="0" w:space="0" w:color="000000"/>
              </w:pBdr>
              <w:spacing w:before="100" w:after="100" w:line="240" w:lineRule="auto"/>
              <w:ind w:left="100" w:right="100"/>
              <w:rPr>
                <w:rFonts w:eastAsia="Verdana" w:cs="Verdana"/>
                <w:color w:val="252C65"/>
                <w:sz w:val="16"/>
                <w:szCs w:val="16"/>
              </w:rPr>
            </w:pPr>
            <w:r>
              <w:rPr>
                <w:rFonts w:eastAsia="Verdana" w:cs="Verdana"/>
                <w:color w:val="252C65"/>
                <w:sz w:val="16"/>
                <w:szCs w:val="16"/>
              </w:rPr>
              <w:t>Staff time in administering and running seminars</w:t>
            </w:r>
          </w:p>
        </w:tc>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2EE0451" w14:textId="77777777" w:rsidR="005879B1" w:rsidRDefault="00A97397">
            <w:pPr>
              <w:pBdr>
                <w:top w:val="none" w:sz="0" w:space="0" w:color="000000"/>
                <w:left w:val="none" w:sz="0" w:space="0" w:color="000000"/>
                <w:bottom w:val="none" w:sz="0" w:space="0" w:color="000000"/>
                <w:right w:val="none" w:sz="0" w:space="0" w:color="000000"/>
              </w:pBdr>
              <w:spacing w:before="100" w:after="100" w:line="240" w:lineRule="auto"/>
              <w:ind w:left="100" w:right="100"/>
              <w:rPr>
                <w:rFonts w:eastAsia="Verdana" w:cs="Verdana"/>
                <w:color w:val="252C65"/>
                <w:sz w:val="16"/>
                <w:szCs w:val="16"/>
              </w:rPr>
            </w:pPr>
            <w:r>
              <w:rPr>
                <w:rFonts w:eastAsia="Verdana" w:cs="Verdana"/>
                <w:color w:val="252C65"/>
                <w:sz w:val="16"/>
                <w:szCs w:val="16"/>
              </w:rPr>
              <w:t>Staff time</w:t>
            </w:r>
          </w:p>
        </w:tc>
      </w:tr>
      <w:tr w:rsidR="005879B1" w14:paraId="1109AC53" w14:textId="77777777">
        <w:trPr>
          <w:jc w:val="center"/>
        </w:trPr>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78BB209" w14:textId="77777777" w:rsidR="005879B1" w:rsidRDefault="00A97397">
            <w:pPr>
              <w:pBdr>
                <w:top w:val="none" w:sz="0" w:space="0" w:color="000000"/>
                <w:left w:val="none" w:sz="0" w:space="0" w:color="000000"/>
                <w:bottom w:val="none" w:sz="0" w:space="0" w:color="000000"/>
                <w:right w:val="none" w:sz="0" w:space="0" w:color="000000"/>
              </w:pBdr>
              <w:spacing w:before="100" w:after="100" w:line="240" w:lineRule="auto"/>
              <w:ind w:left="100" w:right="100"/>
              <w:rPr>
                <w:rFonts w:eastAsia="Verdana" w:cs="Verdana"/>
                <w:color w:val="252C65"/>
                <w:sz w:val="16"/>
                <w:szCs w:val="16"/>
              </w:rPr>
            </w:pPr>
            <w:r>
              <w:rPr>
                <w:rFonts w:eastAsia="Verdana" w:cs="Verdana"/>
                <w:color w:val="252C65"/>
                <w:sz w:val="16"/>
                <w:szCs w:val="16"/>
              </w:rPr>
              <w:t>Study Assistance</w:t>
            </w:r>
          </w:p>
        </w:tc>
        <w:tc>
          <w:tcPr>
            <w:tcW w:w="50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539D492" w14:textId="77777777" w:rsidR="005879B1" w:rsidRDefault="00A97397">
            <w:pPr>
              <w:pBdr>
                <w:top w:val="none" w:sz="0" w:space="0" w:color="000000"/>
                <w:left w:val="none" w:sz="0" w:space="0" w:color="000000"/>
                <w:bottom w:val="none" w:sz="0" w:space="0" w:color="000000"/>
                <w:right w:val="none" w:sz="0" w:space="0" w:color="000000"/>
              </w:pBdr>
              <w:spacing w:before="100" w:after="100" w:line="240" w:lineRule="auto"/>
              <w:ind w:left="100" w:right="100"/>
              <w:rPr>
                <w:rFonts w:eastAsia="Verdana" w:cs="Verdana"/>
                <w:color w:val="252C65"/>
                <w:sz w:val="16"/>
                <w:szCs w:val="16"/>
              </w:rPr>
            </w:pPr>
            <w:r>
              <w:rPr>
                <w:rFonts w:eastAsia="Verdana" w:cs="Verdana"/>
                <w:color w:val="252C65"/>
                <w:sz w:val="16"/>
                <w:szCs w:val="16"/>
              </w:rPr>
              <w:t>Time in assessing and maintaining entitlement to student loans and allowances</w:t>
            </w:r>
          </w:p>
        </w:tc>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69C9B97" w14:textId="77777777" w:rsidR="005879B1" w:rsidRDefault="00A97397">
            <w:pPr>
              <w:pBdr>
                <w:top w:val="none" w:sz="0" w:space="0" w:color="000000"/>
                <w:left w:val="none" w:sz="0" w:space="0" w:color="000000"/>
                <w:bottom w:val="none" w:sz="0" w:space="0" w:color="000000"/>
                <w:right w:val="none" w:sz="0" w:space="0" w:color="000000"/>
              </w:pBdr>
              <w:spacing w:before="100" w:after="100" w:line="240" w:lineRule="auto"/>
              <w:ind w:left="100" w:right="100"/>
              <w:rPr>
                <w:rFonts w:eastAsia="Verdana" w:cs="Verdana"/>
                <w:color w:val="252C65"/>
                <w:sz w:val="16"/>
                <w:szCs w:val="16"/>
              </w:rPr>
            </w:pPr>
            <w:r>
              <w:rPr>
                <w:rFonts w:eastAsia="Verdana" w:cs="Verdana"/>
                <w:color w:val="252C65"/>
                <w:sz w:val="16"/>
                <w:szCs w:val="16"/>
              </w:rPr>
              <w:t>Staff time</w:t>
            </w:r>
          </w:p>
        </w:tc>
      </w:tr>
      <w:tr w:rsidR="005879B1" w14:paraId="126ECE60" w14:textId="77777777">
        <w:trPr>
          <w:jc w:val="center"/>
        </w:trPr>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B24B608" w14:textId="77777777" w:rsidR="005879B1" w:rsidRDefault="00A97397">
            <w:pPr>
              <w:pBdr>
                <w:top w:val="none" w:sz="0" w:space="0" w:color="000000"/>
                <w:left w:val="none" w:sz="0" w:space="0" w:color="000000"/>
                <w:bottom w:val="none" w:sz="0" w:space="0" w:color="000000"/>
                <w:right w:val="none" w:sz="0" w:space="0" w:color="000000"/>
              </w:pBdr>
              <w:spacing w:before="100" w:after="100" w:line="240" w:lineRule="auto"/>
              <w:ind w:left="100" w:right="100"/>
              <w:rPr>
                <w:rFonts w:eastAsia="Verdana" w:cs="Verdana"/>
                <w:color w:val="252C65"/>
                <w:sz w:val="16"/>
                <w:szCs w:val="16"/>
              </w:rPr>
            </w:pPr>
            <w:r>
              <w:rPr>
                <w:rFonts w:eastAsia="Verdana" w:cs="Verdana"/>
                <w:color w:val="252C65"/>
                <w:sz w:val="16"/>
                <w:szCs w:val="16"/>
              </w:rPr>
              <w:t>Wage Subsidy</w:t>
            </w:r>
          </w:p>
        </w:tc>
        <w:tc>
          <w:tcPr>
            <w:tcW w:w="50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A682E7F" w14:textId="77777777" w:rsidR="005879B1" w:rsidRDefault="00A97397">
            <w:pPr>
              <w:pBdr>
                <w:top w:val="none" w:sz="0" w:space="0" w:color="000000"/>
                <w:left w:val="none" w:sz="0" w:space="0" w:color="000000"/>
                <w:bottom w:val="none" w:sz="0" w:space="0" w:color="000000"/>
                <w:right w:val="none" w:sz="0" w:space="0" w:color="000000"/>
              </w:pBdr>
              <w:spacing w:before="100" w:after="100" w:line="240" w:lineRule="auto"/>
              <w:ind w:left="100" w:right="100"/>
              <w:rPr>
                <w:rFonts w:eastAsia="Verdana" w:cs="Verdana"/>
                <w:color w:val="252C65"/>
                <w:sz w:val="16"/>
                <w:szCs w:val="16"/>
              </w:rPr>
            </w:pPr>
            <w:r>
              <w:rPr>
                <w:rFonts w:eastAsia="Verdana" w:cs="Verdana"/>
                <w:color w:val="252C65"/>
                <w:sz w:val="16"/>
                <w:szCs w:val="16"/>
              </w:rPr>
              <w:t>Payments made to employers or sponsors in relation to wage subsidy, work experience, or self-employment programmes</w:t>
            </w:r>
          </w:p>
        </w:tc>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9CC6C97" w14:textId="77777777" w:rsidR="005879B1" w:rsidRDefault="00A97397">
            <w:pPr>
              <w:pBdr>
                <w:top w:val="none" w:sz="0" w:space="0" w:color="000000"/>
                <w:left w:val="none" w:sz="0" w:space="0" w:color="000000"/>
                <w:bottom w:val="none" w:sz="0" w:space="0" w:color="000000"/>
                <w:right w:val="none" w:sz="0" w:space="0" w:color="000000"/>
              </w:pBdr>
              <w:spacing w:before="100" w:after="100" w:line="240" w:lineRule="auto"/>
              <w:ind w:left="100" w:right="100"/>
              <w:rPr>
                <w:rFonts w:eastAsia="Verdana" w:cs="Verdana"/>
                <w:color w:val="252C65"/>
                <w:sz w:val="16"/>
                <w:szCs w:val="16"/>
              </w:rPr>
            </w:pPr>
            <w:r>
              <w:rPr>
                <w:rFonts w:eastAsia="Verdana" w:cs="Verdana"/>
                <w:color w:val="252C65"/>
                <w:sz w:val="16"/>
                <w:szCs w:val="16"/>
              </w:rPr>
              <w:t>Subsidy payments</w:t>
            </w:r>
          </w:p>
        </w:tc>
      </w:tr>
      <w:tr w:rsidR="005879B1" w14:paraId="4602EC9F" w14:textId="77777777">
        <w:trPr>
          <w:jc w:val="center"/>
        </w:trPr>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FEFF378" w14:textId="77777777" w:rsidR="005879B1" w:rsidRDefault="00A97397">
            <w:pPr>
              <w:pBdr>
                <w:top w:val="none" w:sz="0" w:space="0" w:color="000000"/>
                <w:left w:val="none" w:sz="0" w:space="0" w:color="000000"/>
                <w:bottom w:val="none" w:sz="0" w:space="0" w:color="000000"/>
                <w:right w:val="none" w:sz="0" w:space="0" w:color="000000"/>
              </w:pBdr>
              <w:spacing w:before="100" w:after="100" w:line="240" w:lineRule="auto"/>
              <w:ind w:left="100" w:right="100"/>
              <w:rPr>
                <w:rFonts w:eastAsia="Verdana" w:cs="Verdana"/>
                <w:color w:val="252C65"/>
                <w:sz w:val="16"/>
                <w:szCs w:val="16"/>
              </w:rPr>
            </w:pPr>
            <w:r>
              <w:rPr>
                <w:rFonts w:eastAsia="Verdana" w:cs="Verdana"/>
                <w:color w:val="252C65"/>
                <w:sz w:val="16"/>
                <w:szCs w:val="16"/>
              </w:rPr>
              <w:t>Wage Subsidy Administration</w:t>
            </w:r>
          </w:p>
        </w:tc>
        <w:tc>
          <w:tcPr>
            <w:tcW w:w="50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35C1E14" w14:textId="77777777" w:rsidR="005879B1" w:rsidRDefault="00A97397">
            <w:pPr>
              <w:pBdr>
                <w:top w:val="none" w:sz="0" w:space="0" w:color="000000"/>
                <w:left w:val="none" w:sz="0" w:space="0" w:color="000000"/>
                <w:bottom w:val="none" w:sz="0" w:space="0" w:color="000000"/>
                <w:right w:val="none" w:sz="0" w:space="0" w:color="000000"/>
              </w:pBdr>
              <w:spacing w:before="100" w:after="100" w:line="240" w:lineRule="auto"/>
              <w:ind w:left="100" w:right="100"/>
              <w:rPr>
                <w:rFonts w:eastAsia="Verdana" w:cs="Verdana"/>
                <w:color w:val="252C65"/>
                <w:sz w:val="16"/>
                <w:szCs w:val="16"/>
              </w:rPr>
            </w:pPr>
            <w:r>
              <w:rPr>
                <w:rFonts w:eastAsia="Verdana" w:cs="Verdana"/>
                <w:color w:val="252C65"/>
                <w:sz w:val="16"/>
                <w:szCs w:val="16"/>
              </w:rPr>
              <w:t>Cost of administering wage subsidy assistance</w:t>
            </w:r>
          </w:p>
        </w:tc>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FFADD27" w14:textId="77777777" w:rsidR="005879B1" w:rsidRDefault="00A97397">
            <w:pPr>
              <w:pBdr>
                <w:top w:val="none" w:sz="0" w:space="0" w:color="000000"/>
                <w:left w:val="none" w:sz="0" w:space="0" w:color="000000"/>
                <w:bottom w:val="none" w:sz="0" w:space="0" w:color="000000"/>
                <w:right w:val="none" w:sz="0" w:space="0" w:color="000000"/>
              </w:pBdr>
              <w:spacing w:before="100" w:after="100" w:line="240" w:lineRule="auto"/>
              <w:ind w:left="100" w:right="100"/>
              <w:rPr>
                <w:rFonts w:eastAsia="Verdana" w:cs="Verdana"/>
                <w:color w:val="252C65"/>
                <w:sz w:val="16"/>
                <w:szCs w:val="16"/>
              </w:rPr>
            </w:pPr>
            <w:r>
              <w:rPr>
                <w:rFonts w:eastAsia="Verdana" w:cs="Verdana"/>
                <w:color w:val="252C65"/>
                <w:sz w:val="16"/>
                <w:szCs w:val="16"/>
              </w:rPr>
              <w:t>Starts</w:t>
            </w:r>
          </w:p>
        </w:tc>
      </w:tr>
      <w:tr w:rsidR="005879B1" w14:paraId="1462625B" w14:textId="77777777">
        <w:trPr>
          <w:jc w:val="center"/>
        </w:trPr>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93C663A" w14:textId="77777777" w:rsidR="005879B1" w:rsidRDefault="00A97397">
            <w:pPr>
              <w:pBdr>
                <w:top w:val="none" w:sz="0" w:space="0" w:color="000000"/>
                <w:left w:val="none" w:sz="0" w:space="0" w:color="000000"/>
                <w:bottom w:val="none" w:sz="0" w:space="0" w:color="000000"/>
                <w:right w:val="none" w:sz="0" w:space="0" w:color="000000"/>
              </w:pBdr>
              <w:spacing w:before="100" w:after="100" w:line="240" w:lineRule="auto"/>
              <w:ind w:left="100" w:right="100"/>
              <w:rPr>
                <w:rFonts w:eastAsia="Verdana" w:cs="Verdana"/>
                <w:color w:val="252C65"/>
                <w:sz w:val="16"/>
                <w:szCs w:val="16"/>
              </w:rPr>
            </w:pPr>
            <w:r>
              <w:rPr>
                <w:rFonts w:eastAsia="Verdana" w:cs="Verdana"/>
                <w:color w:val="252C65"/>
                <w:sz w:val="16"/>
                <w:szCs w:val="16"/>
              </w:rPr>
              <w:t>Provider management</w:t>
            </w:r>
          </w:p>
        </w:tc>
        <w:tc>
          <w:tcPr>
            <w:tcW w:w="50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D2AB070" w14:textId="77777777" w:rsidR="005879B1" w:rsidRDefault="00A97397">
            <w:pPr>
              <w:pBdr>
                <w:top w:val="none" w:sz="0" w:space="0" w:color="000000"/>
                <w:left w:val="none" w:sz="0" w:space="0" w:color="000000"/>
                <w:bottom w:val="none" w:sz="0" w:space="0" w:color="000000"/>
                <w:right w:val="none" w:sz="0" w:space="0" w:color="000000"/>
              </w:pBdr>
              <w:spacing w:before="100" w:after="100" w:line="240" w:lineRule="auto"/>
              <w:ind w:left="100" w:right="100"/>
              <w:rPr>
                <w:rFonts w:eastAsia="Verdana" w:cs="Verdana"/>
                <w:color w:val="252C65"/>
                <w:sz w:val="16"/>
                <w:szCs w:val="16"/>
              </w:rPr>
            </w:pPr>
            <w:r>
              <w:rPr>
                <w:rFonts w:eastAsia="Verdana" w:cs="Verdana"/>
                <w:color w:val="252C65"/>
                <w:sz w:val="16"/>
                <w:szCs w:val="16"/>
              </w:rPr>
              <w:t>Staff time in managing service provider information and relationships.</w:t>
            </w:r>
          </w:p>
        </w:tc>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9BF8BC9" w14:textId="77777777" w:rsidR="005879B1" w:rsidRDefault="00A97397">
            <w:pPr>
              <w:pBdr>
                <w:top w:val="none" w:sz="0" w:space="0" w:color="000000"/>
                <w:left w:val="none" w:sz="0" w:space="0" w:color="000000"/>
                <w:bottom w:val="none" w:sz="0" w:space="0" w:color="000000"/>
                <w:right w:val="none" w:sz="0" w:space="0" w:color="000000"/>
              </w:pBdr>
              <w:spacing w:before="100" w:after="100" w:line="240" w:lineRule="auto"/>
              <w:ind w:left="100" w:right="100"/>
              <w:rPr>
                <w:rFonts w:eastAsia="Verdana" w:cs="Verdana"/>
                <w:color w:val="252C65"/>
                <w:sz w:val="16"/>
                <w:szCs w:val="16"/>
              </w:rPr>
            </w:pPr>
            <w:r>
              <w:rPr>
                <w:rFonts w:eastAsia="Verdana" w:cs="Verdana"/>
                <w:color w:val="252C65"/>
                <w:sz w:val="16"/>
                <w:szCs w:val="16"/>
              </w:rPr>
              <w:t>Staff time</w:t>
            </w:r>
          </w:p>
        </w:tc>
      </w:tr>
      <w:tr w:rsidR="005879B1" w14:paraId="7E203A67" w14:textId="77777777">
        <w:trPr>
          <w:jc w:val="center"/>
        </w:trPr>
        <w:tc>
          <w:tcPr>
            <w:tcW w:w="2160" w:type="dxa"/>
            <w:tcBorders>
              <w:top w:val="single" w:sz="8" w:space="0" w:color="999EC6"/>
              <w:left w:val="none" w:sz="0" w:space="0" w:color="000000"/>
              <w:bottom w:val="single" w:sz="8" w:space="0" w:color="252C65"/>
              <w:right w:val="none" w:sz="0" w:space="0" w:color="000000"/>
            </w:tcBorders>
            <w:shd w:val="clear" w:color="auto" w:fill="FFFFFF"/>
            <w:tcMar>
              <w:top w:w="0" w:type="dxa"/>
              <w:left w:w="0" w:type="dxa"/>
              <w:bottom w:w="0" w:type="dxa"/>
              <w:right w:w="0" w:type="dxa"/>
            </w:tcMar>
            <w:vAlign w:val="center"/>
          </w:tcPr>
          <w:p w14:paraId="1D6409B6" w14:textId="77777777" w:rsidR="005879B1" w:rsidRDefault="00A97397">
            <w:pPr>
              <w:pBdr>
                <w:top w:val="none" w:sz="0" w:space="0" w:color="000000"/>
                <w:left w:val="none" w:sz="0" w:space="0" w:color="000000"/>
                <w:bottom w:val="none" w:sz="0" w:space="0" w:color="000000"/>
                <w:right w:val="none" w:sz="0" w:space="0" w:color="000000"/>
              </w:pBdr>
              <w:spacing w:before="100" w:after="100" w:line="240" w:lineRule="auto"/>
              <w:ind w:left="100" w:right="100"/>
              <w:rPr>
                <w:rFonts w:eastAsia="Verdana" w:cs="Verdana"/>
                <w:color w:val="252C65"/>
                <w:sz w:val="16"/>
                <w:szCs w:val="16"/>
              </w:rPr>
            </w:pPr>
            <w:r>
              <w:rPr>
                <w:rFonts w:eastAsia="Verdana" w:cs="Verdana"/>
                <w:color w:val="252C65"/>
                <w:sz w:val="16"/>
                <w:szCs w:val="16"/>
              </w:rPr>
              <w:t>Unallocated Service Delivery</w:t>
            </w:r>
          </w:p>
        </w:tc>
        <w:tc>
          <w:tcPr>
            <w:tcW w:w="5040" w:type="dxa"/>
            <w:tcBorders>
              <w:top w:val="single" w:sz="8" w:space="0" w:color="999EC6"/>
              <w:left w:val="none" w:sz="0" w:space="0" w:color="000000"/>
              <w:bottom w:val="single" w:sz="8" w:space="0" w:color="252C65"/>
              <w:right w:val="none" w:sz="0" w:space="0" w:color="000000"/>
            </w:tcBorders>
            <w:shd w:val="clear" w:color="auto" w:fill="FFFFFF"/>
            <w:tcMar>
              <w:top w:w="0" w:type="dxa"/>
              <w:left w:w="0" w:type="dxa"/>
              <w:bottom w:w="0" w:type="dxa"/>
              <w:right w:w="0" w:type="dxa"/>
            </w:tcMar>
            <w:vAlign w:val="center"/>
          </w:tcPr>
          <w:p w14:paraId="21D55DFD" w14:textId="77777777" w:rsidR="005879B1" w:rsidRDefault="00A97397">
            <w:pPr>
              <w:pBdr>
                <w:top w:val="none" w:sz="0" w:space="0" w:color="000000"/>
                <w:left w:val="none" w:sz="0" w:space="0" w:color="000000"/>
                <w:bottom w:val="none" w:sz="0" w:space="0" w:color="000000"/>
                <w:right w:val="none" w:sz="0" w:space="0" w:color="000000"/>
              </w:pBdr>
              <w:spacing w:before="100" w:after="100" w:line="240" w:lineRule="auto"/>
              <w:ind w:left="100" w:right="100"/>
              <w:rPr>
                <w:rFonts w:eastAsia="Verdana" w:cs="Verdana"/>
                <w:color w:val="252C65"/>
                <w:sz w:val="16"/>
                <w:szCs w:val="16"/>
              </w:rPr>
            </w:pPr>
            <w:r>
              <w:rPr>
                <w:rFonts w:eastAsia="Verdana" w:cs="Verdana"/>
                <w:color w:val="252C65"/>
                <w:sz w:val="16"/>
                <w:szCs w:val="16"/>
              </w:rPr>
              <w:t>Unallocated frontline staff time costs for Service Delivery</w:t>
            </w:r>
          </w:p>
        </w:tc>
        <w:tc>
          <w:tcPr>
            <w:tcW w:w="2160" w:type="dxa"/>
            <w:tcBorders>
              <w:top w:val="single" w:sz="8" w:space="0" w:color="999EC6"/>
              <w:left w:val="none" w:sz="0" w:space="0" w:color="000000"/>
              <w:bottom w:val="single" w:sz="8" w:space="0" w:color="252C65"/>
              <w:right w:val="none" w:sz="0" w:space="0" w:color="000000"/>
            </w:tcBorders>
            <w:shd w:val="clear" w:color="auto" w:fill="FFFFFF"/>
            <w:tcMar>
              <w:top w:w="0" w:type="dxa"/>
              <w:left w:w="0" w:type="dxa"/>
              <w:bottom w:w="0" w:type="dxa"/>
              <w:right w:w="0" w:type="dxa"/>
            </w:tcMar>
            <w:vAlign w:val="center"/>
          </w:tcPr>
          <w:p w14:paraId="118388B5" w14:textId="77777777" w:rsidR="005879B1" w:rsidRDefault="00A97397">
            <w:pPr>
              <w:pBdr>
                <w:top w:val="none" w:sz="0" w:space="0" w:color="000000"/>
                <w:left w:val="none" w:sz="0" w:space="0" w:color="000000"/>
                <w:bottom w:val="none" w:sz="0" w:space="0" w:color="000000"/>
                <w:right w:val="none" w:sz="0" w:space="0" w:color="000000"/>
              </w:pBdr>
              <w:spacing w:before="100" w:after="100" w:line="240" w:lineRule="auto"/>
              <w:ind w:left="100" w:right="100"/>
              <w:rPr>
                <w:rFonts w:eastAsia="Verdana" w:cs="Verdana"/>
                <w:color w:val="252C65"/>
                <w:sz w:val="16"/>
                <w:szCs w:val="16"/>
              </w:rPr>
            </w:pPr>
            <w:r>
              <w:rPr>
                <w:rFonts w:eastAsia="Verdana" w:cs="Verdana"/>
                <w:color w:val="252C65"/>
                <w:sz w:val="16"/>
                <w:szCs w:val="16"/>
              </w:rPr>
              <w:t>Duration on income support or student allowance</w:t>
            </w:r>
          </w:p>
        </w:tc>
      </w:tr>
      <w:tr w:rsidR="005879B1" w14:paraId="43DC107A" w14:textId="77777777">
        <w:trPr>
          <w:jc w:val="center"/>
        </w:trPr>
        <w:tc>
          <w:tcPr>
            <w:tcW w:w="9360" w:type="dxa"/>
            <w:gridSpan w:val="3"/>
            <w:tcBorders>
              <w:top w:val="single" w:sz="8" w:space="0" w:color="252C65"/>
              <w:left w:val="none" w:sz="0" w:space="0" w:color="FFFFFF"/>
              <w:bottom w:val="none" w:sz="0" w:space="0" w:color="FFFFFF"/>
              <w:right w:val="none" w:sz="0" w:space="0" w:color="FFFFFF"/>
            </w:tcBorders>
            <w:shd w:val="clear" w:color="auto" w:fill="FFFFFF"/>
            <w:tcMar>
              <w:top w:w="0" w:type="dxa"/>
              <w:left w:w="0" w:type="dxa"/>
              <w:bottom w:w="0" w:type="dxa"/>
              <w:right w:w="0" w:type="dxa"/>
            </w:tcMar>
            <w:vAlign w:val="center"/>
          </w:tcPr>
          <w:p w14:paraId="356D7987" w14:textId="77777777" w:rsidR="005879B1" w:rsidRDefault="005879B1">
            <w:pPr>
              <w:pBdr>
                <w:top w:val="none" w:sz="0" w:space="0" w:color="000000"/>
                <w:left w:val="none" w:sz="0" w:space="0" w:color="000000"/>
                <w:bottom w:val="none" w:sz="0" w:space="0" w:color="000000"/>
                <w:right w:val="none" w:sz="0" w:space="0" w:color="000000"/>
              </w:pBdr>
              <w:spacing w:before="100" w:after="100" w:line="240" w:lineRule="auto"/>
              <w:ind w:left="100" w:right="100"/>
              <w:rPr>
                <w:rFonts w:ascii="Arial" w:eastAsia="Arial" w:hAnsi="Arial" w:cs="Arial"/>
                <w:color w:val="000000"/>
                <w:szCs w:val="22"/>
              </w:rPr>
            </w:pPr>
          </w:p>
        </w:tc>
      </w:tr>
    </w:tbl>
    <w:p w14:paraId="6C70E964" w14:textId="77777777" w:rsidR="005879B1" w:rsidRDefault="00A97397">
      <w:pPr>
        <w:pStyle w:val="BodyText"/>
      </w:pPr>
      <w:r>
        <w:t>The next step is to find a metric related to each component so that we can assign a dollar value to that component. We define metrics as quantitative information about each component of output. For example, for the appointment component, we can use the number of minutes that staff spent on booking participants for each seminar. Multiplying the number of minutes spent by staff cost-per-minute rate will give us the appointment cost for each seminar attendee.</w:t>
      </w:r>
    </w:p>
    <w:p w14:paraId="42B68FB3" w14:textId="77777777" w:rsidR="005879B1" w:rsidRDefault="00A97397">
      <w:pPr>
        <w:pStyle w:val="BodyText"/>
      </w:pPr>
      <w:r>
        <w:t>Finally, we add the cost of each component to arrive at a total cost for the seminar. The variation in the cost of each seminar output for the financial year will depend on the variability in the cost of each of its components.</w:t>
      </w:r>
    </w:p>
    <w:p w14:paraId="70B38EEE" w14:textId="77777777" w:rsidR="005879B1" w:rsidRDefault="00A97397">
      <w:pPr>
        <w:pStyle w:val="Heading3"/>
      </w:pPr>
      <w:bookmarkStart w:id="31" w:name="financial-inputs"/>
      <w:r>
        <w:t>Financial inputs</w:t>
      </w:r>
    </w:p>
    <w:p w14:paraId="337F368D" w14:textId="77777777" w:rsidR="005879B1" w:rsidRDefault="00A97397">
      <w:r>
        <w:t>Having identified the outputs, their cost components, and how to assign costs to them, the next question is where we source the financial costs for Service Delivery. We can access records of Service Delivery expenditure through the Ministry’s financial accounting system. These records capture expenditure information down to the cost centre and general ledger (GL) nominal level.</w:t>
      </w:r>
    </w:p>
    <w:p w14:paraId="325C7CE4" w14:textId="77777777" w:rsidR="005879B1" w:rsidRDefault="00A97397">
      <w:pPr>
        <w:pStyle w:val="BodyText"/>
      </w:pPr>
      <w:r>
        <w:t>With monthly financial data the next step is to link expenditure to cost components. For some cost components there is a relatively straightforward link to the financial inputs. For example, the wage subsidy payments for a wage subsidy programme have their own GL nominal code. For others the relationship is less clear. In particular, for those cost components that involve staff time, the component costs are a subset of the overall expenditure on staff costs recorded in the financial systems. In these instances, we need to apportion staff costs to components based on the estimated time it took to undertake each component task.</w:t>
      </w:r>
    </w:p>
    <w:p w14:paraId="212FFD1D" w14:textId="77777777" w:rsidR="005879B1" w:rsidRDefault="00A97397">
      <w:pPr>
        <w:pStyle w:val="Heading3"/>
      </w:pPr>
      <w:bookmarkStart w:id="32" w:name="how-do-we-estimate-staff-time"/>
      <w:bookmarkEnd w:id="31"/>
      <w:r>
        <w:lastRenderedPageBreak/>
        <w:t>How do we estimate staff time?</w:t>
      </w:r>
    </w:p>
    <w:p w14:paraId="490E038C" w14:textId="77777777" w:rsidR="005879B1" w:rsidRDefault="00A97397">
      <w:r>
        <w:t>Table 2 above shows that staff time is a commonly used metric in the model. However, obtaining this data is not straightforward. In this section, we summarise how we estimate the time spent on different activities. The source of this information is system transactions on MSD’s various IT administrative systems combined with appointments, seminars and task management data. The key information for these transactions is:</w:t>
      </w:r>
    </w:p>
    <w:p w14:paraId="39AAECAC" w14:textId="77777777" w:rsidR="005879B1" w:rsidRDefault="00A97397" w:rsidP="004357B9">
      <w:pPr>
        <w:numPr>
          <w:ilvl w:val="0"/>
          <w:numId w:val="11"/>
        </w:numPr>
      </w:pPr>
      <w:r>
        <w:t>A unique ID for a staff member</w:t>
      </w:r>
    </w:p>
    <w:p w14:paraId="6D466204" w14:textId="77777777" w:rsidR="005879B1" w:rsidRDefault="00A97397" w:rsidP="004357B9">
      <w:pPr>
        <w:numPr>
          <w:ilvl w:val="0"/>
          <w:numId w:val="11"/>
        </w:numPr>
      </w:pPr>
      <w:r>
        <w:t>A unique ID for an individual</w:t>
      </w:r>
    </w:p>
    <w:p w14:paraId="402B23FF" w14:textId="77777777" w:rsidR="005879B1" w:rsidRDefault="00A97397" w:rsidP="004357B9">
      <w:pPr>
        <w:numPr>
          <w:ilvl w:val="0"/>
          <w:numId w:val="11"/>
        </w:numPr>
      </w:pPr>
      <w:r>
        <w:t>A start time</w:t>
      </w:r>
    </w:p>
    <w:p w14:paraId="5210C0E2" w14:textId="77777777" w:rsidR="005879B1" w:rsidRDefault="00A97397" w:rsidP="004357B9">
      <w:pPr>
        <w:numPr>
          <w:ilvl w:val="0"/>
          <w:numId w:val="11"/>
        </w:numPr>
      </w:pPr>
      <w:r>
        <w:t>An end time</w:t>
      </w:r>
    </w:p>
    <w:p w14:paraId="67C4705F" w14:textId="77777777" w:rsidR="005879B1" w:rsidRDefault="00A97397" w:rsidP="004357B9">
      <w:pPr>
        <w:numPr>
          <w:ilvl w:val="0"/>
          <w:numId w:val="11"/>
        </w:numPr>
      </w:pPr>
      <w:r>
        <w:t>What the action was.</w:t>
      </w:r>
    </w:p>
    <w:p w14:paraId="7617D748" w14:textId="77777777" w:rsidR="005879B1" w:rsidRDefault="00A97397">
      <w:r>
        <w:t>This allows us to construct a transaction-based view of a staff member’s day. Table 3 below shows an example for a staff member from the start of their day. For each period, the model identifies the type of action they are undertaking and measures the time until the next action based on the Time (end) value. If there is more than one action, then the elapsed time is split evenly between each action as shown in the Minutes column. Where client ID is missing, these represent periods where either the staff member is undertaking an action unrelated to a client (eg a lunch break) or the action exceeded the expected time it would have taken to complete the action. We have set the threshold of excessively long tasks at the 95th percentile for that activity over all staff on the same day. In cases where the activity exceeds the 95th percentile, the activity is split into two records, with the excess time is allocated to non-contact time in the model.</w:t>
      </w:r>
    </w:p>
    <w:p w14:paraId="0BAADF25" w14:textId="77777777" w:rsidR="005879B1" w:rsidRDefault="00A97397" w:rsidP="00435ECC">
      <w:pPr>
        <w:pStyle w:val="Caption"/>
      </w:pPr>
      <w:bookmarkStart w:id="33" w:name="tab:icam-staff-day"/>
      <w:bookmarkEnd w:id="33"/>
      <w:r w:rsidRPr="00435ECC">
        <w:rPr>
          <w:b/>
          <w:bCs/>
        </w:rPr>
        <w:t>Table 3</w:t>
      </w:r>
      <w:r>
        <w:t>: Example of a staff member's actions from the start of their day</w:t>
      </w:r>
    </w:p>
    <w:tbl>
      <w:tblPr>
        <w:tblW w:w="0" w:type="auto"/>
        <w:tblLayout w:type="fixed"/>
        <w:tblLook w:val="0420" w:firstRow="1" w:lastRow="0" w:firstColumn="0" w:lastColumn="0" w:noHBand="0" w:noVBand="1"/>
      </w:tblPr>
      <w:tblGrid>
        <w:gridCol w:w="1152"/>
        <w:gridCol w:w="3600"/>
        <w:gridCol w:w="2160"/>
        <w:gridCol w:w="864"/>
        <w:gridCol w:w="864"/>
      </w:tblGrid>
      <w:tr w:rsidR="005879B1" w14:paraId="3AEFE169" w14:textId="77777777">
        <w:trPr>
          <w:tblHeader/>
        </w:trPr>
        <w:tc>
          <w:tcPr>
            <w:tcW w:w="1152" w:type="dxa"/>
            <w:tcBorders>
              <w:top w:val="single" w:sz="8" w:space="0" w:color="252C65"/>
              <w:left w:val="none" w:sz="0" w:space="0" w:color="000000"/>
              <w:bottom w:val="none" w:sz="0" w:space="0" w:color="000000"/>
              <w:right w:val="none" w:sz="0" w:space="0" w:color="000000"/>
            </w:tcBorders>
            <w:shd w:val="clear" w:color="auto" w:fill="252C65"/>
            <w:tcMar>
              <w:top w:w="0" w:type="dxa"/>
              <w:left w:w="0" w:type="dxa"/>
              <w:bottom w:w="0" w:type="dxa"/>
              <w:right w:w="0" w:type="dxa"/>
            </w:tcMar>
            <w:vAlign w:val="center"/>
          </w:tcPr>
          <w:p w14:paraId="353F36D4" w14:textId="77777777" w:rsidR="005879B1" w:rsidRDefault="00A97397">
            <w:pPr>
              <w:pBdr>
                <w:top w:val="none" w:sz="0" w:space="0" w:color="000000"/>
                <w:left w:val="none" w:sz="0" w:space="0" w:color="000000"/>
                <w:bottom w:val="none" w:sz="0" w:space="0" w:color="000000"/>
                <w:right w:val="none" w:sz="0" w:space="0" w:color="000000"/>
              </w:pBdr>
              <w:spacing w:before="100" w:after="100" w:line="240" w:lineRule="auto"/>
              <w:ind w:left="100" w:right="100"/>
              <w:rPr>
                <w:rFonts w:ascii="Arial" w:eastAsia="Arial" w:hAnsi="Arial" w:cs="Arial"/>
                <w:color w:val="FFFFFF"/>
                <w:sz w:val="16"/>
                <w:szCs w:val="16"/>
              </w:rPr>
            </w:pPr>
            <w:r>
              <w:rPr>
                <w:rFonts w:ascii="Arial" w:eastAsia="Arial" w:hAnsi="Arial" w:cs="Arial"/>
                <w:color w:val="FFFFFF"/>
                <w:sz w:val="16"/>
                <w:szCs w:val="16"/>
              </w:rPr>
              <w:t>Time (end)</w:t>
            </w:r>
          </w:p>
        </w:tc>
        <w:tc>
          <w:tcPr>
            <w:tcW w:w="3600" w:type="dxa"/>
            <w:tcBorders>
              <w:top w:val="single" w:sz="8" w:space="0" w:color="252C65"/>
              <w:left w:val="none" w:sz="0" w:space="0" w:color="000000"/>
              <w:bottom w:val="none" w:sz="0" w:space="0" w:color="000000"/>
              <w:right w:val="none" w:sz="0" w:space="0" w:color="000000"/>
            </w:tcBorders>
            <w:shd w:val="clear" w:color="auto" w:fill="252C65"/>
            <w:tcMar>
              <w:top w:w="0" w:type="dxa"/>
              <w:left w:w="0" w:type="dxa"/>
              <w:bottom w:w="0" w:type="dxa"/>
              <w:right w:w="0" w:type="dxa"/>
            </w:tcMar>
            <w:vAlign w:val="center"/>
          </w:tcPr>
          <w:p w14:paraId="5527392F" w14:textId="77777777" w:rsidR="005879B1" w:rsidRDefault="00A97397">
            <w:pPr>
              <w:pBdr>
                <w:top w:val="none" w:sz="0" w:space="0" w:color="000000"/>
                <w:left w:val="none" w:sz="0" w:space="0" w:color="000000"/>
                <w:bottom w:val="none" w:sz="0" w:space="0" w:color="000000"/>
                <w:right w:val="none" w:sz="0" w:space="0" w:color="000000"/>
              </w:pBdr>
              <w:spacing w:before="100" w:after="100" w:line="240" w:lineRule="auto"/>
              <w:ind w:left="100" w:right="100"/>
              <w:rPr>
                <w:rFonts w:ascii="Arial" w:eastAsia="Arial" w:hAnsi="Arial" w:cs="Arial"/>
                <w:color w:val="FFFFFF"/>
                <w:sz w:val="16"/>
                <w:szCs w:val="16"/>
              </w:rPr>
            </w:pPr>
            <w:r>
              <w:rPr>
                <w:rFonts w:ascii="Arial" w:eastAsia="Arial" w:hAnsi="Arial" w:cs="Arial"/>
                <w:color w:val="FFFFFF"/>
                <w:sz w:val="16"/>
                <w:szCs w:val="16"/>
              </w:rPr>
              <w:t>Action type</w:t>
            </w:r>
          </w:p>
        </w:tc>
        <w:tc>
          <w:tcPr>
            <w:tcW w:w="2160" w:type="dxa"/>
            <w:tcBorders>
              <w:top w:val="single" w:sz="8" w:space="0" w:color="252C65"/>
              <w:left w:val="none" w:sz="0" w:space="0" w:color="000000"/>
              <w:bottom w:val="none" w:sz="0" w:space="0" w:color="000000"/>
              <w:right w:val="none" w:sz="0" w:space="0" w:color="000000"/>
            </w:tcBorders>
            <w:shd w:val="clear" w:color="auto" w:fill="252C65"/>
            <w:tcMar>
              <w:top w:w="0" w:type="dxa"/>
              <w:left w:w="0" w:type="dxa"/>
              <w:bottom w:w="0" w:type="dxa"/>
              <w:right w:w="0" w:type="dxa"/>
            </w:tcMar>
            <w:vAlign w:val="center"/>
          </w:tcPr>
          <w:p w14:paraId="5CC99591" w14:textId="77777777" w:rsidR="005879B1" w:rsidRDefault="00A97397">
            <w:pPr>
              <w:pBdr>
                <w:top w:val="none" w:sz="0" w:space="0" w:color="000000"/>
                <w:left w:val="none" w:sz="0" w:space="0" w:color="000000"/>
                <w:bottom w:val="none" w:sz="0" w:space="0" w:color="000000"/>
                <w:right w:val="none" w:sz="0" w:space="0" w:color="000000"/>
              </w:pBdr>
              <w:spacing w:before="100" w:after="100" w:line="240" w:lineRule="auto"/>
              <w:ind w:left="100" w:right="100"/>
              <w:rPr>
                <w:rFonts w:ascii="Arial" w:eastAsia="Arial" w:hAnsi="Arial" w:cs="Arial"/>
                <w:color w:val="FFFFFF"/>
                <w:sz w:val="16"/>
                <w:szCs w:val="16"/>
              </w:rPr>
            </w:pPr>
            <w:r>
              <w:rPr>
                <w:rFonts w:ascii="Arial" w:eastAsia="Arial" w:hAnsi="Arial" w:cs="Arial"/>
                <w:color w:val="FFFFFF"/>
                <w:sz w:val="16"/>
                <w:szCs w:val="16"/>
              </w:rPr>
              <w:t>Action</w:t>
            </w:r>
          </w:p>
        </w:tc>
        <w:tc>
          <w:tcPr>
            <w:tcW w:w="864" w:type="dxa"/>
            <w:tcBorders>
              <w:top w:val="single" w:sz="8" w:space="0" w:color="252C65"/>
              <w:left w:val="none" w:sz="0" w:space="0" w:color="000000"/>
              <w:bottom w:val="none" w:sz="0" w:space="0" w:color="000000"/>
              <w:right w:val="none" w:sz="0" w:space="0" w:color="000000"/>
            </w:tcBorders>
            <w:shd w:val="clear" w:color="auto" w:fill="252C65"/>
            <w:tcMar>
              <w:top w:w="0" w:type="dxa"/>
              <w:left w:w="0" w:type="dxa"/>
              <w:bottom w:w="0" w:type="dxa"/>
              <w:right w:w="0" w:type="dxa"/>
            </w:tcMar>
            <w:vAlign w:val="center"/>
          </w:tcPr>
          <w:p w14:paraId="3C7BBF2E" w14:textId="77777777" w:rsidR="005879B1" w:rsidRDefault="00A97397">
            <w:pPr>
              <w:pBdr>
                <w:top w:val="none" w:sz="0" w:space="0" w:color="000000"/>
                <w:left w:val="none" w:sz="0" w:space="0" w:color="000000"/>
                <w:bottom w:val="none" w:sz="0" w:space="0" w:color="000000"/>
                <w:right w:val="none" w:sz="0" w:space="0" w:color="000000"/>
              </w:pBdr>
              <w:spacing w:before="100" w:after="100" w:line="240" w:lineRule="auto"/>
              <w:ind w:left="100" w:right="100"/>
              <w:jc w:val="right"/>
              <w:rPr>
                <w:rFonts w:ascii="Arial" w:eastAsia="Arial" w:hAnsi="Arial" w:cs="Arial"/>
                <w:color w:val="FFFFFF"/>
                <w:sz w:val="16"/>
                <w:szCs w:val="16"/>
              </w:rPr>
            </w:pPr>
            <w:r>
              <w:rPr>
                <w:rFonts w:ascii="Arial" w:eastAsia="Arial" w:hAnsi="Arial" w:cs="Arial"/>
                <w:color w:val="FFFFFF"/>
                <w:sz w:val="16"/>
                <w:szCs w:val="16"/>
              </w:rPr>
              <w:t>Client id</w:t>
            </w:r>
          </w:p>
        </w:tc>
        <w:tc>
          <w:tcPr>
            <w:tcW w:w="864" w:type="dxa"/>
            <w:tcBorders>
              <w:top w:val="single" w:sz="8" w:space="0" w:color="252C65"/>
              <w:left w:val="none" w:sz="0" w:space="0" w:color="000000"/>
              <w:bottom w:val="none" w:sz="0" w:space="0" w:color="000000"/>
              <w:right w:val="none" w:sz="0" w:space="0" w:color="000000"/>
            </w:tcBorders>
            <w:shd w:val="clear" w:color="auto" w:fill="252C65"/>
            <w:tcMar>
              <w:top w:w="0" w:type="dxa"/>
              <w:left w:w="0" w:type="dxa"/>
              <w:bottom w:w="0" w:type="dxa"/>
              <w:right w:w="0" w:type="dxa"/>
            </w:tcMar>
            <w:vAlign w:val="center"/>
          </w:tcPr>
          <w:p w14:paraId="726229F0" w14:textId="77777777" w:rsidR="005879B1" w:rsidRDefault="00A97397">
            <w:pPr>
              <w:pBdr>
                <w:top w:val="none" w:sz="0" w:space="0" w:color="000000"/>
                <w:left w:val="none" w:sz="0" w:space="0" w:color="000000"/>
                <w:bottom w:val="none" w:sz="0" w:space="0" w:color="000000"/>
                <w:right w:val="none" w:sz="0" w:space="0" w:color="000000"/>
              </w:pBdr>
              <w:spacing w:before="100" w:after="100" w:line="240" w:lineRule="auto"/>
              <w:ind w:left="100" w:right="100"/>
              <w:jc w:val="right"/>
              <w:rPr>
                <w:rFonts w:ascii="Arial" w:eastAsia="Arial" w:hAnsi="Arial" w:cs="Arial"/>
                <w:color w:val="FFFFFF"/>
                <w:sz w:val="16"/>
                <w:szCs w:val="16"/>
              </w:rPr>
            </w:pPr>
            <w:r>
              <w:rPr>
                <w:rFonts w:ascii="Arial" w:eastAsia="Arial" w:hAnsi="Arial" w:cs="Arial"/>
                <w:color w:val="FFFFFF"/>
                <w:sz w:val="16"/>
                <w:szCs w:val="16"/>
              </w:rPr>
              <w:t>Minutes</w:t>
            </w:r>
          </w:p>
        </w:tc>
      </w:tr>
      <w:tr w:rsidR="005879B1" w14:paraId="35C8E7EF" w14:textId="77777777">
        <w:tc>
          <w:tcPr>
            <w:tcW w:w="1152" w:type="dxa"/>
            <w:tcBorders>
              <w:top w:val="none" w:sz="0" w:space="0" w:color="000000"/>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FA7517D" w14:textId="77777777" w:rsidR="005879B1" w:rsidRDefault="00A97397">
            <w:pPr>
              <w:pBdr>
                <w:top w:val="none" w:sz="0" w:space="0" w:color="000000"/>
                <w:left w:val="none" w:sz="0" w:space="0" w:color="000000"/>
                <w:bottom w:val="none" w:sz="0" w:space="0" w:color="000000"/>
                <w:right w:val="none" w:sz="0" w:space="0" w:color="000000"/>
              </w:pBdr>
              <w:spacing w:before="100" w:after="100" w:line="240" w:lineRule="auto"/>
              <w:ind w:left="100" w:right="100"/>
              <w:rPr>
                <w:rFonts w:eastAsia="Verdana" w:cs="Verdana"/>
                <w:color w:val="252C65"/>
                <w:sz w:val="16"/>
                <w:szCs w:val="16"/>
              </w:rPr>
            </w:pPr>
            <w:r>
              <w:rPr>
                <w:rFonts w:eastAsia="Verdana" w:cs="Verdana"/>
                <w:color w:val="252C65"/>
                <w:sz w:val="16"/>
                <w:szCs w:val="16"/>
              </w:rPr>
              <w:t>9:12:00</w:t>
            </w:r>
          </w:p>
        </w:tc>
        <w:tc>
          <w:tcPr>
            <w:tcW w:w="3600" w:type="dxa"/>
            <w:tcBorders>
              <w:top w:val="none" w:sz="0" w:space="0" w:color="000000"/>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0EDE1CD" w14:textId="77777777" w:rsidR="005879B1" w:rsidRDefault="00A97397">
            <w:pPr>
              <w:pBdr>
                <w:top w:val="none" w:sz="0" w:space="0" w:color="000000"/>
                <w:left w:val="none" w:sz="0" w:space="0" w:color="000000"/>
                <w:bottom w:val="none" w:sz="0" w:space="0" w:color="000000"/>
                <w:right w:val="none" w:sz="0" w:space="0" w:color="000000"/>
              </w:pBdr>
              <w:spacing w:before="100" w:after="100" w:line="240" w:lineRule="auto"/>
              <w:ind w:left="100" w:right="100"/>
              <w:rPr>
                <w:rFonts w:eastAsia="Verdana" w:cs="Verdana"/>
                <w:color w:val="252C65"/>
                <w:sz w:val="16"/>
                <w:szCs w:val="16"/>
              </w:rPr>
            </w:pPr>
            <w:r>
              <w:rPr>
                <w:rFonts w:eastAsia="Verdana" w:cs="Verdana"/>
                <w:color w:val="252C65"/>
                <w:sz w:val="16"/>
                <w:szCs w:val="16"/>
              </w:rPr>
              <w:t>Case management</w:t>
            </w:r>
          </w:p>
        </w:tc>
        <w:tc>
          <w:tcPr>
            <w:tcW w:w="2160" w:type="dxa"/>
            <w:tcBorders>
              <w:top w:val="none" w:sz="0" w:space="0" w:color="000000"/>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0FC7AEB" w14:textId="77777777" w:rsidR="005879B1" w:rsidRDefault="00A97397">
            <w:pPr>
              <w:pBdr>
                <w:top w:val="none" w:sz="0" w:space="0" w:color="000000"/>
                <w:left w:val="none" w:sz="0" w:space="0" w:color="000000"/>
                <w:bottom w:val="none" w:sz="0" w:space="0" w:color="000000"/>
                <w:right w:val="none" w:sz="0" w:space="0" w:color="000000"/>
              </w:pBdr>
              <w:spacing w:before="100" w:after="100" w:line="240" w:lineRule="auto"/>
              <w:ind w:left="100" w:right="100"/>
              <w:rPr>
                <w:rFonts w:eastAsia="Verdana" w:cs="Verdana"/>
                <w:color w:val="252C65"/>
                <w:sz w:val="16"/>
                <w:szCs w:val="16"/>
              </w:rPr>
            </w:pPr>
            <w:r>
              <w:rPr>
                <w:rFonts w:eastAsia="Verdana" w:cs="Verdana"/>
                <w:color w:val="252C65"/>
                <w:sz w:val="16"/>
                <w:szCs w:val="16"/>
              </w:rPr>
              <w:t>Search for client</w:t>
            </w:r>
          </w:p>
        </w:tc>
        <w:tc>
          <w:tcPr>
            <w:tcW w:w="864" w:type="dxa"/>
            <w:tcBorders>
              <w:top w:val="none" w:sz="0" w:space="0" w:color="000000"/>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104768B" w14:textId="77777777" w:rsidR="005879B1" w:rsidRDefault="00A97397">
            <w:pPr>
              <w:pBdr>
                <w:top w:val="none" w:sz="0" w:space="0" w:color="000000"/>
                <w:left w:val="none" w:sz="0" w:space="0" w:color="000000"/>
                <w:bottom w:val="none" w:sz="0" w:space="0" w:color="000000"/>
                <w:right w:val="none" w:sz="0" w:space="0" w:color="000000"/>
              </w:pBdr>
              <w:spacing w:before="100" w:after="100" w:line="240" w:lineRule="auto"/>
              <w:ind w:left="100" w:right="100"/>
              <w:jc w:val="right"/>
              <w:rPr>
                <w:rFonts w:eastAsia="Verdana" w:cs="Verdana"/>
                <w:color w:val="252C65"/>
                <w:sz w:val="16"/>
                <w:szCs w:val="16"/>
              </w:rPr>
            </w:pPr>
            <w:r>
              <w:rPr>
                <w:rFonts w:eastAsia="Verdana" w:cs="Verdana"/>
                <w:color w:val="252C65"/>
                <w:sz w:val="16"/>
                <w:szCs w:val="16"/>
              </w:rPr>
              <w:t>10</w:t>
            </w:r>
          </w:p>
        </w:tc>
        <w:tc>
          <w:tcPr>
            <w:tcW w:w="864" w:type="dxa"/>
            <w:tcBorders>
              <w:top w:val="none" w:sz="0" w:space="0" w:color="000000"/>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3447EFF" w14:textId="77777777" w:rsidR="005879B1" w:rsidRDefault="00A97397">
            <w:pPr>
              <w:pBdr>
                <w:top w:val="none" w:sz="0" w:space="0" w:color="000000"/>
                <w:left w:val="none" w:sz="0" w:space="0" w:color="000000"/>
                <w:bottom w:val="none" w:sz="0" w:space="0" w:color="000000"/>
                <w:right w:val="none" w:sz="0" w:space="0" w:color="000000"/>
              </w:pBdr>
              <w:spacing w:before="100" w:after="100" w:line="240" w:lineRule="auto"/>
              <w:ind w:left="100" w:right="100"/>
              <w:jc w:val="right"/>
              <w:rPr>
                <w:rFonts w:eastAsia="Verdana" w:cs="Verdana"/>
                <w:color w:val="252C65"/>
                <w:sz w:val="16"/>
                <w:szCs w:val="16"/>
              </w:rPr>
            </w:pPr>
            <w:r>
              <w:rPr>
                <w:rFonts w:eastAsia="Verdana" w:cs="Verdana"/>
                <w:color w:val="252C65"/>
                <w:sz w:val="16"/>
                <w:szCs w:val="16"/>
              </w:rPr>
              <w:t>5.52</w:t>
            </w:r>
          </w:p>
        </w:tc>
      </w:tr>
      <w:tr w:rsidR="005879B1" w14:paraId="4C909E8E" w14:textId="77777777">
        <w:tc>
          <w:tcPr>
            <w:tcW w:w="1152"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77699DB" w14:textId="77777777" w:rsidR="005879B1" w:rsidRDefault="00A97397">
            <w:pPr>
              <w:pBdr>
                <w:top w:val="none" w:sz="0" w:space="0" w:color="000000"/>
                <w:left w:val="none" w:sz="0" w:space="0" w:color="000000"/>
                <w:bottom w:val="none" w:sz="0" w:space="0" w:color="000000"/>
                <w:right w:val="none" w:sz="0" w:space="0" w:color="000000"/>
              </w:pBdr>
              <w:spacing w:before="100" w:after="100" w:line="240" w:lineRule="auto"/>
              <w:ind w:left="100" w:right="100"/>
              <w:rPr>
                <w:rFonts w:eastAsia="Verdana" w:cs="Verdana"/>
                <w:color w:val="252C65"/>
                <w:sz w:val="16"/>
                <w:szCs w:val="16"/>
              </w:rPr>
            </w:pPr>
            <w:r>
              <w:rPr>
                <w:rFonts w:eastAsia="Verdana" w:cs="Verdana"/>
                <w:color w:val="252C65"/>
                <w:sz w:val="16"/>
                <w:szCs w:val="16"/>
              </w:rPr>
              <w:t>9:16:00</w:t>
            </w:r>
          </w:p>
        </w:tc>
        <w:tc>
          <w:tcPr>
            <w:tcW w:w="360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BF96531" w14:textId="77777777" w:rsidR="005879B1" w:rsidRDefault="00A97397">
            <w:pPr>
              <w:pBdr>
                <w:top w:val="none" w:sz="0" w:space="0" w:color="000000"/>
                <w:left w:val="none" w:sz="0" w:space="0" w:color="000000"/>
                <w:bottom w:val="none" w:sz="0" w:space="0" w:color="000000"/>
                <w:right w:val="none" w:sz="0" w:space="0" w:color="000000"/>
              </w:pBdr>
              <w:spacing w:before="100" w:after="100" w:line="240" w:lineRule="auto"/>
              <w:ind w:left="100" w:right="100"/>
              <w:rPr>
                <w:rFonts w:eastAsia="Verdana" w:cs="Verdana"/>
                <w:color w:val="252C65"/>
                <w:sz w:val="16"/>
                <w:szCs w:val="16"/>
              </w:rPr>
            </w:pPr>
            <w:r>
              <w:rPr>
                <w:rFonts w:eastAsia="Verdana" w:cs="Verdana"/>
                <w:color w:val="252C65"/>
                <w:sz w:val="16"/>
                <w:szCs w:val="16"/>
              </w:rPr>
              <w:t>Case management</w:t>
            </w:r>
          </w:p>
        </w:tc>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9ABBB61" w14:textId="77777777" w:rsidR="005879B1" w:rsidRDefault="00A97397">
            <w:pPr>
              <w:pBdr>
                <w:top w:val="none" w:sz="0" w:space="0" w:color="000000"/>
                <w:left w:val="none" w:sz="0" w:space="0" w:color="000000"/>
                <w:bottom w:val="none" w:sz="0" w:space="0" w:color="000000"/>
                <w:right w:val="none" w:sz="0" w:space="0" w:color="000000"/>
              </w:pBdr>
              <w:spacing w:before="100" w:after="100" w:line="240" w:lineRule="auto"/>
              <w:ind w:left="100" w:right="100"/>
              <w:rPr>
                <w:rFonts w:eastAsia="Verdana" w:cs="Verdana"/>
                <w:color w:val="252C65"/>
                <w:sz w:val="16"/>
                <w:szCs w:val="16"/>
              </w:rPr>
            </w:pPr>
            <w:r>
              <w:rPr>
                <w:rFonts w:eastAsia="Verdana" w:cs="Verdana"/>
                <w:color w:val="252C65"/>
                <w:sz w:val="16"/>
                <w:szCs w:val="16"/>
              </w:rPr>
              <w:t>Case Management</w:t>
            </w:r>
          </w:p>
        </w:tc>
        <w:tc>
          <w:tcPr>
            <w:tcW w:w="864"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C404304" w14:textId="77777777" w:rsidR="005879B1" w:rsidRDefault="00A97397">
            <w:pPr>
              <w:pBdr>
                <w:top w:val="none" w:sz="0" w:space="0" w:color="000000"/>
                <w:left w:val="none" w:sz="0" w:space="0" w:color="000000"/>
                <w:bottom w:val="none" w:sz="0" w:space="0" w:color="000000"/>
                <w:right w:val="none" w:sz="0" w:space="0" w:color="000000"/>
              </w:pBdr>
              <w:spacing w:before="100" w:after="100" w:line="240" w:lineRule="auto"/>
              <w:ind w:left="100" w:right="100"/>
              <w:jc w:val="right"/>
              <w:rPr>
                <w:rFonts w:eastAsia="Verdana" w:cs="Verdana"/>
                <w:color w:val="252C65"/>
                <w:sz w:val="16"/>
                <w:szCs w:val="16"/>
              </w:rPr>
            </w:pPr>
            <w:r>
              <w:rPr>
                <w:rFonts w:eastAsia="Verdana" w:cs="Verdana"/>
                <w:color w:val="252C65"/>
                <w:sz w:val="16"/>
                <w:szCs w:val="16"/>
              </w:rPr>
              <w:t>25</w:t>
            </w:r>
          </w:p>
        </w:tc>
        <w:tc>
          <w:tcPr>
            <w:tcW w:w="864"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857D4EF" w14:textId="77777777" w:rsidR="005879B1" w:rsidRDefault="00A97397">
            <w:pPr>
              <w:pBdr>
                <w:top w:val="none" w:sz="0" w:space="0" w:color="000000"/>
                <w:left w:val="none" w:sz="0" w:space="0" w:color="000000"/>
                <w:bottom w:val="none" w:sz="0" w:space="0" w:color="000000"/>
                <w:right w:val="none" w:sz="0" w:space="0" w:color="000000"/>
              </w:pBdr>
              <w:spacing w:before="100" w:after="100" w:line="240" w:lineRule="auto"/>
              <w:ind w:left="100" w:right="100"/>
              <w:jc w:val="right"/>
              <w:rPr>
                <w:rFonts w:eastAsia="Verdana" w:cs="Verdana"/>
                <w:color w:val="252C65"/>
                <w:sz w:val="16"/>
                <w:szCs w:val="16"/>
              </w:rPr>
            </w:pPr>
            <w:r>
              <w:rPr>
                <w:rFonts w:eastAsia="Verdana" w:cs="Verdana"/>
                <w:color w:val="252C65"/>
                <w:sz w:val="16"/>
                <w:szCs w:val="16"/>
              </w:rPr>
              <w:t>2.00</w:t>
            </w:r>
          </w:p>
        </w:tc>
      </w:tr>
      <w:tr w:rsidR="005879B1" w14:paraId="0BC2D5A4" w14:textId="77777777">
        <w:tc>
          <w:tcPr>
            <w:tcW w:w="1152"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31F7D3C" w14:textId="77777777" w:rsidR="005879B1" w:rsidRDefault="00A97397">
            <w:pPr>
              <w:pBdr>
                <w:top w:val="none" w:sz="0" w:space="0" w:color="000000"/>
                <w:left w:val="none" w:sz="0" w:space="0" w:color="000000"/>
                <w:bottom w:val="none" w:sz="0" w:space="0" w:color="000000"/>
                <w:right w:val="none" w:sz="0" w:space="0" w:color="000000"/>
              </w:pBdr>
              <w:spacing w:before="100" w:after="100" w:line="240" w:lineRule="auto"/>
              <w:ind w:left="100" w:right="100"/>
              <w:rPr>
                <w:rFonts w:eastAsia="Verdana" w:cs="Verdana"/>
                <w:color w:val="252C65"/>
                <w:sz w:val="16"/>
                <w:szCs w:val="16"/>
              </w:rPr>
            </w:pPr>
            <w:r>
              <w:rPr>
                <w:rFonts w:eastAsia="Verdana" w:cs="Verdana"/>
                <w:color w:val="252C65"/>
                <w:sz w:val="16"/>
                <w:szCs w:val="16"/>
              </w:rPr>
              <w:t>9:16:00</w:t>
            </w:r>
          </w:p>
        </w:tc>
        <w:tc>
          <w:tcPr>
            <w:tcW w:w="360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A1443DC" w14:textId="77777777" w:rsidR="005879B1" w:rsidRDefault="00A97397">
            <w:pPr>
              <w:pBdr>
                <w:top w:val="none" w:sz="0" w:space="0" w:color="000000"/>
                <w:left w:val="none" w:sz="0" w:space="0" w:color="000000"/>
                <w:bottom w:val="none" w:sz="0" w:space="0" w:color="000000"/>
                <w:right w:val="none" w:sz="0" w:space="0" w:color="000000"/>
              </w:pBdr>
              <w:spacing w:before="100" w:after="100" w:line="240" w:lineRule="auto"/>
              <w:ind w:left="100" w:right="100"/>
              <w:rPr>
                <w:rFonts w:eastAsia="Verdana" w:cs="Verdana"/>
                <w:color w:val="252C65"/>
                <w:sz w:val="16"/>
                <w:szCs w:val="16"/>
              </w:rPr>
            </w:pPr>
            <w:r>
              <w:rPr>
                <w:rFonts w:eastAsia="Verdana" w:cs="Verdana"/>
                <w:color w:val="252C65"/>
                <w:sz w:val="16"/>
                <w:szCs w:val="16"/>
              </w:rPr>
              <w:t>Case management</w:t>
            </w:r>
          </w:p>
        </w:tc>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67C1954" w14:textId="77777777" w:rsidR="005879B1" w:rsidRDefault="00A97397">
            <w:pPr>
              <w:pBdr>
                <w:top w:val="none" w:sz="0" w:space="0" w:color="000000"/>
                <w:left w:val="none" w:sz="0" w:space="0" w:color="000000"/>
                <w:bottom w:val="none" w:sz="0" w:space="0" w:color="000000"/>
                <w:right w:val="none" w:sz="0" w:space="0" w:color="000000"/>
              </w:pBdr>
              <w:spacing w:before="100" w:after="100" w:line="240" w:lineRule="auto"/>
              <w:ind w:left="100" w:right="100"/>
              <w:rPr>
                <w:rFonts w:eastAsia="Verdana" w:cs="Verdana"/>
                <w:color w:val="252C65"/>
                <w:sz w:val="16"/>
                <w:szCs w:val="16"/>
              </w:rPr>
            </w:pPr>
            <w:r>
              <w:rPr>
                <w:rFonts w:eastAsia="Verdana" w:cs="Verdana"/>
                <w:color w:val="252C65"/>
                <w:sz w:val="16"/>
                <w:szCs w:val="16"/>
              </w:rPr>
              <w:t>Scan Document</w:t>
            </w:r>
          </w:p>
        </w:tc>
        <w:tc>
          <w:tcPr>
            <w:tcW w:w="864"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1E46D27" w14:textId="77777777" w:rsidR="005879B1" w:rsidRDefault="00A97397">
            <w:pPr>
              <w:pBdr>
                <w:top w:val="none" w:sz="0" w:space="0" w:color="000000"/>
                <w:left w:val="none" w:sz="0" w:space="0" w:color="000000"/>
                <w:bottom w:val="none" w:sz="0" w:space="0" w:color="000000"/>
                <w:right w:val="none" w:sz="0" w:space="0" w:color="000000"/>
              </w:pBdr>
              <w:spacing w:before="100" w:after="100" w:line="240" w:lineRule="auto"/>
              <w:ind w:left="100" w:right="100"/>
              <w:jc w:val="right"/>
              <w:rPr>
                <w:rFonts w:eastAsia="Verdana" w:cs="Verdana"/>
                <w:color w:val="252C65"/>
                <w:sz w:val="16"/>
                <w:szCs w:val="16"/>
              </w:rPr>
            </w:pPr>
            <w:r>
              <w:rPr>
                <w:rFonts w:eastAsia="Verdana" w:cs="Verdana"/>
                <w:color w:val="252C65"/>
                <w:sz w:val="16"/>
                <w:szCs w:val="16"/>
              </w:rPr>
              <w:t>25</w:t>
            </w:r>
          </w:p>
        </w:tc>
        <w:tc>
          <w:tcPr>
            <w:tcW w:w="864"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33C4F81" w14:textId="77777777" w:rsidR="005879B1" w:rsidRDefault="00A97397">
            <w:pPr>
              <w:pBdr>
                <w:top w:val="none" w:sz="0" w:space="0" w:color="000000"/>
                <w:left w:val="none" w:sz="0" w:space="0" w:color="000000"/>
                <w:bottom w:val="none" w:sz="0" w:space="0" w:color="000000"/>
                <w:right w:val="none" w:sz="0" w:space="0" w:color="000000"/>
              </w:pBdr>
              <w:spacing w:before="100" w:after="100" w:line="240" w:lineRule="auto"/>
              <w:ind w:left="100" w:right="100"/>
              <w:jc w:val="right"/>
              <w:rPr>
                <w:rFonts w:eastAsia="Verdana" w:cs="Verdana"/>
                <w:color w:val="252C65"/>
                <w:sz w:val="16"/>
                <w:szCs w:val="16"/>
              </w:rPr>
            </w:pPr>
            <w:r>
              <w:rPr>
                <w:rFonts w:eastAsia="Verdana" w:cs="Verdana"/>
                <w:color w:val="252C65"/>
                <w:sz w:val="16"/>
                <w:szCs w:val="16"/>
              </w:rPr>
              <w:t>2.00</w:t>
            </w:r>
          </w:p>
        </w:tc>
      </w:tr>
      <w:tr w:rsidR="005879B1" w14:paraId="756C462B" w14:textId="77777777">
        <w:tc>
          <w:tcPr>
            <w:tcW w:w="1152"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C8ABCE2" w14:textId="77777777" w:rsidR="005879B1" w:rsidRDefault="00A97397">
            <w:pPr>
              <w:pBdr>
                <w:top w:val="none" w:sz="0" w:space="0" w:color="000000"/>
                <w:left w:val="none" w:sz="0" w:space="0" w:color="000000"/>
                <w:bottom w:val="none" w:sz="0" w:space="0" w:color="000000"/>
                <w:right w:val="none" w:sz="0" w:space="0" w:color="000000"/>
              </w:pBdr>
              <w:spacing w:before="100" w:after="100" w:line="240" w:lineRule="auto"/>
              <w:ind w:left="100" w:right="100"/>
              <w:rPr>
                <w:rFonts w:eastAsia="Verdana" w:cs="Verdana"/>
                <w:color w:val="252C65"/>
                <w:sz w:val="16"/>
                <w:szCs w:val="16"/>
              </w:rPr>
            </w:pPr>
            <w:r>
              <w:rPr>
                <w:rFonts w:eastAsia="Verdana" w:cs="Verdana"/>
                <w:color w:val="252C65"/>
                <w:sz w:val="16"/>
                <w:szCs w:val="16"/>
              </w:rPr>
              <w:t>9:19:00</w:t>
            </w:r>
          </w:p>
        </w:tc>
        <w:tc>
          <w:tcPr>
            <w:tcW w:w="360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17D0ECF" w14:textId="77777777" w:rsidR="005879B1" w:rsidRDefault="00A97397">
            <w:pPr>
              <w:pBdr>
                <w:top w:val="none" w:sz="0" w:space="0" w:color="000000"/>
                <w:left w:val="none" w:sz="0" w:space="0" w:color="000000"/>
                <w:bottom w:val="none" w:sz="0" w:space="0" w:color="000000"/>
                <w:right w:val="none" w:sz="0" w:space="0" w:color="000000"/>
              </w:pBdr>
              <w:spacing w:before="100" w:after="100" w:line="240" w:lineRule="auto"/>
              <w:ind w:left="100" w:right="100"/>
              <w:rPr>
                <w:rFonts w:eastAsia="Verdana" w:cs="Verdana"/>
                <w:color w:val="252C65"/>
                <w:sz w:val="16"/>
                <w:szCs w:val="16"/>
              </w:rPr>
            </w:pPr>
            <w:r>
              <w:rPr>
                <w:rFonts w:eastAsia="Verdana" w:cs="Verdana"/>
                <w:color w:val="252C65"/>
                <w:sz w:val="16"/>
                <w:szCs w:val="16"/>
              </w:rPr>
              <w:t>Income Support Administration</w:t>
            </w:r>
          </w:p>
        </w:tc>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5ADD379" w14:textId="77777777" w:rsidR="005879B1" w:rsidRDefault="00A97397">
            <w:pPr>
              <w:pBdr>
                <w:top w:val="none" w:sz="0" w:space="0" w:color="000000"/>
                <w:left w:val="none" w:sz="0" w:space="0" w:color="000000"/>
                <w:bottom w:val="none" w:sz="0" w:space="0" w:color="000000"/>
                <w:right w:val="none" w:sz="0" w:space="0" w:color="000000"/>
              </w:pBdr>
              <w:spacing w:before="100" w:after="100" w:line="240" w:lineRule="auto"/>
              <w:ind w:left="100" w:right="100"/>
              <w:rPr>
                <w:rFonts w:eastAsia="Verdana" w:cs="Verdana"/>
                <w:color w:val="252C65"/>
                <w:sz w:val="16"/>
                <w:szCs w:val="16"/>
              </w:rPr>
            </w:pPr>
            <w:r>
              <w:rPr>
                <w:rFonts w:eastAsia="Verdana" w:cs="Verdana"/>
                <w:color w:val="252C65"/>
                <w:sz w:val="16"/>
                <w:szCs w:val="16"/>
              </w:rPr>
              <w:t>Third tier assistance</w:t>
            </w:r>
          </w:p>
        </w:tc>
        <w:tc>
          <w:tcPr>
            <w:tcW w:w="864"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8968C3E" w14:textId="77777777" w:rsidR="005879B1" w:rsidRDefault="00A97397">
            <w:pPr>
              <w:pBdr>
                <w:top w:val="none" w:sz="0" w:space="0" w:color="000000"/>
                <w:left w:val="none" w:sz="0" w:space="0" w:color="000000"/>
                <w:bottom w:val="none" w:sz="0" w:space="0" w:color="000000"/>
                <w:right w:val="none" w:sz="0" w:space="0" w:color="000000"/>
              </w:pBdr>
              <w:spacing w:before="100" w:after="100" w:line="240" w:lineRule="auto"/>
              <w:ind w:left="100" w:right="100"/>
              <w:jc w:val="right"/>
              <w:rPr>
                <w:rFonts w:eastAsia="Verdana" w:cs="Verdana"/>
                <w:color w:val="252C65"/>
                <w:sz w:val="16"/>
                <w:szCs w:val="16"/>
              </w:rPr>
            </w:pPr>
            <w:r>
              <w:rPr>
                <w:rFonts w:eastAsia="Verdana" w:cs="Verdana"/>
                <w:color w:val="252C65"/>
                <w:sz w:val="16"/>
                <w:szCs w:val="16"/>
              </w:rPr>
              <w:t>6</w:t>
            </w:r>
          </w:p>
        </w:tc>
        <w:tc>
          <w:tcPr>
            <w:tcW w:w="864"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28F102B" w14:textId="77777777" w:rsidR="005879B1" w:rsidRDefault="00A97397">
            <w:pPr>
              <w:pBdr>
                <w:top w:val="none" w:sz="0" w:space="0" w:color="000000"/>
                <w:left w:val="none" w:sz="0" w:space="0" w:color="000000"/>
                <w:bottom w:val="none" w:sz="0" w:space="0" w:color="000000"/>
                <w:right w:val="none" w:sz="0" w:space="0" w:color="000000"/>
              </w:pBdr>
              <w:spacing w:before="100" w:after="100" w:line="240" w:lineRule="auto"/>
              <w:ind w:left="100" w:right="100"/>
              <w:jc w:val="right"/>
              <w:rPr>
                <w:rFonts w:eastAsia="Verdana" w:cs="Verdana"/>
                <w:color w:val="252C65"/>
                <w:sz w:val="16"/>
                <w:szCs w:val="16"/>
              </w:rPr>
            </w:pPr>
            <w:r>
              <w:rPr>
                <w:rFonts w:eastAsia="Verdana" w:cs="Verdana"/>
                <w:color w:val="252C65"/>
                <w:sz w:val="16"/>
                <w:szCs w:val="16"/>
              </w:rPr>
              <w:t>3.00</w:t>
            </w:r>
          </w:p>
        </w:tc>
      </w:tr>
      <w:tr w:rsidR="005879B1" w14:paraId="213A8916" w14:textId="77777777">
        <w:tc>
          <w:tcPr>
            <w:tcW w:w="1152"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5CCC5E6" w14:textId="77777777" w:rsidR="005879B1" w:rsidRDefault="00A97397">
            <w:pPr>
              <w:pBdr>
                <w:top w:val="none" w:sz="0" w:space="0" w:color="000000"/>
                <w:left w:val="none" w:sz="0" w:space="0" w:color="000000"/>
                <w:bottom w:val="none" w:sz="0" w:space="0" w:color="000000"/>
                <w:right w:val="none" w:sz="0" w:space="0" w:color="000000"/>
              </w:pBdr>
              <w:spacing w:before="100" w:after="100" w:line="240" w:lineRule="auto"/>
              <w:ind w:left="100" w:right="100"/>
              <w:rPr>
                <w:rFonts w:eastAsia="Verdana" w:cs="Verdana"/>
                <w:color w:val="252C65"/>
                <w:sz w:val="16"/>
                <w:szCs w:val="16"/>
              </w:rPr>
            </w:pPr>
            <w:r>
              <w:rPr>
                <w:rFonts w:eastAsia="Verdana" w:cs="Verdana"/>
                <w:color w:val="252C65"/>
                <w:sz w:val="16"/>
                <w:szCs w:val="16"/>
              </w:rPr>
              <w:t>9:20:00</w:t>
            </w:r>
          </w:p>
        </w:tc>
        <w:tc>
          <w:tcPr>
            <w:tcW w:w="360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BD0E026" w14:textId="77777777" w:rsidR="005879B1" w:rsidRDefault="00A97397">
            <w:pPr>
              <w:pBdr>
                <w:top w:val="none" w:sz="0" w:space="0" w:color="000000"/>
                <w:left w:val="none" w:sz="0" w:space="0" w:color="000000"/>
                <w:bottom w:val="none" w:sz="0" w:space="0" w:color="000000"/>
                <w:right w:val="none" w:sz="0" w:space="0" w:color="000000"/>
              </w:pBdr>
              <w:spacing w:before="100" w:after="100" w:line="240" w:lineRule="auto"/>
              <w:ind w:left="100" w:right="100"/>
              <w:rPr>
                <w:rFonts w:eastAsia="Verdana" w:cs="Verdana"/>
                <w:color w:val="252C65"/>
                <w:sz w:val="16"/>
                <w:szCs w:val="16"/>
              </w:rPr>
            </w:pPr>
            <w:r>
              <w:rPr>
                <w:rFonts w:eastAsia="Verdana" w:cs="Verdana"/>
                <w:color w:val="252C65"/>
                <w:sz w:val="16"/>
                <w:szCs w:val="16"/>
              </w:rPr>
              <w:t>Income Support Administration</w:t>
            </w:r>
          </w:p>
        </w:tc>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733D23F" w14:textId="77777777" w:rsidR="005879B1" w:rsidRDefault="00A97397">
            <w:pPr>
              <w:pBdr>
                <w:top w:val="none" w:sz="0" w:space="0" w:color="000000"/>
                <w:left w:val="none" w:sz="0" w:space="0" w:color="000000"/>
                <w:bottom w:val="none" w:sz="0" w:space="0" w:color="000000"/>
                <w:right w:val="none" w:sz="0" w:space="0" w:color="000000"/>
              </w:pBdr>
              <w:spacing w:before="100" w:after="100" w:line="240" w:lineRule="auto"/>
              <w:ind w:left="100" w:right="100"/>
              <w:rPr>
                <w:rFonts w:eastAsia="Verdana" w:cs="Verdana"/>
                <w:color w:val="252C65"/>
                <w:sz w:val="16"/>
                <w:szCs w:val="16"/>
              </w:rPr>
            </w:pPr>
            <w:r>
              <w:rPr>
                <w:rFonts w:eastAsia="Verdana" w:cs="Verdana"/>
                <w:color w:val="252C65"/>
                <w:sz w:val="16"/>
                <w:szCs w:val="16"/>
              </w:rPr>
              <w:t>Third tier assistance</w:t>
            </w:r>
          </w:p>
        </w:tc>
        <w:tc>
          <w:tcPr>
            <w:tcW w:w="864"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A157674" w14:textId="77777777" w:rsidR="005879B1" w:rsidRDefault="00A97397">
            <w:pPr>
              <w:pBdr>
                <w:top w:val="none" w:sz="0" w:space="0" w:color="000000"/>
                <w:left w:val="none" w:sz="0" w:space="0" w:color="000000"/>
                <w:bottom w:val="none" w:sz="0" w:space="0" w:color="000000"/>
                <w:right w:val="none" w:sz="0" w:space="0" w:color="000000"/>
              </w:pBdr>
              <w:spacing w:before="100" w:after="100" w:line="240" w:lineRule="auto"/>
              <w:ind w:left="100" w:right="100"/>
              <w:jc w:val="right"/>
              <w:rPr>
                <w:rFonts w:eastAsia="Verdana" w:cs="Verdana"/>
                <w:color w:val="252C65"/>
                <w:sz w:val="16"/>
                <w:szCs w:val="16"/>
              </w:rPr>
            </w:pPr>
            <w:r>
              <w:rPr>
                <w:rFonts w:eastAsia="Verdana" w:cs="Verdana"/>
                <w:color w:val="252C65"/>
                <w:sz w:val="16"/>
                <w:szCs w:val="16"/>
              </w:rPr>
              <w:t>6</w:t>
            </w:r>
          </w:p>
        </w:tc>
        <w:tc>
          <w:tcPr>
            <w:tcW w:w="864"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46E297D" w14:textId="77777777" w:rsidR="005879B1" w:rsidRDefault="00A97397">
            <w:pPr>
              <w:pBdr>
                <w:top w:val="none" w:sz="0" w:space="0" w:color="000000"/>
                <w:left w:val="none" w:sz="0" w:space="0" w:color="000000"/>
                <w:bottom w:val="none" w:sz="0" w:space="0" w:color="000000"/>
                <w:right w:val="none" w:sz="0" w:space="0" w:color="000000"/>
              </w:pBdr>
              <w:spacing w:before="100" w:after="100" w:line="240" w:lineRule="auto"/>
              <w:ind w:left="100" w:right="100"/>
              <w:jc w:val="right"/>
              <w:rPr>
                <w:rFonts w:eastAsia="Verdana" w:cs="Verdana"/>
                <w:color w:val="252C65"/>
                <w:sz w:val="16"/>
                <w:szCs w:val="16"/>
              </w:rPr>
            </w:pPr>
            <w:r>
              <w:rPr>
                <w:rFonts w:eastAsia="Verdana" w:cs="Verdana"/>
                <w:color w:val="252C65"/>
                <w:sz w:val="16"/>
                <w:szCs w:val="16"/>
              </w:rPr>
              <w:t>0.50</w:t>
            </w:r>
          </w:p>
        </w:tc>
      </w:tr>
      <w:tr w:rsidR="005879B1" w14:paraId="232C76F3" w14:textId="77777777">
        <w:tc>
          <w:tcPr>
            <w:tcW w:w="1152"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DA9E150" w14:textId="77777777" w:rsidR="005879B1" w:rsidRDefault="00A97397">
            <w:pPr>
              <w:pBdr>
                <w:top w:val="none" w:sz="0" w:space="0" w:color="000000"/>
                <w:left w:val="none" w:sz="0" w:space="0" w:color="000000"/>
                <w:bottom w:val="none" w:sz="0" w:space="0" w:color="000000"/>
                <w:right w:val="none" w:sz="0" w:space="0" w:color="000000"/>
              </w:pBdr>
              <w:spacing w:before="100" w:after="100" w:line="240" w:lineRule="auto"/>
              <w:ind w:left="100" w:right="100"/>
              <w:rPr>
                <w:rFonts w:eastAsia="Verdana" w:cs="Verdana"/>
                <w:color w:val="252C65"/>
                <w:sz w:val="16"/>
                <w:szCs w:val="16"/>
              </w:rPr>
            </w:pPr>
            <w:r>
              <w:rPr>
                <w:rFonts w:eastAsia="Verdana" w:cs="Verdana"/>
                <w:color w:val="252C65"/>
                <w:sz w:val="16"/>
                <w:szCs w:val="16"/>
              </w:rPr>
              <w:t>9:20:00</w:t>
            </w:r>
          </w:p>
        </w:tc>
        <w:tc>
          <w:tcPr>
            <w:tcW w:w="360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935AF79" w14:textId="77777777" w:rsidR="005879B1" w:rsidRDefault="00A97397">
            <w:pPr>
              <w:pBdr>
                <w:top w:val="none" w:sz="0" w:space="0" w:color="000000"/>
                <w:left w:val="none" w:sz="0" w:space="0" w:color="000000"/>
                <w:bottom w:val="none" w:sz="0" w:space="0" w:color="000000"/>
                <w:right w:val="none" w:sz="0" w:space="0" w:color="000000"/>
              </w:pBdr>
              <w:spacing w:before="100" w:after="100" w:line="240" w:lineRule="auto"/>
              <w:ind w:left="100" w:right="100"/>
              <w:rPr>
                <w:rFonts w:eastAsia="Verdana" w:cs="Verdana"/>
                <w:color w:val="252C65"/>
                <w:sz w:val="16"/>
                <w:szCs w:val="16"/>
              </w:rPr>
            </w:pPr>
            <w:r>
              <w:rPr>
                <w:rFonts w:eastAsia="Verdana" w:cs="Verdana"/>
                <w:color w:val="252C65"/>
                <w:sz w:val="16"/>
                <w:szCs w:val="16"/>
              </w:rPr>
              <w:t>Case management</w:t>
            </w:r>
          </w:p>
        </w:tc>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B99A6FF" w14:textId="77777777" w:rsidR="005879B1" w:rsidRDefault="00A97397">
            <w:pPr>
              <w:pBdr>
                <w:top w:val="none" w:sz="0" w:space="0" w:color="000000"/>
                <w:left w:val="none" w:sz="0" w:space="0" w:color="000000"/>
                <w:bottom w:val="none" w:sz="0" w:space="0" w:color="000000"/>
                <w:right w:val="none" w:sz="0" w:space="0" w:color="000000"/>
              </w:pBdr>
              <w:spacing w:before="100" w:after="100" w:line="240" w:lineRule="auto"/>
              <w:ind w:left="100" w:right="100"/>
              <w:rPr>
                <w:rFonts w:eastAsia="Verdana" w:cs="Verdana"/>
                <w:color w:val="252C65"/>
                <w:sz w:val="16"/>
                <w:szCs w:val="16"/>
              </w:rPr>
            </w:pPr>
            <w:r>
              <w:rPr>
                <w:rFonts w:eastAsia="Verdana" w:cs="Verdana"/>
                <w:color w:val="252C65"/>
                <w:sz w:val="16"/>
                <w:szCs w:val="16"/>
              </w:rPr>
              <w:t>Case Management</w:t>
            </w:r>
          </w:p>
        </w:tc>
        <w:tc>
          <w:tcPr>
            <w:tcW w:w="864"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0A87002" w14:textId="77777777" w:rsidR="005879B1" w:rsidRDefault="00A97397">
            <w:pPr>
              <w:pBdr>
                <w:top w:val="none" w:sz="0" w:space="0" w:color="000000"/>
                <w:left w:val="none" w:sz="0" w:space="0" w:color="000000"/>
                <w:bottom w:val="none" w:sz="0" w:space="0" w:color="000000"/>
                <w:right w:val="none" w:sz="0" w:space="0" w:color="000000"/>
              </w:pBdr>
              <w:spacing w:before="100" w:after="100" w:line="240" w:lineRule="auto"/>
              <w:ind w:left="100" w:right="100"/>
              <w:jc w:val="right"/>
              <w:rPr>
                <w:rFonts w:eastAsia="Verdana" w:cs="Verdana"/>
                <w:color w:val="252C65"/>
                <w:sz w:val="16"/>
                <w:szCs w:val="16"/>
              </w:rPr>
            </w:pPr>
            <w:r>
              <w:rPr>
                <w:rFonts w:eastAsia="Verdana" w:cs="Verdana"/>
                <w:color w:val="252C65"/>
                <w:sz w:val="16"/>
                <w:szCs w:val="16"/>
              </w:rPr>
              <w:t>33</w:t>
            </w:r>
          </w:p>
        </w:tc>
        <w:tc>
          <w:tcPr>
            <w:tcW w:w="864"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8DDE1CD" w14:textId="77777777" w:rsidR="005879B1" w:rsidRDefault="00A97397">
            <w:pPr>
              <w:pBdr>
                <w:top w:val="none" w:sz="0" w:space="0" w:color="000000"/>
                <w:left w:val="none" w:sz="0" w:space="0" w:color="000000"/>
                <w:bottom w:val="none" w:sz="0" w:space="0" w:color="000000"/>
                <w:right w:val="none" w:sz="0" w:space="0" w:color="000000"/>
              </w:pBdr>
              <w:spacing w:before="100" w:after="100" w:line="240" w:lineRule="auto"/>
              <w:ind w:left="100" w:right="100"/>
              <w:jc w:val="right"/>
              <w:rPr>
                <w:rFonts w:eastAsia="Verdana" w:cs="Verdana"/>
                <w:color w:val="252C65"/>
                <w:sz w:val="16"/>
                <w:szCs w:val="16"/>
              </w:rPr>
            </w:pPr>
            <w:r>
              <w:rPr>
                <w:rFonts w:eastAsia="Verdana" w:cs="Verdana"/>
                <w:color w:val="252C65"/>
                <w:sz w:val="16"/>
                <w:szCs w:val="16"/>
              </w:rPr>
              <w:t>0.50</w:t>
            </w:r>
          </w:p>
        </w:tc>
      </w:tr>
      <w:tr w:rsidR="005879B1" w14:paraId="6CA1793E" w14:textId="77777777">
        <w:tc>
          <w:tcPr>
            <w:tcW w:w="1152"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BDC1D51" w14:textId="77777777" w:rsidR="005879B1" w:rsidRDefault="00A97397">
            <w:pPr>
              <w:pBdr>
                <w:top w:val="none" w:sz="0" w:space="0" w:color="000000"/>
                <w:left w:val="none" w:sz="0" w:space="0" w:color="000000"/>
                <w:bottom w:val="none" w:sz="0" w:space="0" w:color="000000"/>
                <w:right w:val="none" w:sz="0" w:space="0" w:color="000000"/>
              </w:pBdr>
              <w:spacing w:before="100" w:after="100" w:line="240" w:lineRule="auto"/>
              <w:ind w:left="100" w:right="100"/>
              <w:rPr>
                <w:rFonts w:eastAsia="Verdana" w:cs="Verdana"/>
                <w:color w:val="252C65"/>
                <w:sz w:val="16"/>
                <w:szCs w:val="16"/>
              </w:rPr>
            </w:pPr>
            <w:r>
              <w:rPr>
                <w:rFonts w:eastAsia="Verdana" w:cs="Verdana"/>
                <w:color w:val="252C65"/>
                <w:sz w:val="16"/>
                <w:szCs w:val="16"/>
              </w:rPr>
              <w:t>9:21:00</w:t>
            </w:r>
          </w:p>
        </w:tc>
        <w:tc>
          <w:tcPr>
            <w:tcW w:w="360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65DB2D9" w14:textId="77777777" w:rsidR="005879B1" w:rsidRDefault="00A97397">
            <w:pPr>
              <w:pBdr>
                <w:top w:val="none" w:sz="0" w:space="0" w:color="000000"/>
                <w:left w:val="none" w:sz="0" w:space="0" w:color="000000"/>
                <w:bottom w:val="none" w:sz="0" w:space="0" w:color="000000"/>
                <w:right w:val="none" w:sz="0" w:space="0" w:color="000000"/>
              </w:pBdr>
              <w:spacing w:before="100" w:after="100" w:line="240" w:lineRule="auto"/>
              <w:ind w:left="100" w:right="100"/>
              <w:rPr>
                <w:rFonts w:eastAsia="Verdana" w:cs="Verdana"/>
                <w:color w:val="252C65"/>
                <w:sz w:val="16"/>
                <w:szCs w:val="16"/>
              </w:rPr>
            </w:pPr>
            <w:r>
              <w:rPr>
                <w:rFonts w:eastAsia="Verdana" w:cs="Verdana"/>
                <w:color w:val="252C65"/>
                <w:sz w:val="16"/>
                <w:szCs w:val="16"/>
              </w:rPr>
              <w:t>Case management</w:t>
            </w:r>
          </w:p>
        </w:tc>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3A30394" w14:textId="77777777" w:rsidR="005879B1" w:rsidRDefault="00A97397">
            <w:pPr>
              <w:pBdr>
                <w:top w:val="none" w:sz="0" w:space="0" w:color="000000"/>
                <w:left w:val="none" w:sz="0" w:space="0" w:color="000000"/>
                <w:bottom w:val="none" w:sz="0" w:space="0" w:color="000000"/>
                <w:right w:val="none" w:sz="0" w:space="0" w:color="000000"/>
              </w:pBdr>
              <w:spacing w:before="100" w:after="100" w:line="240" w:lineRule="auto"/>
              <w:ind w:left="100" w:right="100"/>
              <w:rPr>
                <w:rFonts w:eastAsia="Verdana" w:cs="Verdana"/>
                <w:color w:val="252C65"/>
                <w:sz w:val="16"/>
                <w:szCs w:val="16"/>
              </w:rPr>
            </w:pPr>
            <w:r>
              <w:rPr>
                <w:rFonts w:eastAsia="Verdana" w:cs="Verdana"/>
                <w:color w:val="252C65"/>
                <w:sz w:val="16"/>
                <w:szCs w:val="16"/>
              </w:rPr>
              <w:t>Search for client</w:t>
            </w:r>
          </w:p>
        </w:tc>
        <w:tc>
          <w:tcPr>
            <w:tcW w:w="864"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FCD08F3" w14:textId="77777777" w:rsidR="005879B1" w:rsidRDefault="00A97397">
            <w:pPr>
              <w:pBdr>
                <w:top w:val="none" w:sz="0" w:space="0" w:color="000000"/>
                <w:left w:val="none" w:sz="0" w:space="0" w:color="000000"/>
                <w:bottom w:val="none" w:sz="0" w:space="0" w:color="000000"/>
                <w:right w:val="none" w:sz="0" w:space="0" w:color="000000"/>
              </w:pBdr>
              <w:spacing w:before="100" w:after="100" w:line="240" w:lineRule="auto"/>
              <w:ind w:left="100" w:right="100"/>
              <w:jc w:val="right"/>
              <w:rPr>
                <w:rFonts w:eastAsia="Verdana" w:cs="Verdana"/>
                <w:color w:val="252C65"/>
                <w:sz w:val="16"/>
                <w:szCs w:val="16"/>
              </w:rPr>
            </w:pPr>
            <w:r>
              <w:rPr>
                <w:rFonts w:eastAsia="Verdana" w:cs="Verdana"/>
                <w:color w:val="252C65"/>
                <w:sz w:val="16"/>
                <w:szCs w:val="16"/>
              </w:rPr>
              <w:t>33</w:t>
            </w:r>
          </w:p>
        </w:tc>
        <w:tc>
          <w:tcPr>
            <w:tcW w:w="864"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7DD375B" w14:textId="77777777" w:rsidR="005879B1" w:rsidRDefault="00A97397">
            <w:pPr>
              <w:pBdr>
                <w:top w:val="none" w:sz="0" w:space="0" w:color="000000"/>
                <w:left w:val="none" w:sz="0" w:space="0" w:color="000000"/>
                <w:bottom w:val="none" w:sz="0" w:space="0" w:color="000000"/>
                <w:right w:val="none" w:sz="0" w:space="0" w:color="000000"/>
              </w:pBdr>
              <w:spacing w:before="100" w:after="100" w:line="240" w:lineRule="auto"/>
              <w:ind w:left="100" w:right="100"/>
              <w:jc w:val="right"/>
              <w:rPr>
                <w:rFonts w:eastAsia="Verdana" w:cs="Verdana"/>
                <w:color w:val="252C65"/>
                <w:sz w:val="16"/>
                <w:szCs w:val="16"/>
              </w:rPr>
            </w:pPr>
            <w:r>
              <w:rPr>
                <w:rFonts w:eastAsia="Verdana" w:cs="Verdana"/>
                <w:color w:val="252C65"/>
                <w:sz w:val="16"/>
                <w:szCs w:val="16"/>
              </w:rPr>
              <w:t>1.00</w:t>
            </w:r>
          </w:p>
        </w:tc>
      </w:tr>
      <w:tr w:rsidR="005879B1" w14:paraId="32F9005C" w14:textId="77777777">
        <w:tc>
          <w:tcPr>
            <w:tcW w:w="1152"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9B541E7" w14:textId="77777777" w:rsidR="005879B1" w:rsidRDefault="00A97397">
            <w:pPr>
              <w:pBdr>
                <w:top w:val="none" w:sz="0" w:space="0" w:color="000000"/>
                <w:left w:val="none" w:sz="0" w:space="0" w:color="000000"/>
                <w:bottom w:val="none" w:sz="0" w:space="0" w:color="000000"/>
                <w:right w:val="none" w:sz="0" w:space="0" w:color="000000"/>
              </w:pBdr>
              <w:spacing w:before="100" w:after="100" w:line="240" w:lineRule="auto"/>
              <w:ind w:left="100" w:right="100"/>
              <w:rPr>
                <w:rFonts w:eastAsia="Verdana" w:cs="Verdana"/>
                <w:color w:val="252C65"/>
                <w:sz w:val="16"/>
                <w:szCs w:val="16"/>
              </w:rPr>
            </w:pPr>
            <w:r>
              <w:rPr>
                <w:rFonts w:eastAsia="Verdana" w:cs="Verdana"/>
                <w:color w:val="252C65"/>
                <w:sz w:val="16"/>
                <w:szCs w:val="16"/>
              </w:rPr>
              <w:t>9:22:00</w:t>
            </w:r>
          </w:p>
        </w:tc>
        <w:tc>
          <w:tcPr>
            <w:tcW w:w="360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9ADF07F" w14:textId="77777777" w:rsidR="005879B1" w:rsidRDefault="00A97397">
            <w:pPr>
              <w:pBdr>
                <w:top w:val="none" w:sz="0" w:space="0" w:color="000000"/>
                <w:left w:val="none" w:sz="0" w:space="0" w:color="000000"/>
                <w:bottom w:val="none" w:sz="0" w:space="0" w:color="000000"/>
                <w:right w:val="none" w:sz="0" w:space="0" w:color="000000"/>
              </w:pBdr>
              <w:spacing w:before="100" w:after="100" w:line="240" w:lineRule="auto"/>
              <w:ind w:left="100" w:right="100"/>
              <w:rPr>
                <w:rFonts w:eastAsia="Verdana" w:cs="Verdana"/>
                <w:color w:val="252C65"/>
                <w:sz w:val="16"/>
                <w:szCs w:val="16"/>
              </w:rPr>
            </w:pPr>
            <w:r>
              <w:rPr>
                <w:rFonts w:eastAsia="Verdana" w:cs="Verdana"/>
                <w:color w:val="252C65"/>
                <w:sz w:val="16"/>
                <w:szCs w:val="16"/>
              </w:rPr>
              <w:t>Income Support Administration</w:t>
            </w:r>
          </w:p>
        </w:tc>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0EFE6BD" w14:textId="77777777" w:rsidR="005879B1" w:rsidRDefault="00A97397">
            <w:pPr>
              <w:pBdr>
                <w:top w:val="none" w:sz="0" w:space="0" w:color="000000"/>
                <w:left w:val="none" w:sz="0" w:space="0" w:color="000000"/>
                <w:bottom w:val="none" w:sz="0" w:space="0" w:color="000000"/>
                <w:right w:val="none" w:sz="0" w:space="0" w:color="000000"/>
              </w:pBdr>
              <w:spacing w:before="100" w:after="100" w:line="240" w:lineRule="auto"/>
              <w:ind w:left="100" w:right="100"/>
              <w:rPr>
                <w:rFonts w:eastAsia="Verdana" w:cs="Verdana"/>
                <w:color w:val="252C65"/>
                <w:sz w:val="16"/>
                <w:szCs w:val="16"/>
              </w:rPr>
            </w:pPr>
            <w:r>
              <w:rPr>
                <w:rFonts w:eastAsia="Verdana" w:cs="Verdana"/>
                <w:color w:val="252C65"/>
                <w:sz w:val="16"/>
                <w:szCs w:val="16"/>
              </w:rPr>
              <w:t>Maintenance</w:t>
            </w:r>
          </w:p>
        </w:tc>
        <w:tc>
          <w:tcPr>
            <w:tcW w:w="864"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E73E01D" w14:textId="77777777" w:rsidR="005879B1" w:rsidRDefault="00A97397">
            <w:pPr>
              <w:pBdr>
                <w:top w:val="none" w:sz="0" w:space="0" w:color="000000"/>
                <w:left w:val="none" w:sz="0" w:space="0" w:color="000000"/>
                <w:bottom w:val="none" w:sz="0" w:space="0" w:color="000000"/>
                <w:right w:val="none" w:sz="0" w:space="0" w:color="000000"/>
              </w:pBdr>
              <w:spacing w:before="100" w:after="100" w:line="240" w:lineRule="auto"/>
              <w:ind w:left="100" w:right="100"/>
              <w:jc w:val="right"/>
              <w:rPr>
                <w:rFonts w:eastAsia="Verdana" w:cs="Verdana"/>
                <w:color w:val="252C65"/>
                <w:sz w:val="16"/>
                <w:szCs w:val="16"/>
              </w:rPr>
            </w:pPr>
            <w:r>
              <w:rPr>
                <w:rFonts w:eastAsia="Verdana" w:cs="Verdana"/>
                <w:color w:val="252C65"/>
                <w:sz w:val="16"/>
                <w:szCs w:val="16"/>
              </w:rPr>
              <w:t>33</w:t>
            </w:r>
          </w:p>
        </w:tc>
        <w:tc>
          <w:tcPr>
            <w:tcW w:w="864"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E699152" w14:textId="77777777" w:rsidR="005879B1" w:rsidRDefault="00A97397">
            <w:pPr>
              <w:pBdr>
                <w:top w:val="none" w:sz="0" w:space="0" w:color="000000"/>
                <w:left w:val="none" w:sz="0" w:space="0" w:color="000000"/>
                <w:bottom w:val="none" w:sz="0" w:space="0" w:color="000000"/>
                <w:right w:val="none" w:sz="0" w:space="0" w:color="000000"/>
              </w:pBdr>
              <w:spacing w:before="100" w:after="100" w:line="240" w:lineRule="auto"/>
              <w:ind w:left="100" w:right="100"/>
              <w:jc w:val="right"/>
              <w:rPr>
                <w:rFonts w:eastAsia="Verdana" w:cs="Verdana"/>
                <w:color w:val="252C65"/>
                <w:sz w:val="16"/>
                <w:szCs w:val="16"/>
              </w:rPr>
            </w:pPr>
            <w:r>
              <w:rPr>
                <w:rFonts w:eastAsia="Verdana" w:cs="Verdana"/>
                <w:color w:val="252C65"/>
                <w:sz w:val="16"/>
                <w:szCs w:val="16"/>
              </w:rPr>
              <w:t>0.50</w:t>
            </w:r>
          </w:p>
        </w:tc>
      </w:tr>
      <w:tr w:rsidR="005879B1" w14:paraId="41E95A5C" w14:textId="77777777">
        <w:tc>
          <w:tcPr>
            <w:tcW w:w="1152"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58F8FC8" w14:textId="77777777" w:rsidR="005879B1" w:rsidRDefault="00A97397">
            <w:pPr>
              <w:pBdr>
                <w:top w:val="none" w:sz="0" w:space="0" w:color="000000"/>
                <w:left w:val="none" w:sz="0" w:space="0" w:color="000000"/>
                <w:bottom w:val="none" w:sz="0" w:space="0" w:color="000000"/>
                <w:right w:val="none" w:sz="0" w:space="0" w:color="000000"/>
              </w:pBdr>
              <w:spacing w:before="100" w:after="100" w:line="240" w:lineRule="auto"/>
              <w:ind w:left="100" w:right="100"/>
              <w:rPr>
                <w:rFonts w:eastAsia="Verdana" w:cs="Verdana"/>
                <w:color w:val="252C65"/>
                <w:sz w:val="16"/>
                <w:szCs w:val="16"/>
              </w:rPr>
            </w:pPr>
            <w:r>
              <w:rPr>
                <w:rFonts w:eastAsia="Verdana" w:cs="Verdana"/>
                <w:color w:val="252C65"/>
                <w:sz w:val="16"/>
                <w:szCs w:val="16"/>
              </w:rPr>
              <w:t>9:22:00</w:t>
            </w:r>
          </w:p>
        </w:tc>
        <w:tc>
          <w:tcPr>
            <w:tcW w:w="360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F8BB4A3" w14:textId="77777777" w:rsidR="005879B1" w:rsidRDefault="00A97397">
            <w:pPr>
              <w:pBdr>
                <w:top w:val="none" w:sz="0" w:space="0" w:color="000000"/>
                <w:left w:val="none" w:sz="0" w:space="0" w:color="000000"/>
                <w:bottom w:val="none" w:sz="0" w:space="0" w:color="000000"/>
                <w:right w:val="none" w:sz="0" w:space="0" w:color="000000"/>
              </w:pBdr>
              <w:spacing w:before="100" w:after="100" w:line="240" w:lineRule="auto"/>
              <w:ind w:left="100" w:right="100"/>
              <w:rPr>
                <w:rFonts w:eastAsia="Verdana" w:cs="Verdana"/>
                <w:color w:val="252C65"/>
                <w:sz w:val="16"/>
                <w:szCs w:val="16"/>
              </w:rPr>
            </w:pPr>
            <w:r>
              <w:rPr>
                <w:rFonts w:eastAsia="Verdana" w:cs="Verdana"/>
                <w:color w:val="252C65"/>
                <w:sz w:val="16"/>
                <w:szCs w:val="16"/>
              </w:rPr>
              <w:t>Income Support Administration</w:t>
            </w:r>
          </w:p>
        </w:tc>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D9DA7E8" w14:textId="77777777" w:rsidR="005879B1" w:rsidRDefault="00A97397">
            <w:pPr>
              <w:pBdr>
                <w:top w:val="none" w:sz="0" w:space="0" w:color="000000"/>
                <w:left w:val="none" w:sz="0" w:space="0" w:color="000000"/>
                <w:bottom w:val="none" w:sz="0" w:space="0" w:color="000000"/>
                <w:right w:val="none" w:sz="0" w:space="0" w:color="000000"/>
              </w:pBdr>
              <w:spacing w:before="100" w:after="100" w:line="240" w:lineRule="auto"/>
              <w:ind w:left="100" w:right="100"/>
              <w:rPr>
                <w:rFonts w:eastAsia="Verdana" w:cs="Verdana"/>
                <w:color w:val="252C65"/>
                <w:sz w:val="16"/>
                <w:szCs w:val="16"/>
              </w:rPr>
            </w:pPr>
            <w:r>
              <w:rPr>
                <w:rFonts w:eastAsia="Verdana" w:cs="Verdana"/>
                <w:color w:val="252C65"/>
                <w:sz w:val="16"/>
                <w:szCs w:val="16"/>
              </w:rPr>
              <w:t>Third tier assistance</w:t>
            </w:r>
          </w:p>
        </w:tc>
        <w:tc>
          <w:tcPr>
            <w:tcW w:w="864"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43F4F30" w14:textId="77777777" w:rsidR="005879B1" w:rsidRDefault="00A97397">
            <w:pPr>
              <w:pBdr>
                <w:top w:val="none" w:sz="0" w:space="0" w:color="000000"/>
                <w:left w:val="none" w:sz="0" w:space="0" w:color="000000"/>
                <w:bottom w:val="none" w:sz="0" w:space="0" w:color="000000"/>
                <w:right w:val="none" w:sz="0" w:space="0" w:color="000000"/>
              </w:pBdr>
              <w:spacing w:before="100" w:after="100" w:line="240" w:lineRule="auto"/>
              <w:ind w:left="100" w:right="100"/>
              <w:jc w:val="right"/>
              <w:rPr>
                <w:rFonts w:eastAsia="Verdana" w:cs="Verdana"/>
                <w:color w:val="252C65"/>
                <w:sz w:val="16"/>
                <w:szCs w:val="16"/>
              </w:rPr>
            </w:pPr>
            <w:r>
              <w:rPr>
                <w:rFonts w:eastAsia="Verdana" w:cs="Verdana"/>
                <w:color w:val="252C65"/>
                <w:sz w:val="16"/>
                <w:szCs w:val="16"/>
              </w:rPr>
              <w:t>33</w:t>
            </w:r>
          </w:p>
        </w:tc>
        <w:tc>
          <w:tcPr>
            <w:tcW w:w="864"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BCDD176" w14:textId="77777777" w:rsidR="005879B1" w:rsidRDefault="00A97397">
            <w:pPr>
              <w:pBdr>
                <w:top w:val="none" w:sz="0" w:space="0" w:color="000000"/>
                <w:left w:val="none" w:sz="0" w:space="0" w:color="000000"/>
                <w:bottom w:val="none" w:sz="0" w:space="0" w:color="000000"/>
                <w:right w:val="none" w:sz="0" w:space="0" w:color="000000"/>
              </w:pBdr>
              <w:spacing w:before="100" w:after="100" w:line="240" w:lineRule="auto"/>
              <w:ind w:left="100" w:right="100"/>
              <w:jc w:val="right"/>
              <w:rPr>
                <w:rFonts w:eastAsia="Verdana" w:cs="Verdana"/>
                <w:color w:val="252C65"/>
                <w:sz w:val="16"/>
                <w:szCs w:val="16"/>
              </w:rPr>
            </w:pPr>
            <w:r>
              <w:rPr>
                <w:rFonts w:eastAsia="Verdana" w:cs="Verdana"/>
                <w:color w:val="252C65"/>
                <w:sz w:val="16"/>
                <w:szCs w:val="16"/>
              </w:rPr>
              <w:t>0.50</w:t>
            </w:r>
          </w:p>
        </w:tc>
      </w:tr>
      <w:tr w:rsidR="005879B1" w14:paraId="31B59E9F" w14:textId="77777777">
        <w:tc>
          <w:tcPr>
            <w:tcW w:w="1152"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03C41A2" w14:textId="77777777" w:rsidR="005879B1" w:rsidRDefault="00A97397">
            <w:pPr>
              <w:pBdr>
                <w:top w:val="none" w:sz="0" w:space="0" w:color="000000"/>
                <w:left w:val="none" w:sz="0" w:space="0" w:color="000000"/>
                <w:bottom w:val="none" w:sz="0" w:space="0" w:color="000000"/>
                <w:right w:val="none" w:sz="0" w:space="0" w:color="000000"/>
              </w:pBdr>
              <w:spacing w:before="100" w:after="100" w:line="240" w:lineRule="auto"/>
              <w:ind w:left="100" w:right="100"/>
              <w:rPr>
                <w:rFonts w:eastAsia="Verdana" w:cs="Verdana"/>
                <w:color w:val="252C65"/>
                <w:sz w:val="16"/>
                <w:szCs w:val="16"/>
              </w:rPr>
            </w:pPr>
            <w:r>
              <w:rPr>
                <w:rFonts w:eastAsia="Verdana" w:cs="Verdana"/>
                <w:color w:val="252C65"/>
                <w:sz w:val="16"/>
                <w:szCs w:val="16"/>
              </w:rPr>
              <w:lastRenderedPageBreak/>
              <w:t>9:23:00</w:t>
            </w:r>
          </w:p>
        </w:tc>
        <w:tc>
          <w:tcPr>
            <w:tcW w:w="360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2AE9EE6" w14:textId="77777777" w:rsidR="005879B1" w:rsidRDefault="00A97397">
            <w:pPr>
              <w:pBdr>
                <w:top w:val="none" w:sz="0" w:space="0" w:color="000000"/>
                <w:left w:val="none" w:sz="0" w:space="0" w:color="000000"/>
                <w:bottom w:val="none" w:sz="0" w:space="0" w:color="000000"/>
                <w:right w:val="none" w:sz="0" w:space="0" w:color="000000"/>
              </w:pBdr>
              <w:spacing w:before="100" w:after="100" w:line="240" w:lineRule="auto"/>
              <w:ind w:left="100" w:right="100"/>
              <w:rPr>
                <w:rFonts w:eastAsia="Verdana" w:cs="Verdana"/>
                <w:color w:val="252C65"/>
                <w:sz w:val="16"/>
                <w:szCs w:val="16"/>
              </w:rPr>
            </w:pPr>
            <w:r>
              <w:rPr>
                <w:rFonts w:eastAsia="Verdana" w:cs="Verdana"/>
                <w:color w:val="252C65"/>
                <w:sz w:val="16"/>
                <w:szCs w:val="16"/>
              </w:rPr>
              <w:t>Income Support Administration</w:t>
            </w:r>
          </w:p>
        </w:tc>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0129620" w14:textId="77777777" w:rsidR="005879B1" w:rsidRDefault="00A97397">
            <w:pPr>
              <w:pBdr>
                <w:top w:val="none" w:sz="0" w:space="0" w:color="000000"/>
                <w:left w:val="none" w:sz="0" w:space="0" w:color="000000"/>
                <w:bottom w:val="none" w:sz="0" w:space="0" w:color="000000"/>
                <w:right w:val="none" w:sz="0" w:space="0" w:color="000000"/>
              </w:pBdr>
              <w:spacing w:before="100" w:after="100" w:line="240" w:lineRule="auto"/>
              <w:ind w:left="100" w:right="100"/>
              <w:rPr>
                <w:rFonts w:eastAsia="Verdana" w:cs="Verdana"/>
                <w:color w:val="252C65"/>
                <w:sz w:val="16"/>
                <w:szCs w:val="16"/>
              </w:rPr>
            </w:pPr>
            <w:r>
              <w:rPr>
                <w:rFonts w:eastAsia="Verdana" w:cs="Verdana"/>
                <w:color w:val="252C65"/>
                <w:sz w:val="16"/>
                <w:szCs w:val="16"/>
              </w:rPr>
              <w:t>Third tier assistance</w:t>
            </w:r>
          </w:p>
        </w:tc>
        <w:tc>
          <w:tcPr>
            <w:tcW w:w="864"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41628C8" w14:textId="77777777" w:rsidR="005879B1" w:rsidRDefault="00A97397">
            <w:pPr>
              <w:pBdr>
                <w:top w:val="none" w:sz="0" w:space="0" w:color="000000"/>
                <w:left w:val="none" w:sz="0" w:space="0" w:color="000000"/>
                <w:bottom w:val="none" w:sz="0" w:space="0" w:color="000000"/>
                <w:right w:val="none" w:sz="0" w:space="0" w:color="000000"/>
              </w:pBdr>
              <w:spacing w:before="100" w:after="100" w:line="240" w:lineRule="auto"/>
              <w:ind w:left="100" w:right="100"/>
              <w:jc w:val="right"/>
              <w:rPr>
                <w:rFonts w:eastAsia="Verdana" w:cs="Verdana"/>
                <w:color w:val="252C65"/>
                <w:sz w:val="16"/>
                <w:szCs w:val="16"/>
              </w:rPr>
            </w:pPr>
            <w:r>
              <w:rPr>
                <w:rFonts w:eastAsia="Verdana" w:cs="Verdana"/>
                <w:color w:val="252C65"/>
                <w:sz w:val="16"/>
                <w:szCs w:val="16"/>
              </w:rPr>
              <w:t>33</w:t>
            </w:r>
          </w:p>
        </w:tc>
        <w:tc>
          <w:tcPr>
            <w:tcW w:w="864"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12774B9" w14:textId="77777777" w:rsidR="005879B1" w:rsidRDefault="00A97397">
            <w:pPr>
              <w:pBdr>
                <w:top w:val="none" w:sz="0" w:space="0" w:color="000000"/>
                <w:left w:val="none" w:sz="0" w:space="0" w:color="000000"/>
                <w:bottom w:val="none" w:sz="0" w:space="0" w:color="000000"/>
                <w:right w:val="none" w:sz="0" w:space="0" w:color="000000"/>
              </w:pBdr>
              <w:spacing w:before="100" w:after="100" w:line="240" w:lineRule="auto"/>
              <w:ind w:left="100" w:right="100"/>
              <w:jc w:val="right"/>
              <w:rPr>
                <w:rFonts w:eastAsia="Verdana" w:cs="Verdana"/>
                <w:color w:val="252C65"/>
                <w:sz w:val="16"/>
                <w:szCs w:val="16"/>
              </w:rPr>
            </w:pPr>
            <w:r>
              <w:rPr>
                <w:rFonts w:eastAsia="Verdana" w:cs="Verdana"/>
                <w:color w:val="252C65"/>
                <w:sz w:val="16"/>
                <w:szCs w:val="16"/>
              </w:rPr>
              <w:t>1.00</w:t>
            </w:r>
          </w:p>
        </w:tc>
      </w:tr>
      <w:tr w:rsidR="005879B1" w14:paraId="181B0188" w14:textId="77777777">
        <w:tc>
          <w:tcPr>
            <w:tcW w:w="1152"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F930332" w14:textId="77777777" w:rsidR="005879B1" w:rsidRDefault="00A97397">
            <w:pPr>
              <w:pBdr>
                <w:top w:val="none" w:sz="0" w:space="0" w:color="000000"/>
                <w:left w:val="none" w:sz="0" w:space="0" w:color="000000"/>
                <w:bottom w:val="none" w:sz="0" w:space="0" w:color="000000"/>
                <w:right w:val="none" w:sz="0" w:space="0" w:color="000000"/>
              </w:pBdr>
              <w:spacing w:before="100" w:after="100" w:line="240" w:lineRule="auto"/>
              <w:ind w:left="100" w:right="100"/>
              <w:rPr>
                <w:rFonts w:eastAsia="Verdana" w:cs="Verdana"/>
                <w:color w:val="252C65"/>
                <w:sz w:val="16"/>
                <w:szCs w:val="16"/>
              </w:rPr>
            </w:pPr>
            <w:r>
              <w:rPr>
                <w:rFonts w:eastAsia="Verdana" w:cs="Verdana"/>
                <w:color w:val="252C65"/>
                <w:sz w:val="16"/>
                <w:szCs w:val="16"/>
              </w:rPr>
              <w:t>9:24:00</w:t>
            </w:r>
          </w:p>
        </w:tc>
        <w:tc>
          <w:tcPr>
            <w:tcW w:w="360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5EE48F0" w14:textId="77777777" w:rsidR="005879B1" w:rsidRDefault="00A97397">
            <w:pPr>
              <w:pBdr>
                <w:top w:val="none" w:sz="0" w:space="0" w:color="000000"/>
                <w:left w:val="none" w:sz="0" w:space="0" w:color="000000"/>
                <w:bottom w:val="none" w:sz="0" w:space="0" w:color="000000"/>
                <w:right w:val="none" w:sz="0" w:space="0" w:color="000000"/>
              </w:pBdr>
              <w:spacing w:before="100" w:after="100" w:line="240" w:lineRule="auto"/>
              <w:ind w:left="100" w:right="100"/>
              <w:rPr>
                <w:rFonts w:eastAsia="Verdana" w:cs="Verdana"/>
                <w:color w:val="252C65"/>
                <w:sz w:val="16"/>
                <w:szCs w:val="16"/>
              </w:rPr>
            </w:pPr>
            <w:r>
              <w:rPr>
                <w:rFonts w:eastAsia="Verdana" w:cs="Verdana"/>
                <w:color w:val="252C65"/>
                <w:sz w:val="16"/>
                <w:szCs w:val="16"/>
              </w:rPr>
              <w:t>Case management</w:t>
            </w:r>
          </w:p>
        </w:tc>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1710CBD" w14:textId="77777777" w:rsidR="005879B1" w:rsidRDefault="00A97397">
            <w:pPr>
              <w:pBdr>
                <w:top w:val="none" w:sz="0" w:space="0" w:color="000000"/>
                <w:left w:val="none" w:sz="0" w:space="0" w:color="000000"/>
                <w:bottom w:val="none" w:sz="0" w:space="0" w:color="000000"/>
                <w:right w:val="none" w:sz="0" w:space="0" w:color="000000"/>
              </w:pBdr>
              <w:spacing w:before="100" w:after="100" w:line="240" w:lineRule="auto"/>
              <w:ind w:left="100" w:right="100"/>
              <w:rPr>
                <w:rFonts w:eastAsia="Verdana" w:cs="Verdana"/>
                <w:color w:val="252C65"/>
                <w:sz w:val="16"/>
                <w:szCs w:val="16"/>
              </w:rPr>
            </w:pPr>
            <w:r>
              <w:rPr>
                <w:rFonts w:eastAsia="Verdana" w:cs="Verdana"/>
                <w:color w:val="252C65"/>
                <w:sz w:val="16"/>
                <w:szCs w:val="16"/>
              </w:rPr>
              <w:t>Scan Document</w:t>
            </w:r>
          </w:p>
        </w:tc>
        <w:tc>
          <w:tcPr>
            <w:tcW w:w="864"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9025133" w14:textId="77777777" w:rsidR="005879B1" w:rsidRDefault="00A97397">
            <w:pPr>
              <w:pBdr>
                <w:top w:val="none" w:sz="0" w:space="0" w:color="000000"/>
                <w:left w:val="none" w:sz="0" w:space="0" w:color="000000"/>
                <w:bottom w:val="none" w:sz="0" w:space="0" w:color="000000"/>
                <w:right w:val="none" w:sz="0" w:space="0" w:color="000000"/>
              </w:pBdr>
              <w:spacing w:before="100" w:after="100" w:line="240" w:lineRule="auto"/>
              <w:ind w:left="100" w:right="100"/>
              <w:jc w:val="right"/>
              <w:rPr>
                <w:rFonts w:eastAsia="Verdana" w:cs="Verdana"/>
                <w:color w:val="252C65"/>
                <w:sz w:val="16"/>
                <w:szCs w:val="16"/>
              </w:rPr>
            </w:pPr>
            <w:r>
              <w:rPr>
                <w:rFonts w:eastAsia="Verdana" w:cs="Verdana"/>
                <w:color w:val="252C65"/>
                <w:sz w:val="16"/>
                <w:szCs w:val="16"/>
              </w:rPr>
              <w:t>33</w:t>
            </w:r>
          </w:p>
        </w:tc>
        <w:tc>
          <w:tcPr>
            <w:tcW w:w="864"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8F2079E" w14:textId="77777777" w:rsidR="005879B1" w:rsidRDefault="00A97397">
            <w:pPr>
              <w:pBdr>
                <w:top w:val="none" w:sz="0" w:space="0" w:color="000000"/>
                <w:left w:val="none" w:sz="0" w:space="0" w:color="000000"/>
                <w:bottom w:val="none" w:sz="0" w:space="0" w:color="000000"/>
                <w:right w:val="none" w:sz="0" w:space="0" w:color="000000"/>
              </w:pBdr>
              <w:spacing w:before="100" w:after="100" w:line="240" w:lineRule="auto"/>
              <w:ind w:left="100" w:right="100"/>
              <w:jc w:val="right"/>
              <w:rPr>
                <w:rFonts w:eastAsia="Verdana" w:cs="Verdana"/>
                <w:color w:val="252C65"/>
                <w:sz w:val="16"/>
                <w:szCs w:val="16"/>
              </w:rPr>
            </w:pPr>
            <w:r>
              <w:rPr>
                <w:rFonts w:eastAsia="Verdana" w:cs="Verdana"/>
                <w:color w:val="252C65"/>
                <w:sz w:val="16"/>
                <w:szCs w:val="16"/>
              </w:rPr>
              <w:t>1.00</w:t>
            </w:r>
          </w:p>
        </w:tc>
      </w:tr>
      <w:tr w:rsidR="005879B1" w14:paraId="52304785" w14:textId="77777777">
        <w:tc>
          <w:tcPr>
            <w:tcW w:w="1152"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F167CAC" w14:textId="77777777" w:rsidR="005879B1" w:rsidRDefault="00A97397">
            <w:pPr>
              <w:pBdr>
                <w:top w:val="none" w:sz="0" w:space="0" w:color="000000"/>
                <w:left w:val="none" w:sz="0" w:space="0" w:color="000000"/>
                <w:bottom w:val="none" w:sz="0" w:space="0" w:color="000000"/>
                <w:right w:val="none" w:sz="0" w:space="0" w:color="000000"/>
              </w:pBdr>
              <w:spacing w:before="100" w:after="100" w:line="240" w:lineRule="auto"/>
              <w:ind w:left="100" w:right="100"/>
              <w:rPr>
                <w:rFonts w:eastAsia="Verdana" w:cs="Verdana"/>
                <w:color w:val="252C65"/>
                <w:sz w:val="16"/>
                <w:szCs w:val="16"/>
              </w:rPr>
            </w:pPr>
            <w:r>
              <w:rPr>
                <w:rFonts w:eastAsia="Verdana" w:cs="Verdana"/>
                <w:color w:val="252C65"/>
                <w:sz w:val="16"/>
                <w:szCs w:val="16"/>
              </w:rPr>
              <w:t>9:29:00</w:t>
            </w:r>
          </w:p>
        </w:tc>
        <w:tc>
          <w:tcPr>
            <w:tcW w:w="360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CB9AA26" w14:textId="77777777" w:rsidR="005879B1" w:rsidRDefault="00A97397">
            <w:pPr>
              <w:pBdr>
                <w:top w:val="none" w:sz="0" w:space="0" w:color="000000"/>
                <w:left w:val="none" w:sz="0" w:space="0" w:color="000000"/>
                <w:bottom w:val="none" w:sz="0" w:space="0" w:color="000000"/>
                <w:right w:val="none" w:sz="0" w:space="0" w:color="000000"/>
              </w:pBdr>
              <w:spacing w:before="100" w:after="100" w:line="240" w:lineRule="auto"/>
              <w:ind w:left="100" w:right="100"/>
              <w:rPr>
                <w:rFonts w:eastAsia="Verdana" w:cs="Verdana"/>
                <w:color w:val="252C65"/>
                <w:sz w:val="16"/>
                <w:szCs w:val="16"/>
              </w:rPr>
            </w:pPr>
            <w:r>
              <w:rPr>
                <w:rFonts w:eastAsia="Verdana" w:cs="Verdana"/>
                <w:color w:val="252C65"/>
                <w:sz w:val="16"/>
                <w:szCs w:val="16"/>
              </w:rPr>
              <w:t>Income Support Administration</w:t>
            </w:r>
          </w:p>
        </w:tc>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9C16192" w14:textId="77777777" w:rsidR="005879B1" w:rsidRDefault="00A97397">
            <w:pPr>
              <w:pBdr>
                <w:top w:val="none" w:sz="0" w:space="0" w:color="000000"/>
                <w:left w:val="none" w:sz="0" w:space="0" w:color="000000"/>
                <w:bottom w:val="none" w:sz="0" w:space="0" w:color="000000"/>
                <w:right w:val="none" w:sz="0" w:space="0" w:color="000000"/>
              </w:pBdr>
              <w:spacing w:before="100" w:after="100" w:line="240" w:lineRule="auto"/>
              <w:ind w:left="100" w:right="100"/>
              <w:rPr>
                <w:rFonts w:eastAsia="Verdana" w:cs="Verdana"/>
                <w:color w:val="252C65"/>
                <w:sz w:val="16"/>
                <w:szCs w:val="16"/>
              </w:rPr>
            </w:pPr>
            <w:r>
              <w:rPr>
                <w:rFonts w:eastAsia="Verdana" w:cs="Verdana"/>
                <w:color w:val="252C65"/>
                <w:sz w:val="16"/>
                <w:szCs w:val="16"/>
              </w:rPr>
              <w:t>Maintenance</w:t>
            </w:r>
          </w:p>
        </w:tc>
        <w:tc>
          <w:tcPr>
            <w:tcW w:w="864"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AC9224B" w14:textId="77777777" w:rsidR="005879B1" w:rsidRDefault="00A97397">
            <w:pPr>
              <w:pBdr>
                <w:top w:val="none" w:sz="0" w:space="0" w:color="000000"/>
                <w:left w:val="none" w:sz="0" w:space="0" w:color="000000"/>
                <w:bottom w:val="none" w:sz="0" w:space="0" w:color="000000"/>
                <w:right w:val="none" w:sz="0" w:space="0" w:color="000000"/>
              </w:pBdr>
              <w:spacing w:before="100" w:after="100" w:line="240" w:lineRule="auto"/>
              <w:ind w:left="100" w:right="100"/>
              <w:jc w:val="right"/>
              <w:rPr>
                <w:rFonts w:eastAsia="Verdana" w:cs="Verdana"/>
                <w:color w:val="252C65"/>
                <w:sz w:val="16"/>
                <w:szCs w:val="16"/>
              </w:rPr>
            </w:pPr>
            <w:r>
              <w:rPr>
                <w:rFonts w:eastAsia="Verdana" w:cs="Verdana"/>
                <w:color w:val="252C65"/>
                <w:sz w:val="16"/>
                <w:szCs w:val="16"/>
              </w:rPr>
              <w:t>33</w:t>
            </w:r>
          </w:p>
        </w:tc>
        <w:tc>
          <w:tcPr>
            <w:tcW w:w="864"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1353B49" w14:textId="77777777" w:rsidR="005879B1" w:rsidRDefault="00A97397">
            <w:pPr>
              <w:pBdr>
                <w:top w:val="none" w:sz="0" w:space="0" w:color="000000"/>
                <w:left w:val="none" w:sz="0" w:space="0" w:color="000000"/>
                <w:bottom w:val="none" w:sz="0" w:space="0" w:color="000000"/>
                <w:right w:val="none" w:sz="0" w:space="0" w:color="000000"/>
              </w:pBdr>
              <w:spacing w:before="100" w:after="100" w:line="240" w:lineRule="auto"/>
              <w:ind w:left="100" w:right="100"/>
              <w:jc w:val="right"/>
              <w:rPr>
                <w:rFonts w:eastAsia="Verdana" w:cs="Verdana"/>
                <w:color w:val="252C65"/>
                <w:sz w:val="16"/>
                <w:szCs w:val="16"/>
              </w:rPr>
            </w:pPr>
            <w:r>
              <w:rPr>
                <w:rFonts w:eastAsia="Verdana" w:cs="Verdana"/>
                <w:color w:val="252C65"/>
                <w:sz w:val="16"/>
                <w:szCs w:val="16"/>
              </w:rPr>
              <w:t>3.50</w:t>
            </w:r>
          </w:p>
        </w:tc>
      </w:tr>
      <w:tr w:rsidR="005879B1" w14:paraId="4A87A950" w14:textId="77777777">
        <w:tc>
          <w:tcPr>
            <w:tcW w:w="1152"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13497A7" w14:textId="77777777" w:rsidR="005879B1" w:rsidRDefault="00A97397">
            <w:pPr>
              <w:pBdr>
                <w:top w:val="none" w:sz="0" w:space="0" w:color="000000"/>
                <w:left w:val="none" w:sz="0" w:space="0" w:color="000000"/>
                <w:bottom w:val="none" w:sz="0" w:space="0" w:color="000000"/>
                <w:right w:val="none" w:sz="0" w:space="0" w:color="000000"/>
              </w:pBdr>
              <w:spacing w:before="100" w:after="100" w:line="240" w:lineRule="auto"/>
              <w:ind w:left="100" w:right="100"/>
              <w:rPr>
                <w:rFonts w:eastAsia="Verdana" w:cs="Verdana"/>
                <w:color w:val="252C65"/>
                <w:sz w:val="16"/>
                <w:szCs w:val="16"/>
              </w:rPr>
            </w:pPr>
            <w:r>
              <w:rPr>
                <w:rFonts w:eastAsia="Verdana" w:cs="Verdana"/>
                <w:color w:val="252C65"/>
                <w:sz w:val="16"/>
                <w:szCs w:val="16"/>
              </w:rPr>
              <w:t>9:29:00</w:t>
            </w:r>
          </w:p>
        </w:tc>
        <w:tc>
          <w:tcPr>
            <w:tcW w:w="360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9AAAF71" w14:textId="77777777" w:rsidR="005879B1" w:rsidRDefault="00A97397">
            <w:pPr>
              <w:pBdr>
                <w:top w:val="none" w:sz="0" w:space="0" w:color="000000"/>
                <w:left w:val="none" w:sz="0" w:space="0" w:color="000000"/>
                <w:bottom w:val="none" w:sz="0" w:space="0" w:color="000000"/>
                <w:right w:val="none" w:sz="0" w:space="0" w:color="000000"/>
              </w:pBdr>
              <w:spacing w:before="100" w:after="100" w:line="240" w:lineRule="auto"/>
              <w:ind w:left="100" w:right="100"/>
              <w:rPr>
                <w:rFonts w:eastAsia="Verdana" w:cs="Verdana"/>
                <w:color w:val="252C65"/>
                <w:sz w:val="16"/>
                <w:szCs w:val="16"/>
              </w:rPr>
            </w:pPr>
            <w:r>
              <w:rPr>
                <w:rFonts w:eastAsia="Verdana" w:cs="Verdana"/>
                <w:color w:val="252C65"/>
                <w:sz w:val="16"/>
                <w:szCs w:val="16"/>
              </w:rPr>
              <w:t>Non contact time</w:t>
            </w:r>
          </w:p>
        </w:tc>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41970B9" w14:textId="77777777" w:rsidR="005879B1" w:rsidRDefault="00A97397">
            <w:pPr>
              <w:pBdr>
                <w:top w:val="none" w:sz="0" w:space="0" w:color="000000"/>
                <w:left w:val="none" w:sz="0" w:space="0" w:color="000000"/>
                <w:bottom w:val="none" w:sz="0" w:space="0" w:color="000000"/>
                <w:right w:val="none" w:sz="0" w:space="0" w:color="000000"/>
              </w:pBdr>
              <w:spacing w:before="100" w:after="100" w:line="240" w:lineRule="auto"/>
              <w:ind w:left="100" w:right="100"/>
              <w:rPr>
                <w:rFonts w:eastAsia="Verdana" w:cs="Verdana"/>
                <w:color w:val="252C65"/>
                <w:sz w:val="16"/>
                <w:szCs w:val="16"/>
              </w:rPr>
            </w:pPr>
            <w:r>
              <w:rPr>
                <w:rFonts w:eastAsia="Verdana" w:cs="Verdana"/>
                <w:color w:val="252C65"/>
                <w:sz w:val="16"/>
                <w:szCs w:val="16"/>
              </w:rPr>
              <w:t>Non contact time</w:t>
            </w:r>
          </w:p>
        </w:tc>
        <w:tc>
          <w:tcPr>
            <w:tcW w:w="864"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F06279E" w14:textId="77777777" w:rsidR="005879B1" w:rsidRDefault="00A97397">
            <w:pPr>
              <w:pBdr>
                <w:top w:val="none" w:sz="0" w:space="0" w:color="000000"/>
                <w:left w:val="none" w:sz="0" w:space="0" w:color="000000"/>
                <w:bottom w:val="none" w:sz="0" w:space="0" w:color="000000"/>
                <w:right w:val="none" w:sz="0" w:space="0" w:color="000000"/>
              </w:pBdr>
              <w:spacing w:before="100" w:after="100" w:line="240" w:lineRule="auto"/>
              <w:ind w:left="100" w:right="100"/>
              <w:jc w:val="right"/>
              <w:rPr>
                <w:rFonts w:eastAsia="Verdana" w:cs="Verdana"/>
                <w:color w:val="252C65"/>
                <w:sz w:val="16"/>
                <w:szCs w:val="16"/>
              </w:rPr>
            </w:pPr>
            <w:r>
              <w:rPr>
                <w:rFonts w:eastAsia="Verdana" w:cs="Verdana"/>
                <w:color w:val="252C65"/>
                <w:sz w:val="16"/>
                <w:szCs w:val="16"/>
              </w:rPr>
              <w:t>-</w:t>
            </w:r>
          </w:p>
        </w:tc>
        <w:tc>
          <w:tcPr>
            <w:tcW w:w="864"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A2AE45E" w14:textId="77777777" w:rsidR="005879B1" w:rsidRDefault="00A97397">
            <w:pPr>
              <w:pBdr>
                <w:top w:val="none" w:sz="0" w:space="0" w:color="000000"/>
                <w:left w:val="none" w:sz="0" w:space="0" w:color="000000"/>
                <w:bottom w:val="none" w:sz="0" w:space="0" w:color="000000"/>
                <w:right w:val="none" w:sz="0" w:space="0" w:color="000000"/>
              </w:pBdr>
              <w:spacing w:before="100" w:after="100" w:line="240" w:lineRule="auto"/>
              <w:ind w:left="100" w:right="100"/>
              <w:jc w:val="right"/>
              <w:rPr>
                <w:rFonts w:eastAsia="Verdana" w:cs="Verdana"/>
                <w:color w:val="252C65"/>
                <w:sz w:val="16"/>
                <w:szCs w:val="16"/>
              </w:rPr>
            </w:pPr>
            <w:r>
              <w:rPr>
                <w:rFonts w:eastAsia="Verdana" w:cs="Verdana"/>
                <w:color w:val="252C65"/>
                <w:sz w:val="16"/>
                <w:szCs w:val="16"/>
              </w:rPr>
              <w:t>1.50</w:t>
            </w:r>
          </w:p>
        </w:tc>
      </w:tr>
      <w:tr w:rsidR="005879B1" w14:paraId="07E884F8" w14:textId="77777777">
        <w:tc>
          <w:tcPr>
            <w:tcW w:w="1152"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177409F" w14:textId="77777777" w:rsidR="005879B1" w:rsidRDefault="00A97397">
            <w:pPr>
              <w:pBdr>
                <w:top w:val="none" w:sz="0" w:space="0" w:color="000000"/>
                <w:left w:val="none" w:sz="0" w:space="0" w:color="000000"/>
                <w:bottom w:val="none" w:sz="0" w:space="0" w:color="000000"/>
                <w:right w:val="none" w:sz="0" w:space="0" w:color="000000"/>
              </w:pBdr>
              <w:spacing w:before="100" w:after="100" w:line="240" w:lineRule="auto"/>
              <w:ind w:left="100" w:right="100"/>
              <w:rPr>
                <w:rFonts w:eastAsia="Verdana" w:cs="Verdana"/>
                <w:color w:val="252C65"/>
                <w:sz w:val="16"/>
                <w:szCs w:val="16"/>
              </w:rPr>
            </w:pPr>
            <w:r>
              <w:rPr>
                <w:rFonts w:eastAsia="Verdana" w:cs="Verdana"/>
                <w:color w:val="252C65"/>
                <w:sz w:val="16"/>
                <w:szCs w:val="16"/>
              </w:rPr>
              <w:t>9:30:00</w:t>
            </w:r>
          </w:p>
        </w:tc>
        <w:tc>
          <w:tcPr>
            <w:tcW w:w="360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6F6F671" w14:textId="77777777" w:rsidR="005879B1" w:rsidRDefault="00A97397">
            <w:pPr>
              <w:pBdr>
                <w:top w:val="none" w:sz="0" w:space="0" w:color="000000"/>
                <w:left w:val="none" w:sz="0" w:space="0" w:color="000000"/>
                <w:bottom w:val="none" w:sz="0" w:space="0" w:color="000000"/>
                <w:right w:val="none" w:sz="0" w:space="0" w:color="000000"/>
              </w:pBdr>
              <w:spacing w:before="100" w:after="100" w:line="240" w:lineRule="auto"/>
              <w:ind w:left="100" w:right="100"/>
              <w:rPr>
                <w:rFonts w:eastAsia="Verdana" w:cs="Verdana"/>
                <w:color w:val="252C65"/>
                <w:sz w:val="16"/>
                <w:szCs w:val="16"/>
              </w:rPr>
            </w:pPr>
            <w:r>
              <w:rPr>
                <w:rFonts w:eastAsia="Verdana" w:cs="Verdana"/>
                <w:color w:val="252C65"/>
                <w:sz w:val="16"/>
                <w:szCs w:val="16"/>
              </w:rPr>
              <w:t>Income Support Administration</w:t>
            </w:r>
          </w:p>
        </w:tc>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B592F5C" w14:textId="77777777" w:rsidR="005879B1" w:rsidRDefault="00A97397">
            <w:pPr>
              <w:pBdr>
                <w:top w:val="none" w:sz="0" w:space="0" w:color="000000"/>
                <w:left w:val="none" w:sz="0" w:space="0" w:color="000000"/>
                <w:bottom w:val="none" w:sz="0" w:space="0" w:color="000000"/>
                <w:right w:val="none" w:sz="0" w:space="0" w:color="000000"/>
              </w:pBdr>
              <w:spacing w:before="100" w:after="100" w:line="240" w:lineRule="auto"/>
              <w:ind w:left="100" w:right="100"/>
              <w:rPr>
                <w:rFonts w:eastAsia="Verdana" w:cs="Verdana"/>
                <w:color w:val="252C65"/>
                <w:sz w:val="16"/>
                <w:szCs w:val="16"/>
              </w:rPr>
            </w:pPr>
            <w:r>
              <w:rPr>
                <w:rFonts w:eastAsia="Verdana" w:cs="Verdana"/>
                <w:color w:val="252C65"/>
                <w:sz w:val="16"/>
                <w:szCs w:val="16"/>
              </w:rPr>
              <w:t>Third tier assistance</w:t>
            </w:r>
          </w:p>
        </w:tc>
        <w:tc>
          <w:tcPr>
            <w:tcW w:w="864"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77A9BE4" w14:textId="77777777" w:rsidR="005879B1" w:rsidRDefault="00A97397">
            <w:pPr>
              <w:pBdr>
                <w:top w:val="none" w:sz="0" w:space="0" w:color="000000"/>
                <w:left w:val="none" w:sz="0" w:space="0" w:color="000000"/>
                <w:bottom w:val="none" w:sz="0" w:space="0" w:color="000000"/>
                <w:right w:val="none" w:sz="0" w:space="0" w:color="000000"/>
              </w:pBdr>
              <w:spacing w:before="100" w:after="100" w:line="240" w:lineRule="auto"/>
              <w:ind w:left="100" w:right="100"/>
              <w:jc w:val="right"/>
              <w:rPr>
                <w:rFonts w:eastAsia="Verdana" w:cs="Verdana"/>
                <w:color w:val="252C65"/>
                <w:sz w:val="16"/>
                <w:szCs w:val="16"/>
              </w:rPr>
            </w:pPr>
            <w:r>
              <w:rPr>
                <w:rFonts w:eastAsia="Verdana" w:cs="Verdana"/>
                <w:color w:val="252C65"/>
                <w:sz w:val="16"/>
                <w:szCs w:val="16"/>
              </w:rPr>
              <w:t>33</w:t>
            </w:r>
          </w:p>
        </w:tc>
        <w:tc>
          <w:tcPr>
            <w:tcW w:w="864"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5BB2789" w14:textId="77777777" w:rsidR="005879B1" w:rsidRDefault="00A97397">
            <w:pPr>
              <w:pBdr>
                <w:top w:val="none" w:sz="0" w:space="0" w:color="000000"/>
                <w:left w:val="none" w:sz="0" w:space="0" w:color="000000"/>
                <w:bottom w:val="none" w:sz="0" w:space="0" w:color="000000"/>
                <w:right w:val="none" w:sz="0" w:space="0" w:color="000000"/>
              </w:pBdr>
              <w:spacing w:before="100" w:after="100" w:line="240" w:lineRule="auto"/>
              <w:ind w:left="100" w:right="100"/>
              <w:jc w:val="right"/>
              <w:rPr>
                <w:rFonts w:eastAsia="Verdana" w:cs="Verdana"/>
                <w:color w:val="252C65"/>
                <w:sz w:val="16"/>
                <w:szCs w:val="16"/>
              </w:rPr>
            </w:pPr>
            <w:r>
              <w:rPr>
                <w:rFonts w:eastAsia="Verdana" w:cs="Verdana"/>
                <w:color w:val="252C65"/>
                <w:sz w:val="16"/>
                <w:szCs w:val="16"/>
              </w:rPr>
              <w:t>1.00</w:t>
            </w:r>
          </w:p>
        </w:tc>
      </w:tr>
      <w:tr w:rsidR="005879B1" w14:paraId="39DB43EE" w14:textId="77777777">
        <w:tc>
          <w:tcPr>
            <w:tcW w:w="1152"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E41DB88" w14:textId="77777777" w:rsidR="005879B1" w:rsidRDefault="00A97397">
            <w:pPr>
              <w:pBdr>
                <w:top w:val="none" w:sz="0" w:space="0" w:color="000000"/>
                <w:left w:val="none" w:sz="0" w:space="0" w:color="000000"/>
                <w:bottom w:val="none" w:sz="0" w:space="0" w:color="000000"/>
                <w:right w:val="none" w:sz="0" w:space="0" w:color="000000"/>
              </w:pBdr>
              <w:spacing w:before="100" w:after="100" w:line="240" w:lineRule="auto"/>
              <w:ind w:left="100" w:right="100"/>
              <w:rPr>
                <w:rFonts w:eastAsia="Verdana" w:cs="Verdana"/>
                <w:color w:val="252C65"/>
                <w:sz w:val="16"/>
                <w:szCs w:val="16"/>
              </w:rPr>
            </w:pPr>
            <w:r>
              <w:rPr>
                <w:rFonts w:eastAsia="Verdana" w:cs="Verdana"/>
                <w:color w:val="252C65"/>
                <w:sz w:val="16"/>
                <w:szCs w:val="16"/>
              </w:rPr>
              <w:t>9:31:00</w:t>
            </w:r>
          </w:p>
        </w:tc>
        <w:tc>
          <w:tcPr>
            <w:tcW w:w="360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F8FEE83" w14:textId="77777777" w:rsidR="005879B1" w:rsidRDefault="00A97397">
            <w:pPr>
              <w:pBdr>
                <w:top w:val="none" w:sz="0" w:space="0" w:color="000000"/>
                <w:left w:val="none" w:sz="0" w:space="0" w:color="000000"/>
                <w:bottom w:val="none" w:sz="0" w:space="0" w:color="000000"/>
                <w:right w:val="none" w:sz="0" w:space="0" w:color="000000"/>
              </w:pBdr>
              <w:spacing w:before="100" w:after="100" w:line="240" w:lineRule="auto"/>
              <w:ind w:left="100" w:right="100"/>
              <w:rPr>
                <w:rFonts w:eastAsia="Verdana" w:cs="Verdana"/>
                <w:color w:val="252C65"/>
                <w:sz w:val="16"/>
                <w:szCs w:val="16"/>
              </w:rPr>
            </w:pPr>
            <w:r>
              <w:rPr>
                <w:rFonts w:eastAsia="Verdana" w:cs="Verdana"/>
                <w:color w:val="252C65"/>
                <w:sz w:val="16"/>
                <w:szCs w:val="16"/>
              </w:rPr>
              <w:t>Case management</w:t>
            </w:r>
          </w:p>
        </w:tc>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FBDE60B" w14:textId="77777777" w:rsidR="005879B1" w:rsidRDefault="00A97397">
            <w:pPr>
              <w:pBdr>
                <w:top w:val="none" w:sz="0" w:space="0" w:color="000000"/>
                <w:left w:val="none" w:sz="0" w:space="0" w:color="000000"/>
                <w:bottom w:val="none" w:sz="0" w:space="0" w:color="000000"/>
                <w:right w:val="none" w:sz="0" w:space="0" w:color="000000"/>
              </w:pBdr>
              <w:spacing w:before="100" w:after="100" w:line="240" w:lineRule="auto"/>
              <w:ind w:left="100" w:right="100"/>
              <w:rPr>
                <w:rFonts w:eastAsia="Verdana" w:cs="Verdana"/>
                <w:color w:val="252C65"/>
                <w:sz w:val="16"/>
                <w:szCs w:val="16"/>
              </w:rPr>
            </w:pPr>
            <w:r>
              <w:rPr>
                <w:rFonts w:eastAsia="Verdana" w:cs="Verdana"/>
                <w:color w:val="252C65"/>
                <w:sz w:val="16"/>
                <w:szCs w:val="16"/>
              </w:rPr>
              <w:t>Case Management</w:t>
            </w:r>
          </w:p>
        </w:tc>
        <w:tc>
          <w:tcPr>
            <w:tcW w:w="864"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32EEE4B" w14:textId="77777777" w:rsidR="005879B1" w:rsidRDefault="00A97397">
            <w:pPr>
              <w:pBdr>
                <w:top w:val="none" w:sz="0" w:space="0" w:color="000000"/>
                <w:left w:val="none" w:sz="0" w:space="0" w:color="000000"/>
                <w:bottom w:val="none" w:sz="0" w:space="0" w:color="000000"/>
                <w:right w:val="none" w:sz="0" w:space="0" w:color="000000"/>
              </w:pBdr>
              <w:spacing w:before="100" w:after="100" w:line="240" w:lineRule="auto"/>
              <w:ind w:left="100" w:right="100"/>
              <w:jc w:val="right"/>
              <w:rPr>
                <w:rFonts w:eastAsia="Verdana" w:cs="Verdana"/>
                <w:color w:val="252C65"/>
                <w:sz w:val="16"/>
                <w:szCs w:val="16"/>
              </w:rPr>
            </w:pPr>
            <w:r>
              <w:rPr>
                <w:rFonts w:eastAsia="Verdana" w:cs="Verdana"/>
                <w:color w:val="252C65"/>
                <w:sz w:val="16"/>
                <w:szCs w:val="16"/>
              </w:rPr>
              <w:t>14</w:t>
            </w:r>
          </w:p>
        </w:tc>
        <w:tc>
          <w:tcPr>
            <w:tcW w:w="864"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A7872DC" w14:textId="77777777" w:rsidR="005879B1" w:rsidRDefault="00A97397">
            <w:pPr>
              <w:pBdr>
                <w:top w:val="none" w:sz="0" w:space="0" w:color="000000"/>
                <w:left w:val="none" w:sz="0" w:space="0" w:color="000000"/>
                <w:bottom w:val="none" w:sz="0" w:space="0" w:color="000000"/>
                <w:right w:val="none" w:sz="0" w:space="0" w:color="000000"/>
              </w:pBdr>
              <w:spacing w:before="100" w:after="100" w:line="240" w:lineRule="auto"/>
              <w:ind w:left="100" w:right="100"/>
              <w:jc w:val="right"/>
              <w:rPr>
                <w:rFonts w:eastAsia="Verdana" w:cs="Verdana"/>
                <w:color w:val="252C65"/>
                <w:sz w:val="16"/>
                <w:szCs w:val="16"/>
              </w:rPr>
            </w:pPr>
            <w:r>
              <w:rPr>
                <w:rFonts w:eastAsia="Verdana" w:cs="Verdana"/>
                <w:color w:val="252C65"/>
                <w:sz w:val="16"/>
                <w:szCs w:val="16"/>
              </w:rPr>
              <w:t>1.00</w:t>
            </w:r>
          </w:p>
        </w:tc>
      </w:tr>
      <w:tr w:rsidR="005879B1" w14:paraId="1D915B8E" w14:textId="77777777">
        <w:tc>
          <w:tcPr>
            <w:tcW w:w="1152"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BC9E26B" w14:textId="77777777" w:rsidR="005879B1" w:rsidRDefault="00A97397">
            <w:pPr>
              <w:pBdr>
                <w:top w:val="none" w:sz="0" w:space="0" w:color="000000"/>
                <w:left w:val="none" w:sz="0" w:space="0" w:color="000000"/>
                <w:bottom w:val="none" w:sz="0" w:space="0" w:color="000000"/>
                <w:right w:val="none" w:sz="0" w:space="0" w:color="000000"/>
              </w:pBdr>
              <w:spacing w:before="100" w:after="100" w:line="240" w:lineRule="auto"/>
              <w:ind w:left="100" w:right="100"/>
              <w:rPr>
                <w:rFonts w:eastAsia="Verdana" w:cs="Verdana"/>
                <w:color w:val="252C65"/>
                <w:sz w:val="16"/>
                <w:szCs w:val="16"/>
              </w:rPr>
            </w:pPr>
            <w:r>
              <w:rPr>
                <w:rFonts w:eastAsia="Verdana" w:cs="Verdana"/>
                <w:color w:val="252C65"/>
                <w:sz w:val="16"/>
                <w:szCs w:val="16"/>
              </w:rPr>
              <w:t>9:37:00</w:t>
            </w:r>
          </w:p>
        </w:tc>
        <w:tc>
          <w:tcPr>
            <w:tcW w:w="360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AFFFE5B" w14:textId="77777777" w:rsidR="005879B1" w:rsidRDefault="00A97397">
            <w:pPr>
              <w:pBdr>
                <w:top w:val="none" w:sz="0" w:space="0" w:color="000000"/>
                <w:left w:val="none" w:sz="0" w:space="0" w:color="000000"/>
                <w:bottom w:val="none" w:sz="0" w:space="0" w:color="000000"/>
                <w:right w:val="none" w:sz="0" w:space="0" w:color="000000"/>
              </w:pBdr>
              <w:spacing w:before="100" w:after="100" w:line="240" w:lineRule="auto"/>
              <w:ind w:left="100" w:right="100"/>
              <w:rPr>
                <w:rFonts w:eastAsia="Verdana" w:cs="Verdana"/>
                <w:color w:val="252C65"/>
                <w:sz w:val="16"/>
                <w:szCs w:val="16"/>
              </w:rPr>
            </w:pPr>
            <w:r>
              <w:rPr>
                <w:rFonts w:eastAsia="Verdana" w:cs="Verdana"/>
                <w:color w:val="252C65"/>
                <w:sz w:val="16"/>
                <w:szCs w:val="16"/>
              </w:rPr>
              <w:t>Case management</w:t>
            </w:r>
          </w:p>
        </w:tc>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9CDE0F2" w14:textId="77777777" w:rsidR="005879B1" w:rsidRDefault="00A97397">
            <w:pPr>
              <w:pBdr>
                <w:top w:val="none" w:sz="0" w:space="0" w:color="000000"/>
                <w:left w:val="none" w:sz="0" w:space="0" w:color="000000"/>
                <w:bottom w:val="none" w:sz="0" w:space="0" w:color="000000"/>
                <w:right w:val="none" w:sz="0" w:space="0" w:color="000000"/>
              </w:pBdr>
              <w:spacing w:before="100" w:after="100" w:line="240" w:lineRule="auto"/>
              <w:ind w:left="100" w:right="100"/>
              <w:rPr>
                <w:rFonts w:eastAsia="Verdana" w:cs="Verdana"/>
                <w:color w:val="252C65"/>
                <w:sz w:val="16"/>
                <w:szCs w:val="16"/>
              </w:rPr>
            </w:pPr>
            <w:r>
              <w:rPr>
                <w:rFonts w:eastAsia="Verdana" w:cs="Verdana"/>
                <w:color w:val="252C65"/>
                <w:sz w:val="16"/>
                <w:szCs w:val="16"/>
              </w:rPr>
              <w:t>Search for client</w:t>
            </w:r>
          </w:p>
        </w:tc>
        <w:tc>
          <w:tcPr>
            <w:tcW w:w="864"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A3B6F5D" w14:textId="77777777" w:rsidR="005879B1" w:rsidRDefault="00A97397">
            <w:pPr>
              <w:pBdr>
                <w:top w:val="none" w:sz="0" w:space="0" w:color="000000"/>
                <w:left w:val="none" w:sz="0" w:space="0" w:color="000000"/>
                <w:bottom w:val="none" w:sz="0" w:space="0" w:color="000000"/>
                <w:right w:val="none" w:sz="0" w:space="0" w:color="000000"/>
              </w:pBdr>
              <w:spacing w:before="100" w:after="100" w:line="240" w:lineRule="auto"/>
              <w:ind w:left="100" w:right="100"/>
              <w:jc w:val="right"/>
              <w:rPr>
                <w:rFonts w:eastAsia="Verdana" w:cs="Verdana"/>
                <w:color w:val="252C65"/>
                <w:sz w:val="16"/>
                <w:szCs w:val="16"/>
              </w:rPr>
            </w:pPr>
            <w:r>
              <w:rPr>
                <w:rFonts w:eastAsia="Verdana" w:cs="Verdana"/>
                <w:color w:val="252C65"/>
                <w:sz w:val="16"/>
                <w:szCs w:val="16"/>
              </w:rPr>
              <w:t>14</w:t>
            </w:r>
          </w:p>
        </w:tc>
        <w:tc>
          <w:tcPr>
            <w:tcW w:w="864"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52C3F9D" w14:textId="77777777" w:rsidR="005879B1" w:rsidRDefault="00A97397">
            <w:pPr>
              <w:pBdr>
                <w:top w:val="none" w:sz="0" w:space="0" w:color="000000"/>
                <w:left w:val="none" w:sz="0" w:space="0" w:color="000000"/>
                <w:bottom w:val="none" w:sz="0" w:space="0" w:color="000000"/>
                <w:right w:val="none" w:sz="0" w:space="0" w:color="000000"/>
              </w:pBdr>
              <w:spacing w:before="100" w:after="100" w:line="240" w:lineRule="auto"/>
              <w:ind w:left="100" w:right="100"/>
              <w:jc w:val="right"/>
              <w:rPr>
                <w:rFonts w:eastAsia="Verdana" w:cs="Verdana"/>
                <w:color w:val="252C65"/>
                <w:sz w:val="16"/>
                <w:szCs w:val="16"/>
              </w:rPr>
            </w:pPr>
            <w:r>
              <w:rPr>
                <w:rFonts w:eastAsia="Verdana" w:cs="Verdana"/>
                <w:color w:val="252C65"/>
                <w:sz w:val="16"/>
                <w:szCs w:val="16"/>
              </w:rPr>
              <w:t>6.00</w:t>
            </w:r>
          </w:p>
        </w:tc>
      </w:tr>
      <w:tr w:rsidR="005879B1" w14:paraId="38BB73E5" w14:textId="77777777">
        <w:tc>
          <w:tcPr>
            <w:tcW w:w="1152"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C72112D" w14:textId="77777777" w:rsidR="005879B1" w:rsidRDefault="00A97397">
            <w:pPr>
              <w:pBdr>
                <w:top w:val="none" w:sz="0" w:space="0" w:color="000000"/>
                <w:left w:val="none" w:sz="0" w:space="0" w:color="000000"/>
                <w:bottom w:val="none" w:sz="0" w:space="0" w:color="000000"/>
                <w:right w:val="none" w:sz="0" w:space="0" w:color="000000"/>
              </w:pBdr>
              <w:spacing w:before="100" w:after="100" w:line="240" w:lineRule="auto"/>
              <w:ind w:left="100" w:right="100"/>
              <w:rPr>
                <w:rFonts w:eastAsia="Verdana" w:cs="Verdana"/>
                <w:color w:val="252C65"/>
                <w:sz w:val="16"/>
                <w:szCs w:val="16"/>
              </w:rPr>
            </w:pPr>
            <w:r>
              <w:rPr>
                <w:rFonts w:eastAsia="Verdana" w:cs="Verdana"/>
                <w:color w:val="252C65"/>
                <w:sz w:val="16"/>
                <w:szCs w:val="16"/>
              </w:rPr>
              <w:t>9:38:00</w:t>
            </w:r>
          </w:p>
        </w:tc>
        <w:tc>
          <w:tcPr>
            <w:tcW w:w="360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F09ED32" w14:textId="77777777" w:rsidR="005879B1" w:rsidRDefault="00A97397">
            <w:pPr>
              <w:pBdr>
                <w:top w:val="none" w:sz="0" w:space="0" w:color="000000"/>
                <w:left w:val="none" w:sz="0" w:space="0" w:color="000000"/>
                <w:bottom w:val="none" w:sz="0" w:space="0" w:color="000000"/>
                <w:right w:val="none" w:sz="0" w:space="0" w:color="000000"/>
              </w:pBdr>
              <w:spacing w:before="100" w:after="100" w:line="240" w:lineRule="auto"/>
              <w:ind w:left="100" w:right="100"/>
              <w:rPr>
                <w:rFonts w:eastAsia="Verdana" w:cs="Verdana"/>
                <w:color w:val="252C65"/>
                <w:sz w:val="16"/>
                <w:szCs w:val="16"/>
              </w:rPr>
            </w:pPr>
            <w:r>
              <w:rPr>
                <w:rFonts w:eastAsia="Verdana" w:cs="Verdana"/>
                <w:color w:val="252C65"/>
                <w:sz w:val="16"/>
                <w:szCs w:val="16"/>
              </w:rPr>
              <w:t>Case management</w:t>
            </w:r>
          </w:p>
        </w:tc>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ADD8F1F" w14:textId="77777777" w:rsidR="005879B1" w:rsidRDefault="00A97397">
            <w:pPr>
              <w:pBdr>
                <w:top w:val="none" w:sz="0" w:space="0" w:color="000000"/>
                <w:left w:val="none" w:sz="0" w:space="0" w:color="000000"/>
                <w:bottom w:val="none" w:sz="0" w:space="0" w:color="000000"/>
                <w:right w:val="none" w:sz="0" w:space="0" w:color="000000"/>
              </w:pBdr>
              <w:spacing w:before="100" w:after="100" w:line="240" w:lineRule="auto"/>
              <w:ind w:left="100" w:right="100"/>
              <w:rPr>
                <w:rFonts w:eastAsia="Verdana" w:cs="Verdana"/>
                <w:color w:val="252C65"/>
                <w:sz w:val="16"/>
                <w:szCs w:val="16"/>
              </w:rPr>
            </w:pPr>
            <w:r>
              <w:rPr>
                <w:rFonts w:eastAsia="Verdana" w:cs="Verdana"/>
                <w:color w:val="252C65"/>
                <w:sz w:val="16"/>
                <w:szCs w:val="16"/>
              </w:rPr>
              <w:t>Search for client</w:t>
            </w:r>
          </w:p>
        </w:tc>
        <w:tc>
          <w:tcPr>
            <w:tcW w:w="864"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0C8911F" w14:textId="77777777" w:rsidR="005879B1" w:rsidRDefault="00A97397">
            <w:pPr>
              <w:pBdr>
                <w:top w:val="none" w:sz="0" w:space="0" w:color="000000"/>
                <w:left w:val="none" w:sz="0" w:space="0" w:color="000000"/>
                <w:bottom w:val="none" w:sz="0" w:space="0" w:color="000000"/>
                <w:right w:val="none" w:sz="0" w:space="0" w:color="000000"/>
              </w:pBdr>
              <w:spacing w:before="100" w:after="100" w:line="240" w:lineRule="auto"/>
              <w:ind w:left="100" w:right="100"/>
              <w:jc w:val="right"/>
              <w:rPr>
                <w:rFonts w:eastAsia="Verdana" w:cs="Verdana"/>
                <w:color w:val="252C65"/>
                <w:sz w:val="16"/>
                <w:szCs w:val="16"/>
              </w:rPr>
            </w:pPr>
            <w:r>
              <w:rPr>
                <w:rFonts w:eastAsia="Verdana" w:cs="Verdana"/>
                <w:color w:val="252C65"/>
                <w:sz w:val="16"/>
                <w:szCs w:val="16"/>
              </w:rPr>
              <w:t>14</w:t>
            </w:r>
          </w:p>
        </w:tc>
        <w:tc>
          <w:tcPr>
            <w:tcW w:w="864"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9742BA7" w14:textId="77777777" w:rsidR="005879B1" w:rsidRDefault="00A97397">
            <w:pPr>
              <w:pBdr>
                <w:top w:val="none" w:sz="0" w:space="0" w:color="000000"/>
                <w:left w:val="none" w:sz="0" w:space="0" w:color="000000"/>
                <w:bottom w:val="none" w:sz="0" w:space="0" w:color="000000"/>
                <w:right w:val="none" w:sz="0" w:space="0" w:color="000000"/>
              </w:pBdr>
              <w:spacing w:before="100" w:after="100" w:line="240" w:lineRule="auto"/>
              <w:ind w:left="100" w:right="100"/>
              <w:jc w:val="right"/>
              <w:rPr>
                <w:rFonts w:eastAsia="Verdana" w:cs="Verdana"/>
                <w:color w:val="252C65"/>
                <w:sz w:val="16"/>
                <w:szCs w:val="16"/>
              </w:rPr>
            </w:pPr>
            <w:r>
              <w:rPr>
                <w:rFonts w:eastAsia="Verdana" w:cs="Verdana"/>
                <w:color w:val="252C65"/>
                <w:sz w:val="16"/>
                <w:szCs w:val="16"/>
              </w:rPr>
              <w:t>1.00</w:t>
            </w:r>
          </w:p>
        </w:tc>
      </w:tr>
      <w:tr w:rsidR="005879B1" w14:paraId="5EB5C400" w14:textId="77777777">
        <w:tc>
          <w:tcPr>
            <w:tcW w:w="1152"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A59E3F3" w14:textId="77777777" w:rsidR="005879B1" w:rsidRDefault="00A97397">
            <w:pPr>
              <w:pBdr>
                <w:top w:val="none" w:sz="0" w:space="0" w:color="000000"/>
                <w:left w:val="none" w:sz="0" w:space="0" w:color="000000"/>
                <w:bottom w:val="none" w:sz="0" w:space="0" w:color="000000"/>
                <w:right w:val="none" w:sz="0" w:space="0" w:color="000000"/>
              </w:pBdr>
              <w:spacing w:before="100" w:after="100" w:line="240" w:lineRule="auto"/>
              <w:ind w:left="100" w:right="100"/>
              <w:rPr>
                <w:rFonts w:eastAsia="Verdana" w:cs="Verdana"/>
                <w:color w:val="252C65"/>
                <w:sz w:val="16"/>
                <w:szCs w:val="16"/>
              </w:rPr>
            </w:pPr>
            <w:r>
              <w:rPr>
                <w:rFonts w:eastAsia="Verdana" w:cs="Verdana"/>
                <w:color w:val="252C65"/>
                <w:sz w:val="16"/>
                <w:szCs w:val="16"/>
              </w:rPr>
              <w:t>9:47:00</w:t>
            </w:r>
          </w:p>
        </w:tc>
        <w:tc>
          <w:tcPr>
            <w:tcW w:w="360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58A86E4" w14:textId="77777777" w:rsidR="005879B1" w:rsidRDefault="00A97397">
            <w:pPr>
              <w:pBdr>
                <w:top w:val="none" w:sz="0" w:space="0" w:color="000000"/>
                <w:left w:val="none" w:sz="0" w:space="0" w:color="000000"/>
                <w:bottom w:val="none" w:sz="0" w:space="0" w:color="000000"/>
                <w:right w:val="none" w:sz="0" w:space="0" w:color="000000"/>
              </w:pBdr>
              <w:spacing w:before="100" w:after="100" w:line="240" w:lineRule="auto"/>
              <w:ind w:left="100" w:right="100"/>
              <w:rPr>
                <w:rFonts w:eastAsia="Verdana" w:cs="Verdana"/>
                <w:color w:val="252C65"/>
                <w:sz w:val="16"/>
                <w:szCs w:val="16"/>
              </w:rPr>
            </w:pPr>
            <w:r>
              <w:rPr>
                <w:rFonts w:eastAsia="Verdana" w:cs="Verdana"/>
                <w:color w:val="252C65"/>
                <w:sz w:val="16"/>
                <w:szCs w:val="16"/>
              </w:rPr>
              <w:t>Case management</w:t>
            </w:r>
          </w:p>
        </w:tc>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E65B9B6" w14:textId="77777777" w:rsidR="005879B1" w:rsidRDefault="00A97397">
            <w:pPr>
              <w:pBdr>
                <w:top w:val="none" w:sz="0" w:space="0" w:color="000000"/>
                <w:left w:val="none" w:sz="0" w:space="0" w:color="000000"/>
                <w:bottom w:val="none" w:sz="0" w:space="0" w:color="000000"/>
                <w:right w:val="none" w:sz="0" w:space="0" w:color="000000"/>
              </w:pBdr>
              <w:spacing w:before="100" w:after="100" w:line="240" w:lineRule="auto"/>
              <w:ind w:left="100" w:right="100"/>
              <w:rPr>
                <w:rFonts w:eastAsia="Verdana" w:cs="Verdana"/>
                <w:color w:val="252C65"/>
                <w:sz w:val="16"/>
                <w:szCs w:val="16"/>
              </w:rPr>
            </w:pPr>
            <w:r>
              <w:rPr>
                <w:rFonts w:eastAsia="Verdana" w:cs="Verdana"/>
                <w:color w:val="252C65"/>
                <w:sz w:val="16"/>
                <w:szCs w:val="16"/>
              </w:rPr>
              <w:t>Case Management</w:t>
            </w:r>
          </w:p>
        </w:tc>
        <w:tc>
          <w:tcPr>
            <w:tcW w:w="864"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F924FA3" w14:textId="77777777" w:rsidR="005879B1" w:rsidRDefault="00A97397">
            <w:pPr>
              <w:pBdr>
                <w:top w:val="none" w:sz="0" w:space="0" w:color="000000"/>
                <w:left w:val="none" w:sz="0" w:space="0" w:color="000000"/>
                <w:bottom w:val="none" w:sz="0" w:space="0" w:color="000000"/>
                <w:right w:val="none" w:sz="0" w:space="0" w:color="000000"/>
              </w:pBdr>
              <w:spacing w:before="100" w:after="100" w:line="240" w:lineRule="auto"/>
              <w:ind w:left="100" w:right="100"/>
              <w:jc w:val="right"/>
              <w:rPr>
                <w:rFonts w:eastAsia="Verdana" w:cs="Verdana"/>
                <w:color w:val="252C65"/>
                <w:sz w:val="16"/>
                <w:szCs w:val="16"/>
              </w:rPr>
            </w:pPr>
            <w:r>
              <w:rPr>
                <w:rFonts w:eastAsia="Verdana" w:cs="Verdana"/>
                <w:color w:val="252C65"/>
                <w:sz w:val="16"/>
                <w:szCs w:val="16"/>
              </w:rPr>
              <w:t>14</w:t>
            </w:r>
          </w:p>
        </w:tc>
        <w:tc>
          <w:tcPr>
            <w:tcW w:w="864"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B05F5DB" w14:textId="77777777" w:rsidR="005879B1" w:rsidRDefault="00A97397">
            <w:pPr>
              <w:pBdr>
                <w:top w:val="none" w:sz="0" w:space="0" w:color="000000"/>
                <w:left w:val="none" w:sz="0" w:space="0" w:color="000000"/>
                <w:bottom w:val="none" w:sz="0" w:space="0" w:color="000000"/>
                <w:right w:val="none" w:sz="0" w:space="0" w:color="000000"/>
              </w:pBdr>
              <w:spacing w:before="100" w:after="100" w:line="240" w:lineRule="auto"/>
              <w:ind w:left="100" w:right="100"/>
              <w:jc w:val="right"/>
              <w:rPr>
                <w:rFonts w:eastAsia="Verdana" w:cs="Verdana"/>
                <w:color w:val="252C65"/>
                <w:sz w:val="16"/>
                <w:szCs w:val="16"/>
              </w:rPr>
            </w:pPr>
            <w:r>
              <w:rPr>
                <w:rFonts w:eastAsia="Verdana" w:cs="Verdana"/>
                <w:color w:val="252C65"/>
                <w:sz w:val="16"/>
                <w:szCs w:val="16"/>
              </w:rPr>
              <w:t>3.50</w:t>
            </w:r>
          </w:p>
        </w:tc>
      </w:tr>
      <w:tr w:rsidR="005879B1" w14:paraId="6A8F5514" w14:textId="77777777">
        <w:tc>
          <w:tcPr>
            <w:tcW w:w="1152"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E2D0E23" w14:textId="77777777" w:rsidR="005879B1" w:rsidRDefault="00A97397">
            <w:pPr>
              <w:pBdr>
                <w:top w:val="none" w:sz="0" w:space="0" w:color="000000"/>
                <w:left w:val="none" w:sz="0" w:space="0" w:color="000000"/>
                <w:bottom w:val="none" w:sz="0" w:space="0" w:color="000000"/>
                <w:right w:val="none" w:sz="0" w:space="0" w:color="000000"/>
              </w:pBdr>
              <w:spacing w:before="100" w:after="100" w:line="240" w:lineRule="auto"/>
              <w:ind w:left="100" w:right="100"/>
              <w:rPr>
                <w:rFonts w:eastAsia="Verdana" w:cs="Verdana"/>
                <w:color w:val="252C65"/>
                <w:sz w:val="16"/>
                <w:szCs w:val="16"/>
              </w:rPr>
            </w:pPr>
            <w:r>
              <w:rPr>
                <w:rFonts w:eastAsia="Verdana" w:cs="Verdana"/>
                <w:color w:val="252C65"/>
                <w:sz w:val="16"/>
                <w:szCs w:val="16"/>
              </w:rPr>
              <w:t>9:47:00</w:t>
            </w:r>
          </w:p>
        </w:tc>
        <w:tc>
          <w:tcPr>
            <w:tcW w:w="360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1844243" w14:textId="77777777" w:rsidR="005879B1" w:rsidRDefault="00A97397">
            <w:pPr>
              <w:pBdr>
                <w:top w:val="none" w:sz="0" w:space="0" w:color="000000"/>
                <w:left w:val="none" w:sz="0" w:space="0" w:color="000000"/>
                <w:bottom w:val="none" w:sz="0" w:space="0" w:color="000000"/>
                <w:right w:val="none" w:sz="0" w:space="0" w:color="000000"/>
              </w:pBdr>
              <w:spacing w:before="100" w:after="100" w:line="240" w:lineRule="auto"/>
              <w:ind w:left="100" w:right="100"/>
              <w:rPr>
                <w:rFonts w:eastAsia="Verdana" w:cs="Verdana"/>
                <w:color w:val="252C65"/>
                <w:sz w:val="16"/>
                <w:szCs w:val="16"/>
              </w:rPr>
            </w:pPr>
            <w:r>
              <w:rPr>
                <w:rFonts w:eastAsia="Verdana" w:cs="Verdana"/>
                <w:color w:val="252C65"/>
                <w:sz w:val="16"/>
                <w:szCs w:val="16"/>
              </w:rPr>
              <w:t>Non contact time</w:t>
            </w:r>
          </w:p>
        </w:tc>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9EECD65" w14:textId="77777777" w:rsidR="005879B1" w:rsidRDefault="00A97397">
            <w:pPr>
              <w:pBdr>
                <w:top w:val="none" w:sz="0" w:space="0" w:color="000000"/>
                <w:left w:val="none" w:sz="0" w:space="0" w:color="000000"/>
                <w:bottom w:val="none" w:sz="0" w:space="0" w:color="000000"/>
                <w:right w:val="none" w:sz="0" w:space="0" w:color="000000"/>
              </w:pBdr>
              <w:spacing w:before="100" w:after="100" w:line="240" w:lineRule="auto"/>
              <w:ind w:left="100" w:right="100"/>
              <w:rPr>
                <w:rFonts w:eastAsia="Verdana" w:cs="Verdana"/>
                <w:color w:val="252C65"/>
                <w:sz w:val="16"/>
                <w:szCs w:val="16"/>
              </w:rPr>
            </w:pPr>
            <w:r>
              <w:rPr>
                <w:rFonts w:eastAsia="Verdana" w:cs="Verdana"/>
                <w:color w:val="252C65"/>
                <w:sz w:val="16"/>
                <w:szCs w:val="16"/>
              </w:rPr>
              <w:t>Non contact time</w:t>
            </w:r>
          </w:p>
        </w:tc>
        <w:tc>
          <w:tcPr>
            <w:tcW w:w="864"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94A795B" w14:textId="77777777" w:rsidR="005879B1" w:rsidRDefault="00A97397">
            <w:pPr>
              <w:pBdr>
                <w:top w:val="none" w:sz="0" w:space="0" w:color="000000"/>
                <w:left w:val="none" w:sz="0" w:space="0" w:color="000000"/>
                <w:bottom w:val="none" w:sz="0" w:space="0" w:color="000000"/>
                <w:right w:val="none" w:sz="0" w:space="0" w:color="000000"/>
              </w:pBdr>
              <w:spacing w:before="100" w:after="100" w:line="240" w:lineRule="auto"/>
              <w:ind w:left="100" w:right="100"/>
              <w:jc w:val="right"/>
              <w:rPr>
                <w:rFonts w:eastAsia="Verdana" w:cs="Verdana"/>
                <w:color w:val="252C65"/>
                <w:sz w:val="16"/>
                <w:szCs w:val="16"/>
              </w:rPr>
            </w:pPr>
            <w:r>
              <w:rPr>
                <w:rFonts w:eastAsia="Verdana" w:cs="Verdana"/>
                <w:color w:val="252C65"/>
                <w:sz w:val="16"/>
                <w:szCs w:val="16"/>
              </w:rPr>
              <w:t>-</w:t>
            </w:r>
          </w:p>
        </w:tc>
        <w:tc>
          <w:tcPr>
            <w:tcW w:w="864"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91E4D7C" w14:textId="77777777" w:rsidR="005879B1" w:rsidRDefault="00A97397">
            <w:pPr>
              <w:pBdr>
                <w:top w:val="none" w:sz="0" w:space="0" w:color="000000"/>
                <w:left w:val="none" w:sz="0" w:space="0" w:color="000000"/>
                <w:bottom w:val="none" w:sz="0" w:space="0" w:color="000000"/>
                <w:right w:val="none" w:sz="0" w:space="0" w:color="000000"/>
              </w:pBdr>
              <w:spacing w:before="100" w:after="100" w:line="240" w:lineRule="auto"/>
              <w:ind w:left="100" w:right="100"/>
              <w:jc w:val="right"/>
              <w:rPr>
                <w:rFonts w:eastAsia="Verdana" w:cs="Verdana"/>
                <w:color w:val="252C65"/>
                <w:sz w:val="16"/>
                <w:szCs w:val="16"/>
              </w:rPr>
            </w:pPr>
            <w:r>
              <w:rPr>
                <w:rFonts w:eastAsia="Verdana" w:cs="Verdana"/>
                <w:color w:val="252C65"/>
                <w:sz w:val="16"/>
                <w:szCs w:val="16"/>
              </w:rPr>
              <w:t>5.50</w:t>
            </w:r>
          </w:p>
        </w:tc>
      </w:tr>
      <w:tr w:rsidR="005879B1" w14:paraId="47D336A5" w14:textId="77777777">
        <w:tc>
          <w:tcPr>
            <w:tcW w:w="1152" w:type="dxa"/>
            <w:tcBorders>
              <w:top w:val="single" w:sz="8" w:space="0" w:color="999EC6"/>
              <w:left w:val="none" w:sz="0" w:space="0" w:color="000000"/>
              <w:bottom w:val="single" w:sz="8" w:space="0" w:color="252C65"/>
              <w:right w:val="none" w:sz="0" w:space="0" w:color="000000"/>
            </w:tcBorders>
            <w:shd w:val="clear" w:color="auto" w:fill="FFFFFF"/>
            <w:tcMar>
              <w:top w:w="0" w:type="dxa"/>
              <w:left w:w="0" w:type="dxa"/>
              <w:bottom w:w="0" w:type="dxa"/>
              <w:right w:w="0" w:type="dxa"/>
            </w:tcMar>
            <w:vAlign w:val="center"/>
          </w:tcPr>
          <w:p w14:paraId="17BFC19A" w14:textId="77777777" w:rsidR="005879B1" w:rsidRDefault="00A97397">
            <w:pPr>
              <w:pBdr>
                <w:top w:val="none" w:sz="0" w:space="0" w:color="000000"/>
                <w:left w:val="none" w:sz="0" w:space="0" w:color="000000"/>
                <w:bottom w:val="none" w:sz="0" w:space="0" w:color="000000"/>
                <w:right w:val="none" w:sz="0" w:space="0" w:color="000000"/>
              </w:pBdr>
              <w:spacing w:before="100" w:after="100" w:line="240" w:lineRule="auto"/>
              <w:ind w:left="100" w:right="100"/>
              <w:rPr>
                <w:rFonts w:eastAsia="Verdana" w:cs="Verdana"/>
                <w:color w:val="252C65"/>
                <w:sz w:val="16"/>
                <w:szCs w:val="16"/>
              </w:rPr>
            </w:pPr>
            <w:r>
              <w:rPr>
                <w:rFonts w:eastAsia="Verdana" w:cs="Verdana"/>
                <w:color w:val="252C65"/>
                <w:sz w:val="16"/>
                <w:szCs w:val="16"/>
              </w:rPr>
              <w:t>9:48:00</w:t>
            </w:r>
          </w:p>
        </w:tc>
        <w:tc>
          <w:tcPr>
            <w:tcW w:w="3600" w:type="dxa"/>
            <w:tcBorders>
              <w:top w:val="single" w:sz="8" w:space="0" w:color="999EC6"/>
              <w:left w:val="none" w:sz="0" w:space="0" w:color="000000"/>
              <w:bottom w:val="single" w:sz="8" w:space="0" w:color="252C65"/>
              <w:right w:val="none" w:sz="0" w:space="0" w:color="000000"/>
            </w:tcBorders>
            <w:shd w:val="clear" w:color="auto" w:fill="FFFFFF"/>
            <w:tcMar>
              <w:top w:w="0" w:type="dxa"/>
              <w:left w:w="0" w:type="dxa"/>
              <w:bottom w:w="0" w:type="dxa"/>
              <w:right w:w="0" w:type="dxa"/>
            </w:tcMar>
            <w:vAlign w:val="center"/>
          </w:tcPr>
          <w:p w14:paraId="3272E28D" w14:textId="77777777" w:rsidR="005879B1" w:rsidRDefault="00A97397">
            <w:pPr>
              <w:pBdr>
                <w:top w:val="none" w:sz="0" w:space="0" w:color="000000"/>
                <w:left w:val="none" w:sz="0" w:space="0" w:color="000000"/>
                <w:bottom w:val="none" w:sz="0" w:space="0" w:color="000000"/>
                <w:right w:val="none" w:sz="0" w:space="0" w:color="000000"/>
              </w:pBdr>
              <w:spacing w:before="100" w:after="100" w:line="240" w:lineRule="auto"/>
              <w:ind w:left="100" w:right="100"/>
              <w:rPr>
                <w:rFonts w:eastAsia="Verdana" w:cs="Verdana"/>
                <w:color w:val="252C65"/>
                <w:sz w:val="16"/>
                <w:szCs w:val="16"/>
              </w:rPr>
            </w:pPr>
            <w:r>
              <w:rPr>
                <w:rFonts w:eastAsia="Verdana" w:cs="Verdana"/>
                <w:color w:val="252C65"/>
                <w:sz w:val="16"/>
                <w:szCs w:val="16"/>
              </w:rPr>
              <w:t>Case management</w:t>
            </w:r>
          </w:p>
        </w:tc>
        <w:tc>
          <w:tcPr>
            <w:tcW w:w="2160" w:type="dxa"/>
            <w:tcBorders>
              <w:top w:val="single" w:sz="8" w:space="0" w:color="999EC6"/>
              <w:left w:val="none" w:sz="0" w:space="0" w:color="000000"/>
              <w:bottom w:val="single" w:sz="8" w:space="0" w:color="252C65"/>
              <w:right w:val="none" w:sz="0" w:space="0" w:color="000000"/>
            </w:tcBorders>
            <w:shd w:val="clear" w:color="auto" w:fill="FFFFFF"/>
            <w:tcMar>
              <w:top w:w="0" w:type="dxa"/>
              <w:left w:w="0" w:type="dxa"/>
              <w:bottom w:w="0" w:type="dxa"/>
              <w:right w:w="0" w:type="dxa"/>
            </w:tcMar>
            <w:vAlign w:val="center"/>
          </w:tcPr>
          <w:p w14:paraId="7C69F823" w14:textId="77777777" w:rsidR="005879B1" w:rsidRDefault="00A97397">
            <w:pPr>
              <w:pBdr>
                <w:top w:val="none" w:sz="0" w:space="0" w:color="000000"/>
                <w:left w:val="none" w:sz="0" w:space="0" w:color="000000"/>
                <w:bottom w:val="none" w:sz="0" w:space="0" w:color="000000"/>
                <w:right w:val="none" w:sz="0" w:space="0" w:color="000000"/>
              </w:pBdr>
              <w:spacing w:before="100" w:after="100" w:line="240" w:lineRule="auto"/>
              <w:ind w:left="100" w:right="100"/>
              <w:rPr>
                <w:rFonts w:eastAsia="Verdana" w:cs="Verdana"/>
                <w:color w:val="252C65"/>
                <w:sz w:val="16"/>
                <w:szCs w:val="16"/>
              </w:rPr>
            </w:pPr>
            <w:r>
              <w:rPr>
                <w:rFonts w:eastAsia="Verdana" w:cs="Verdana"/>
                <w:color w:val="252C65"/>
                <w:sz w:val="16"/>
                <w:szCs w:val="16"/>
              </w:rPr>
              <w:t>Search for client</w:t>
            </w:r>
          </w:p>
        </w:tc>
        <w:tc>
          <w:tcPr>
            <w:tcW w:w="864" w:type="dxa"/>
            <w:tcBorders>
              <w:top w:val="single" w:sz="8" w:space="0" w:color="999EC6"/>
              <w:left w:val="none" w:sz="0" w:space="0" w:color="000000"/>
              <w:bottom w:val="single" w:sz="8" w:space="0" w:color="252C65"/>
              <w:right w:val="none" w:sz="0" w:space="0" w:color="000000"/>
            </w:tcBorders>
            <w:shd w:val="clear" w:color="auto" w:fill="FFFFFF"/>
            <w:tcMar>
              <w:top w:w="0" w:type="dxa"/>
              <w:left w:w="0" w:type="dxa"/>
              <w:bottom w:w="0" w:type="dxa"/>
              <w:right w:w="0" w:type="dxa"/>
            </w:tcMar>
            <w:vAlign w:val="center"/>
          </w:tcPr>
          <w:p w14:paraId="08614A68" w14:textId="77777777" w:rsidR="005879B1" w:rsidRDefault="00A97397">
            <w:pPr>
              <w:pBdr>
                <w:top w:val="none" w:sz="0" w:space="0" w:color="000000"/>
                <w:left w:val="none" w:sz="0" w:space="0" w:color="000000"/>
                <w:bottom w:val="none" w:sz="0" w:space="0" w:color="000000"/>
                <w:right w:val="none" w:sz="0" w:space="0" w:color="000000"/>
              </w:pBdr>
              <w:spacing w:before="100" w:after="100" w:line="240" w:lineRule="auto"/>
              <w:ind w:left="100" w:right="100"/>
              <w:jc w:val="right"/>
              <w:rPr>
                <w:rFonts w:eastAsia="Verdana" w:cs="Verdana"/>
                <w:color w:val="252C65"/>
                <w:sz w:val="16"/>
                <w:szCs w:val="16"/>
              </w:rPr>
            </w:pPr>
            <w:r>
              <w:rPr>
                <w:rFonts w:eastAsia="Verdana" w:cs="Verdana"/>
                <w:color w:val="252C65"/>
                <w:sz w:val="16"/>
                <w:szCs w:val="16"/>
              </w:rPr>
              <w:t>14</w:t>
            </w:r>
          </w:p>
        </w:tc>
        <w:tc>
          <w:tcPr>
            <w:tcW w:w="864" w:type="dxa"/>
            <w:tcBorders>
              <w:top w:val="single" w:sz="8" w:space="0" w:color="999EC6"/>
              <w:left w:val="none" w:sz="0" w:space="0" w:color="000000"/>
              <w:bottom w:val="single" w:sz="8" w:space="0" w:color="252C65"/>
              <w:right w:val="none" w:sz="0" w:space="0" w:color="000000"/>
            </w:tcBorders>
            <w:shd w:val="clear" w:color="auto" w:fill="FFFFFF"/>
            <w:tcMar>
              <w:top w:w="0" w:type="dxa"/>
              <w:left w:w="0" w:type="dxa"/>
              <w:bottom w:w="0" w:type="dxa"/>
              <w:right w:w="0" w:type="dxa"/>
            </w:tcMar>
            <w:vAlign w:val="center"/>
          </w:tcPr>
          <w:p w14:paraId="17703CA5" w14:textId="77777777" w:rsidR="005879B1" w:rsidRDefault="00A97397">
            <w:pPr>
              <w:pBdr>
                <w:top w:val="none" w:sz="0" w:space="0" w:color="000000"/>
                <w:left w:val="none" w:sz="0" w:space="0" w:color="000000"/>
                <w:bottom w:val="none" w:sz="0" w:space="0" w:color="000000"/>
                <w:right w:val="none" w:sz="0" w:space="0" w:color="000000"/>
              </w:pBdr>
              <w:spacing w:before="100" w:after="100" w:line="240" w:lineRule="auto"/>
              <w:ind w:left="100" w:right="100"/>
              <w:jc w:val="right"/>
              <w:rPr>
                <w:rFonts w:eastAsia="Verdana" w:cs="Verdana"/>
                <w:color w:val="252C65"/>
                <w:sz w:val="16"/>
                <w:szCs w:val="16"/>
              </w:rPr>
            </w:pPr>
            <w:r>
              <w:rPr>
                <w:rFonts w:eastAsia="Verdana" w:cs="Verdana"/>
                <w:color w:val="252C65"/>
                <w:sz w:val="16"/>
                <w:szCs w:val="16"/>
              </w:rPr>
              <w:t>1.00</w:t>
            </w:r>
          </w:p>
        </w:tc>
      </w:tr>
      <w:tr w:rsidR="005879B1" w14:paraId="29B852EF" w14:textId="77777777">
        <w:tc>
          <w:tcPr>
            <w:tcW w:w="8640" w:type="dxa"/>
            <w:gridSpan w:val="5"/>
            <w:tcBorders>
              <w:top w:val="single" w:sz="8" w:space="0" w:color="252C65"/>
              <w:left w:val="none" w:sz="0" w:space="0" w:color="FFFFFF"/>
              <w:bottom w:val="none" w:sz="0" w:space="0" w:color="FFFFFF"/>
              <w:right w:val="none" w:sz="0" w:space="0" w:color="FFFFFF"/>
            </w:tcBorders>
            <w:shd w:val="clear" w:color="auto" w:fill="FFFFFF"/>
            <w:tcMar>
              <w:top w:w="0" w:type="dxa"/>
              <w:left w:w="0" w:type="dxa"/>
              <w:bottom w:w="0" w:type="dxa"/>
              <w:right w:w="0" w:type="dxa"/>
            </w:tcMar>
            <w:vAlign w:val="center"/>
          </w:tcPr>
          <w:p w14:paraId="0CE43455" w14:textId="77777777" w:rsidR="005879B1" w:rsidRDefault="005879B1">
            <w:pPr>
              <w:pBdr>
                <w:top w:val="none" w:sz="0" w:space="0" w:color="000000"/>
                <w:left w:val="none" w:sz="0" w:space="0" w:color="000000"/>
                <w:bottom w:val="none" w:sz="0" w:space="0" w:color="000000"/>
                <w:right w:val="none" w:sz="0" w:space="0" w:color="000000"/>
              </w:pBdr>
              <w:spacing w:before="100" w:after="100" w:line="240" w:lineRule="auto"/>
              <w:ind w:left="100" w:right="100"/>
              <w:rPr>
                <w:rFonts w:ascii="Arial" w:eastAsia="Arial" w:hAnsi="Arial" w:cs="Arial"/>
                <w:color w:val="000000"/>
                <w:szCs w:val="22"/>
              </w:rPr>
            </w:pPr>
          </w:p>
        </w:tc>
      </w:tr>
    </w:tbl>
    <w:p w14:paraId="1F525B31" w14:textId="77777777" w:rsidR="005879B1" w:rsidRDefault="00A97397">
      <w:pPr>
        <w:pStyle w:val="BodyText"/>
      </w:pPr>
      <w:r>
        <w:t>We then link transactions to outputs that have components with staff time as a metric. These transactions should occur around the start date of the output, or within the start date and end date of the output, depending on the type of cost component. Also, staff transactions need to be of the same type. For example, staff time spent on income support administration is not linked to the management or delivery of employment programmes or services.</w:t>
      </w:r>
    </w:p>
    <w:p w14:paraId="35811B67" w14:textId="77777777" w:rsidR="005879B1" w:rsidRDefault="00A97397">
      <w:pPr>
        <w:pStyle w:val="Heading1"/>
      </w:pPr>
      <w:bookmarkStart w:id="34" w:name="_Toc197957604"/>
      <w:bookmarkStart w:id="35" w:name="outcome-measures"/>
      <w:bookmarkEnd w:id="32"/>
      <w:bookmarkEnd w:id="29"/>
      <w:bookmarkEnd w:id="25"/>
      <w:r>
        <w:lastRenderedPageBreak/>
        <w:t>Outcome measures</w:t>
      </w:r>
      <w:bookmarkEnd w:id="34"/>
    </w:p>
    <w:p w14:paraId="35050587" w14:textId="77777777" w:rsidR="005879B1" w:rsidRDefault="00A97397">
      <w:r>
        <w:t>When reporting on effectiveness, we measured the impacts of EA interventions across a range of outcome domains. We focus on those domains that we expect employment assistance to have a direct impact on as shown in Table 4 below.</w:t>
      </w:r>
    </w:p>
    <w:p w14:paraId="1CB1CDFB" w14:textId="77777777" w:rsidR="005879B1" w:rsidRDefault="00A97397">
      <w:pPr>
        <w:pStyle w:val="BodyText"/>
      </w:pPr>
      <w:r>
        <w:t>However, we acknowledge that we do not have all outcomes that interventions could reasonably be expected to impact (eg outcomes such as children’s short- and long-term outcomes, health status and household income). The absence of an outcome measure is often because the Statistics New Zealand Integrated Data Infrastructure (SNZ IDI) either lacks this information or there are issues with the data that need to be resolved. In subsequent reports, we plan to further expand the range of outcomes included in the analysis, to include those such as mortality and periods spent overseas.</w:t>
      </w:r>
    </w:p>
    <w:p w14:paraId="6C37EA07" w14:textId="77777777" w:rsidR="005879B1" w:rsidRDefault="00A97397" w:rsidP="00435ECC">
      <w:pPr>
        <w:pStyle w:val="Caption"/>
      </w:pPr>
      <w:bookmarkStart w:id="36" w:name="tab:ea-outcomes"/>
      <w:bookmarkEnd w:id="36"/>
      <w:r w:rsidRPr="00435ECC">
        <w:rPr>
          <w:b/>
          <w:bCs/>
        </w:rPr>
        <w:t>Table 4</w:t>
      </w:r>
      <w:r>
        <w:t>: Outcome domains that employment interventions can be expected to have an impact on</w:t>
      </w:r>
    </w:p>
    <w:tbl>
      <w:tblPr>
        <w:tblW w:w="0" w:type="auto"/>
        <w:tblLayout w:type="fixed"/>
        <w:tblLook w:val="0420" w:firstRow="1" w:lastRow="0" w:firstColumn="0" w:lastColumn="0" w:noHBand="0" w:noVBand="1"/>
      </w:tblPr>
      <w:tblGrid>
        <w:gridCol w:w="1728"/>
        <w:gridCol w:w="2160"/>
        <w:gridCol w:w="5040"/>
      </w:tblGrid>
      <w:tr w:rsidR="005879B1" w14:paraId="599B33DB" w14:textId="77777777">
        <w:trPr>
          <w:tblHeader/>
        </w:trPr>
        <w:tc>
          <w:tcPr>
            <w:tcW w:w="1728" w:type="dxa"/>
            <w:tcBorders>
              <w:top w:val="single" w:sz="8" w:space="0" w:color="252C65"/>
              <w:left w:val="none" w:sz="0" w:space="0" w:color="000000"/>
              <w:bottom w:val="none" w:sz="0" w:space="0" w:color="000000"/>
              <w:right w:val="none" w:sz="0" w:space="0" w:color="000000"/>
            </w:tcBorders>
            <w:shd w:val="clear" w:color="auto" w:fill="252C65"/>
            <w:tcMar>
              <w:top w:w="0" w:type="dxa"/>
              <w:left w:w="0" w:type="dxa"/>
              <w:bottom w:w="0" w:type="dxa"/>
              <w:right w:w="0" w:type="dxa"/>
            </w:tcMar>
            <w:vAlign w:val="center"/>
          </w:tcPr>
          <w:p w14:paraId="3819F233" w14:textId="77777777" w:rsidR="005879B1" w:rsidRDefault="00A97397">
            <w:pPr>
              <w:pBdr>
                <w:top w:val="none" w:sz="0" w:space="0" w:color="000000"/>
                <w:left w:val="none" w:sz="0" w:space="0" w:color="000000"/>
                <w:bottom w:val="none" w:sz="0" w:space="0" w:color="000000"/>
                <w:right w:val="none" w:sz="0" w:space="0" w:color="000000"/>
              </w:pBdr>
              <w:spacing w:before="100" w:after="100" w:line="240" w:lineRule="auto"/>
              <w:ind w:left="100" w:right="100"/>
              <w:rPr>
                <w:rFonts w:ascii="Arial" w:eastAsia="Arial" w:hAnsi="Arial" w:cs="Arial"/>
                <w:color w:val="FFFFFF"/>
                <w:sz w:val="16"/>
                <w:szCs w:val="16"/>
              </w:rPr>
            </w:pPr>
            <w:r>
              <w:rPr>
                <w:rFonts w:ascii="Arial" w:eastAsia="Arial" w:hAnsi="Arial" w:cs="Arial"/>
                <w:color w:val="FFFFFF"/>
                <w:sz w:val="16"/>
                <w:szCs w:val="16"/>
              </w:rPr>
              <w:t>Outcome domain</w:t>
            </w:r>
          </w:p>
        </w:tc>
        <w:tc>
          <w:tcPr>
            <w:tcW w:w="2160" w:type="dxa"/>
            <w:tcBorders>
              <w:top w:val="single" w:sz="8" w:space="0" w:color="252C65"/>
              <w:left w:val="none" w:sz="0" w:space="0" w:color="000000"/>
              <w:bottom w:val="none" w:sz="0" w:space="0" w:color="000000"/>
              <w:right w:val="none" w:sz="0" w:space="0" w:color="000000"/>
            </w:tcBorders>
            <w:shd w:val="clear" w:color="auto" w:fill="252C65"/>
            <w:tcMar>
              <w:top w:w="0" w:type="dxa"/>
              <w:left w:w="0" w:type="dxa"/>
              <w:bottom w:w="0" w:type="dxa"/>
              <w:right w:w="0" w:type="dxa"/>
            </w:tcMar>
            <w:vAlign w:val="center"/>
          </w:tcPr>
          <w:p w14:paraId="566D587B" w14:textId="77777777" w:rsidR="005879B1" w:rsidRDefault="00A97397">
            <w:pPr>
              <w:pBdr>
                <w:top w:val="none" w:sz="0" w:space="0" w:color="000000"/>
                <w:left w:val="none" w:sz="0" w:space="0" w:color="000000"/>
                <w:bottom w:val="none" w:sz="0" w:space="0" w:color="000000"/>
                <w:right w:val="none" w:sz="0" w:space="0" w:color="000000"/>
              </w:pBdr>
              <w:spacing w:before="100" w:after="100" w:line="240" w:lineRule="auto"/>
              <w:ind w:left="100" w:right="100"/>
              <w:rPr>
                <w:rFonts w:ascii="Arial" w:eastAsia="Arial" w:hAnsi="Arial" w:cs="Arial"/>
                <w:color w:val="FFFFFF"/>
                <w:sz w:val="16"/>
                <w:szCs w:val="16"/>
              </w:rPr>
            </w:pPr>
            <w:r>
              <w:rPr>
                <w:rFonts w:ascii="Arial" w:eastAsia="Arial" w:hAnsi="Arial" w:cs="Arial"/>
                <w:color w:val="FFFFFF"/>
                <w:sz w:val="16"/>
                <w:szCs w:val="16"/>
              </w:rPr>
              <w:t>Included</w:t>
            </w:r>
          </w:p>
        </w:tc>
        <w:tc>
          <w:tcPr>
            <w:tcW w:w="5040" w:type="dxa"/>
            <w:tcBorders>
              <w:top w:val="single" w:sz="8" w:space="0" w:color="252C65"/>
              <w:left w:val="none" w:sz="0" w:space="0" w:color="000000"/>
              <w:bottom w:val="none" w:sz="0" w:space="0" w:color="000000"/>
              <w:right w:val="none" w:sz="0" w:space="0" w:color="000000"/>
            </w:tcBorders>
            <w:shd w:val="clear" w:color="auto" w:fill="252C65"/>
            <w:tcMar>
              <w:top w:w="0" w:type="dxa"/>
              <w:left w:w="0" w:type="dxa"/>
              <w:bottom w:w="0" w:type="dxa"/>
              <w:right w:w="0" w:type="dxa"/>
            </w:tcMar>
            <w:vAlign w:val="center"/>
          </w:tcPr>
          <w:p w14:paraId="3BE84B3D" w14:textId="77777777" w:rsidR="005879B1" w:rsidRDefault="00A97397">
            <w:pPr>
              <w:pBdr>
                <w:top w:val="none" w:sz="0" w:space="0" w:color="000000"/>
                <w:left w:val="none" w:sz="0" w:space="0" w:color="000000"/>
                <w:bottom w:val="none" w:sz="0" w:space="0" w:color="000000"/>
                <w:right w:val="none" w:sz="0" w:space="0" w:color="000000"/>
              </w:pBdr>
              <w:spacing w:before="100" w:after="100" w:line="240" w:lineRule="auto"/>
              <w:ind w:left="100" w:right="100"/>
              <w:rPr>
                <w:rFonts w:ascii="Arial" w:eastAsia="Arial" w:hAnsi="Arial" w:cs="Arial"/>
                <w:color w:val="FFFFFF"/>
                <w:sz w:val="16"/>
                <w:szCs w:val="16"/>
              </w:rPr>
            </w:pPr>
            <w:r>
              <w:rPr>
                <w:rFonts w:ascii="Arial" w:eastAsia="Arial" w:hAnsi="Arial" w:cs="Arial"/>
                <w:color w:val="FFFFFF"/>
                <w:sz w:val="16"/>
                <w:szCs w:val="16"/>
              </w:rPr>
              <w:t>Comment</w:t>
            </w:r>
          </w:p>
        </w:tc>
      </w:tr>
      <w:tr w:rsidR="005879B1" w14:paraId="34F578AE" w14:textId="77777777">
        <w:tc>
          <w:tcPr>
            <w:tcW w:w="1728" w:type="dxa"/>
            <w:tcBorders>
              <w:top w:val="none" w:sz="0" w:space="0" w:color="000000"/>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2214A73" w14:textId="77777777" w:rsidR="005879B1" w:rsidRDefault="00A97397">
            <w:pPr>
              <w:pBdr>
                <w:top w:val="none" w:sz="0" w:space="0" w:color="000000"/>
                <w:left w:val="none" w:sz="0" w:space="0" w:color="000000"/>
                <w:bottom w:val="none" w:sz="0" w:space="0" w:color="000000"/>
                <w:right w:val="none" w:sz="0" w:space="0" w:color="000000"/>
              </w:pBdr>
              <w:spacing w:before="100" w:after="100" w:line="240" w:lineRule="auto"/>
              <w:ind w:left="100" w:right="100"/>
              <w:rPr>
                <w:rFonts w:eastAsia="Verdana" w:cs="Verdana"/>
                <w:color w:val="252C65"/>
                <w:sz w:val="16"/>
                <w:szCs w:val="16"/>
              </w:rPr>
            </w:pPr>
            <w:r>
              <w:rPr>
                <w:rFonts w:eastAsia="Verdana" w:cs="Verdana"/>
                <w:color w:val="252C65"/>
                <w:sz w:val="16"/>
                <w:szCs w:val="16"/>
              </w:rPr>
              <w:t>Employment</w:t>
            </w:r>
          </w:p>
        </w:tc>
        <w:tc>
          <w:tcPr>
            <w:tcW w:w="2160" w:type="dxa"/>
            <w:tcBorders>
              <w:top w:val="none" w:sz="0" w:space="0" w:color="000000"/>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231FB37" w14:textId="77777777" w:rsidR="005879B1" w:rsidRDefault="00A97397">
            <w:pPr>
              <w:pBdr>
                <w:top w:val="none" w:sz="0" w:space="0" w:color="000000"/>
                <w:left w:val="none" w:sz="0" w:space="0" w:color="000000"/>
                <w:bottom w:val="none" w:sz="0" w:space="0" w:color="000000"/>
                <w:right w:val="none" w:sz="0" w:space="0" w:color="000000"/>
              </w:pBdr>
              <w:spacing w:before="100" w:after="100" w:line="240" w:lineRule="auto"/>
              <w:ind w:left="100" w:right="100"/>
              <w:rPr>
                <w:rFonts w:eastAsia="Verdana" w:cs="Verdana"/>
                <w:color w:val="252C65"/>
                <w:sz w:val="16"/>
                <w:szCs w:val="16"/>
              </w:rPr>
            </w:pPr>
            <w:r>
              <w:rPr>
                <w:rFonts w:eastAsia="Verdana" w:cs="Verdana"/>
                <w:color w:val="252C65"/>
                <w:sz w:val="16"/>
                <w:szCs w:val="16"/>
              </w:rPr>
              <w:t>Yes,</w:t>
            </w:r>
            <w:r>
              <w:rPr>
                <w:rFonts w:eastAsia="Verdana" w:cs="Verdana"/>
                <w:color w:val="252C65"/>
                <w:sz w:val="16"/>
                <w:szCs w:val="16"/>
              </w:rPr>
              <w:br/>
              <w:t>Inferred from tax data</w:t>
            </w:r>
          </w:p>
        </w:tc>
        <w:tc>
          <w:tcPr>
            <w:tcW w:w="5040" w:type="dxa"/>
            <w:tcBorders>
              <w:top w:val="none" w:sz="0" w:space="0" w:color="000000"/>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27F33DE" w14:textId="77777777" w:rsidR="005879B1" w:rsidRDefault="00A97397">
            <w:pPr>
              <w:pBdr>
                <w:top w:val="none" w:sz="0" w:space="0" w:color="000000"/>
                <w:left w:val="none" w:sz="0" w:space="0" w:color="000000"/>
                <w:bottom w:val="none" w:sz="0" w:space="0" w:color="000000"/>
                <w:right w:val="none" w:sz="0" w:space="0" w:color="000000"/>
              </w:pBdr>
              <w:spacing w:before="100" w:after="100" w:line="240" w:lineRule="auto"/>
              <w:ind w:left="100" w:right="100"/>
              <w:rPr>
                <w:rFonts w:eastAsia="Verdana" w:cs="Verdana"/>
                <w:color w:val="252C65"/>
                <w:sz w:val="16"/>
                <w:szCs w:val="16"/>
              </w:rPr>
            </w:pPr>
            <w:r>
              <w:rPr>
                <w:rFonts w:eastAsia="Verdana" w:cs="Verdana"/>
                <w:color w:val="252C65"/>
                <w:sz w:val="16"/>
                <w:szCs w:val="16"/>
              </w:rPr>
              <w:t>By definition, all employment interventions have a long- to medium-term goal of increasing time in employment.</w:t>
            </w:r>
          </w:p>
        </w:tc>
      </w:tr>
      <w:tr w:rsidR="005879B1" w14:paraId="5CDE9E16" w14:textId="77777777">
        <w:tc>
          <w:tcPr>
            <w:tcW w:w="1728"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8238B6B" w14:textId="77777777" w:rsidR="005879B1" w:rsidRDefault="00A97397">
            <w:pPr>
              <w:pBdr>
                <w:top w:val="none" w:sz="0" w:space="0" w:color="000000"/>
                <w:left w:val="none" w:sz="0" w:space="0" w:color="000000"/>
                <w:bottom w:val="none" w:sz="0" w:space="0" w:color="000000"/>
                <w:right w:val="none" w:sz="0" w:space="0" w:color="000000"/>
              </w:pBdr>
              <w:spacing w:before="100" w:after="100" w:line="240" w:lineRule="auto"/>
              <w:ind w:left="100" w:right="100"/>
              <w:rPr>
                <w:rFonts w:eastAsia="Verdana" w:cs="Verdana"/>
                <w:color w:val="252C65"/>
                <w:sz w:val="16"/>
                <w:szCs w:val="16"/>
              </w:rPr>
            </w:pPr>
            <w:r>
              <w:rPr>
                <w:rFonts w:eastAsia="Verdana" w:cs="Verdana"/>
                <w:color w:val="252C65"/>
                <w:sz w:val="16"/>
                <w:szCs w:val="16"/>
              </w:rPr>
              <w:t>Income</w:t>
            </w:r>
          </w:p>
        </w:tc>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6A86A68" w14:textId="77777777" w:rsidR="005879B1" w:rsidRDefault="00A97397">
            <w:pPr>
              <w:pBdr>
                <w:top w:val="none" w:sz="0" w:space="0" w:color="000000"/>
                <w:left w:val="none" w:sz="0" w:space="0" w:color="000000"/>
                <w:bottom w:val="none" w:sz="0" w:space="0" w:color="000000"/>
                <w:right w:val="none" w:sz="0" w:space="0" w:color="000000"/>
              </w:pBdr>
              <w:spacing w:before="100" w:after="100" w:line="240" w:lineRule="auto"/>
              <w:ind w:left="100" w:right="100"/>
              <w:rPr>
                <w:rFonts w:eastAsia="Verdana" w:cs="Verdana"/>
                <w:color w:val="252C65"/>
                <w:sz w:val="16"/>
                <w:szCs w:val="16"/>
              </w:rPr>
            </w:pPr>
            <w:r>
              <w:rPr>
                <w:rFonts w:eastAsia="Verdana" w:cs="Verdana"/>
                <w:color w:val="252C65"/>
                <w:sz w:val="16"/>
                <w:szCs w:val="16"/>
              </w:rPr>
              <w:t>Yes,</w:t>
            </w:r>
            <w:r>
              <w:rPr>
                <w:rFonts w:eastAsia="Verdana" w:cs="Verdana"/>
                <w:color w:val="252C65"/>
                <w:sz w:val="16"/>
                <w:szCs w:val="16"/>
              </w:rPr>
              <w:br/>
              <w:t>Labour market income and transfers to individuals.</w:t>
            </w:r>
          </w:p>
        </w:tc>
        <w:tc>
          <w:tcPr>
            <w:tcW w:w="50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606C5C9" w14:textId="77777777" w:rsidR="005879B1" w:rsidRDefault="00A97397">
            <w:pPr>
              <w:pBdr>
                <w:top w:val="none" w:sz="0" w:space="0" w:color="000000"/>
                <w:left w:val="none" w:sz="0" w:space="0" w:color="000000"/>
                <w:bottom w:val="none" w:sz="0" w:space="0" w:color="000000"/>
                <w:right w:val="none" w:sz="0" w:space="0" w:color="000000"/>
              </w:pBdr>
              <w:spacing w:before="100" w:after="100" w:line="240" w:lineRule="auto"/>
              <w:ind w:left="100" w:right="100"/>
              <w:rPr>
                <w:rFonts w:eastAsia="Verdana" w:cs="Verdana"/>
                <w:color w:val="252C65"/>
                <w:sz w:val="16"/>
                <w:szCs w:val="16"/>
              </w:rPr>
            </w:pPr>
            <w:r>
              <w:rPr>
                <w:rFonts w:eastAsia="Verdana" w:cs="Verdana"/>
                <w:color w:val="252C65"/>
                <w:sz w:val="16"/>
                <w:szCs w:val="16"/>
              </w:rPr>
              <w:t>While employment is important, interventions should not result in a reduction in overall income.</w:t>
            </w:r>
            <w:r>
              <w:rPr>
                <w:rFonts w:eastAsia="Verdana" w:cs="Verdana"/>
                <w:color w:val="252C65"/>
                <w:sz w:val="16"/>
                <w:szCs w:val="16"/>
              </w:rPr>
              <w:br/>
              <w:t>Currently, we have not developed a measure of household income because of the difficulty of defining households within the IDI.</w:t>
            </w:r>
          </w:p>
        </w:tc>
      </w:tr>
      <w:tr w:rsidR="005879B1" w14:paraId="429D84F0" w14:textId="77777777">
        <w:tc>
          <w:tcPr>
            <w:tcW w:w="1728"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363ABAD" w14:textId="77777777" w:rsidR="005879B1" w:rsidRDefault="00A97397">
            <w:pPr>
              <w:pBdr>
                <w:top w:val="none" w:sz="0" w:space="0" w:color="000000"/>
                <w:left w:val="none" w:sz="0" w:space="0" w:color="000000"/>
                <w:bottom w:val="none" w:sz="0" w:space="0" w:color="000000"/>
                <w:right w:val="none" w:sz="0" w:space="0" w:color="000000"/>
              </w:pBdr>
              <w:spacing w:before="100" w:after="100" w:line="240" w:lineRule="auto"/>
              <w:ind w:left="100" w:right="100"/>
              <w:rPr>
                <w:rFonts w:eastAsia="Verdana" w:cs="Verdana"/>
                <w:color w:val="252C65"/>
                <w:sz w:val="16"/>
                <w:szCs w:val="16"/>
              </w:rPr>
            </w:pPr>
            <w:r>
              <w:rPr>
                <w:rFonts w:eastAsia="Verdana" w:cs="Verdana"/>
                <w:color w:val="252C65"/>
                <w:sz w:val="16"/>
                <w:szCs w:val="16"/>
              </w:rPr>
              <w:t>Education and training</w:t>
            </w:r>
          </w:p>
        </w:tc>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1BDE517" w14:textId="77777777" w:rsidR="005879B1" w:rsidRDefault="00A97397">
            <w:pPr>
              <w:pBdr>
                <w:top w:val="none" w:sz="0" w:space="0" w:color="000000"/>
                <w:left w:val="none" w:sz="0" w:space="0" w:color="000000"/>
                <w:bottom w:val="none" w:sz="0" w:space="0" w:color="000000"/>
                <w:right w:val="none" w:sz="0" w:space="0" w:color="000000"/>
              </w:pBdr>
              <w:spacing w:before="100" w:after="100" w:line="240" w:lineRule="auto"/>
              <w:ind w:left="100" w:right="100"/>
              <w:rPr>
                <w:rFonts w:eastAsia="Verdana" w:cs="Verdana"/>
                <w:color w:val="252C65"/>
                <w:sz w:val="16"/>
                <w:szCs w:val="16"/>
              </w:rPr>
            </w:pPr>
            <w:r>
              <w:rPr>
                <w:rFonts w:eastAsia="Verdana" w:cs="Verdana"/>
                <w:color w:val="252C65"/>
                <w:sz w:val="16"/>
                <w:szCs w:val="16"/>
              </w:rPr>
              <w:t>Yes,</w:t>
            </w:r>
            <w:r>
              <w:rPr>
                <w:rFonts w:eastAsia="Verdana" w:cs="Verdana"/>
                <w:color w:val="252C65"/>
                <w:sz w:val="16"/>
                <w:szCs w:val="16"/>
              </w:rPr>
              <w:br/>
              <w:t>Government funded training and education.</w:t>
            </w:r>
          </w:p>
        </w:tc>
        <w:tc>
          <w:tcPr>
            <w:tcW w:w="50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D0A63A4" w14:textId="77777777" w:rsidR="005879B1" w:rsidRDefault="00A97397">
            <w:pPr>
              <w:pBdr>
                <w:top w:val="none" w:sz="0" w:space="0" w:color="000000"/>
                <w:left w:val="none" w:sz="0" w:space="0" w:color="000000"/>
                <w:bottom w:val="none" w:sz="0" w:space="0" w:color="000000"/>
                <w:right w:val="none" w:sz="0" w:space="0" w:color="000000"/>
              </w:pBdr>
              <w:spacing w:before="100" w:after="100" w:line="240" w:lineRule="auto"/>
              <w:ind w:left="100" w:right="100"/>
              <w:rPr>
                <w:rFonts w:eastAsia="Verdana" w:cs="Verdana"/>
                <w:color w:val="252C65"/>
                <w:sz w:val="16"/>
                <w:szCs w:val="16"/>
              </w:rPr>
            </w:pPr>
            <w:r>
              <w:rPr>
                <w:rFonts w:eastAsia="Verdana" w:cs="Verdana"/>
                <w:color w:val="252C65"/>
                <w:sz w:val="16"/>
                <w:szCs w:val="16"/>
              </w:rPr>
              <w:t>Many interventions have the goal of helping participants take up further training or education.</w:t>
            </w:r>
          </w:p>
        </w:tc>
      </w:tr>
      <w:tr w:rsidR="005879B1" w14:paraId="524BA372" w14:textId="77777777">
        <w:tc>
          <w:tcPr>
            <w:tcW w:w="1728"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001CD6B" w14:textId="77777777" w:rsidR="005879B1" w:rsidRDefault="00A97397">
            <w:pPr>
              <w:pBdr>
                <w:top w:val="none" w:sz="0" w:space="0" w:color="000000"/>
                <w:left w:val="none" w:sz="0" w:space="0" w:color="000000"/>
                <w:bottom w:val="none" w:sz="0" w:space="0" w:color="000000"/>
                <w:right w:val="none" w:sz="0" w:space="0" w:color="000000"/>
              </w:pBdr>
              <w:spacing w:before="100" w:after="100" w:line="240" w:lineRule="auto"/>
              <w:ind w:left="100" w:right="100"/>
              <w:rPr>
                <w:rFonts w:eastAsia="Verdana" w:cs="Verdana"/>
                <w:color w:val="252C65"/>
                <w:sz w:val="16"/>
                <w:szCs w:val="16"/>
              </w:rPr>
            </w:pPr>
            <w:r>
              <w:rPr>
                <w:rFonts w:eastAsia="Verdana" w:cs="Verdana"/>
                <w:color w:val="252C65"/>
                <w:sz w:val="16"/>
                <w:szCs w:val="16"/>
              </w:rPr>
              <w:t>Qualifications gained</w:t>
            </w:r>
          </w:p>
        </w:tc>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03260BB" w14:textId="77777777" w:rsidR="005879B1" w:rsidRDefault="00A97397">
            <w:pPr>
              <w:pBdr>
                <w:top w:val="none" w:sz="0" w:space="0" w:color="000000"/>
                <w:left w:val="none" w:sz="0" w:space="0" w:color="000000"/>
                <w:bottom w:val="none" w:sz="0" w:space="0" w:color="000000"/>
                <w:right w:val="none" w:sz="0" w:space="0" w:color="000000"/>
              </w:pBdr>
              <w:spacing w:before="100" w:after="100" w:line="240" w:lineRule="auto"/>
              <w:ind w:left="100" w:right="100"/>
              <w:rPr>
                <w:rFonts w:eastAsia="Verdana" w:cs="Verdana"/>
                <w:color w:val="252C65"/>
                <w:sz w:val="16"/>
                <w:szCs w:val="16"/>
              </w:rPr>
            </w:pPr>
            <w:r>
              <w:rPr>
                <w:rFonts w:eastAsia="Verdana" w:cs="Verdana"/>
                <w:color w:val="252C65"/>
                <w:sz w:val="16"/>
                <w:szCs w:val="16"/>
              </w:rPr>
              <w:t>Yes,</w:t>
            </w:r>
            <w:r>
              <w:rPr>
                <w:rFonts w:eastAsia="Verdana" w:cs="Verdana"/>
                <w:color w:val="252C65"/>
                <w:sz w:val="16"/>
                <w:szCs w:val="16"/>
              </w:rPr>
              <w:br/>
              <w:t>Only includes formal qualifications</w:t>
            </w:r>
          </w:p>
        </w:tc>
        <w:tc>
          <w:tcPr>
            <w:tcW w:w="50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7B5BE20" w14:textId="77777777" w:rsidR="005879B1" w:rsidRDefault="00A97397">
            <w:pPr>
              <w:pBdr>
                <w:top w:val="none" w:sz="0" w:space="0" w:color="000000"/>
                <w:left w:val="none" w:sz="0" w:space="0" w:color="000000"/>
                <w:bottom w:val="none" w:sz="0" w:space="0" w:color="000000"/>
                <w:right w:val="none" w:sz="0" w:space="0" w:color="000000"/>
              </w:pBdr>
              <w:spacing w:before="100" w:after="100" w:line="240" w:lineRule="auto"/>
              <w:ind w:left="100" w:right="100"/>
              <w:rPr>
                <w:rFonts w:eastAsia="Verdana" w:cs="Verdana"/>
                <w:color w:val="252C65"/>
                <w:sz w:val="16"/>
                <w:szCs w:val="16"/>
              </w:rPr>
            </w:pPr>
            <w:r>
              <w:rPr>
                <w:rFonts w:eastAsia="Verdana" w:cs="Verdana"/>
                <w:color w:val="252C65"/>
                <w:sz w:val="16"/>
                <w:szCs w:val="16"/>
              </w:rPr>
              <w:t>In general, returns from education and training depend on the achievement of qualifications, especially higher-level qualifications.</w:t>
            </w:r>
            <w:r>
              <w:rPr>
                <w:rFonts w:eastAsia="Verdana" w:cs="Verdana"/>
                <w:color w:val="252C65"/>
                <w:sz w:val="16"/>
                <w:szCs w:val="16"/>
              </w:rPr>
              <w:br/>
              <w:t>The gain in qualifications assumes an increase in human capital.</w:t>
            </w:r>
          </w:p>
        </w:tc>
      </w:tr>
      <w:tr w:rsidR="005879B1" w14:paraId="4F3E2771" w14:textId="77777777">
        <w:tc>
          <w:tcPr>
            <w:tcW w:w="1728"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ACA33BE" w14:textId="77777777" w:rsidR="005879B1" w:rsidRDefault="00A97397">
            <w:pPr>
              <w:pBdr>
                <w:top w:val="none" w:sz="0" w:space="0" w:color="000000"/>
                <w:left w:val="none" w:sz="0" w:space="0" w:color="000000"/>
                <w:bottom w:val="none" w:sz="0" w:space="0" w:color="000000"/>
                <w:right w:val="none" w:sz="0" w:space="0" w:color="000000"/>
              </w:pBdr>
              <w:spacing w:before="100" w:after="100" w:line="240" w:lineRule="auto"/>
              <w:ind w:left="100" w:right="100"/>
              <w:rPr>
                <w:rFonts w:eastAsia="Verdana" w:cs="Verdana"/>
                <w:color w:val="252C65"/>
                <w:sz w:val="16"/>
                <w:szCs w:val="16"/>
              </w:rPr>
            </w:pPr>
            <w:r>
              <w:rPr>
                <w:rFonts w:eastAsia="Verdana" w:cs="Verdana"/>
                <w:color w:val="252C65"/>
                <w:sz w:val="16"/>
                <w:szCs w:val="16"/>
              </w:rPr>
              <w:t>Confidence and motivation</w:t>
            </w:r>
          </w:p>
        </w:tc>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A2FC601" w14:textId="77777777" w:rsidR="005879B1" w:rsidRDefault="00A97397">
            <w:pPr>
              <w:pBdr>
                <w:top w:val="none" w:sz="0" w:space="0" w:color="000000"/>
                <w:left w:val="none" w:sz="0" w:space="0" w:color="000000"/>
                <w:bottom w:val="none" w:sz="0" w:space="0" w:color="000000"/>
                <w:right w:val="none" w:sz="0" w:space="0" w:color="000000"/>
              </w:pBdr>
              <w:spacing w:before="100" w:after="100" w:line="240" w:lineRule="auto"/>
              <w:ind w:left="100" w:right="100"/>
              <w:rPr>
                <w:rFonts w:eastAsia="Verdana" w:cs="Verdana"/>
                <w:color w:val="252C65"/>
                <w:sz w:val="16"/>
                <w:szCs w:val="16"/>
              </w:rPr>
            </w:pPr>
            <w:r>
              <w:rPr>
                <w:rFonts w:eastAsia="Verdana" w:cs="Verdana"/>
                <w:color w:val="252C65"/>
                <w:sz w:val="16"/>
                <w:szCs w:val="16"/>
              </w:rPr>
              <w:t>No,</w:t>
            </w:r>
            <w:r>
              <w:rPr>
                <w:rFonts w:eastAsia="Verdana" w:cs="Verdana"/>
                <w:color w:val="252C65"/>
                <w:sz w:val="16"/>
                <w:szCs w:val="16"/>
              </w:rPr>
              <w:br/>
              <w:t>Difficult to measure from current data sources</w:t>
            </w:r>
          </w:p>
        </w:tc>
        <w:tc>
          <w:tcPr>
            <w:tcW w:w="50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5CC073B" w14:textId="77777777" w:rsidR="005879B1" w:rsidRDefault="00A97397">
            <w:pPr>
              <w:pBdr>
                <w:top w:val="none" w:sz="0" w:space="0" w:color="000000"/>
                <w:left w:val="none" w:sz="0" w:space="0" w:color="000000"/>
                <w:bottom w:val="none" w:sz="0" w:space="0" w:color="000000"/>
                <w:right w:val="none" w:sz="0" w:space="0" w:color="000000"/>
              </w:pBdr>
              <w:spacing w:before="100" w:after="100" w:line="240" w:lineRule="auto"/>
              <w:ind w:left="100" w:right="100"/>
              <w:rPr>
                <w:rFonts w:eastAsia="Verdana" w:cs="Verdana"/>
                <w:color w:val="252C65"/>
                <w:sz w:val="16"/>
                <w:szCs w:val="16"/>
              </w:rPr>
            </w:pPr>
            <w:r>
              <w:rPr>
                <w:rFonts w:eastAsia="Verdana" w:cs="Verdana"/>
                <w:color w:val="252C65"/>
                <w:sz w:val="16"/>
                <w:szCs w:val="16"/>
              </w:rPr>
              <w:t>A common objective of case management and related programmes is to increase participant's confidence and motivation.</w:t>
            </w:r>
            <w:r>
              <w:rPr>
                <w:rFonts w:eastAsia="Verdana" w:cs="Verdana"/>
                <w:color w:val="252C65"/>
                <w:sz w:val="16"/>
                <w:szCs w:val="16"/>
              </w:rPr>
              <w:br/>
              <w:t>The assumption is that increases in confidence and motivation will move people towards employment or further study.</w:t>
            </w:r>
          </w:p>
        </w:tc>
      </w:tr>
      <w:tr w:rsidR="005879B1" w14:paraId="6579CD43" w14:textId="77777777">
        <w:tc>
          <w:tcPr>
            <w:tcW w:w="1728"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E7BFF0E" w14:textId="77777777" w:rsidR="005879B1" w:rsidRDefault="00A97397">
            <w:pPr>
              <w:pBdr>
                <w:top w:val="none" w:sz="0" w:space="0" w:color="000000"/>
                <w:left w:val="none" w:sz="0" w:space="0" w:color="000000"/>
                <w:bottom w:val="none" w:sz="0" w:space="0" w:color="000000"/>
                <w:right w:val="none" w:sz="0" w:space="0" w:color="000000"/>
              </w:pBdr>
              <w:spacing w:before="100" w:after="100" w:line="240" w:lineRule="auto"/>
              <w:ind w:left="100" w:right="100"/>
              <w:rPr>
                <w:rFonts w:eastAsia="Verdana" w:cs="Verdana"/>
                <w:color w:val="252C65"/>
                <w:sz w:val="16"/>
                <w:szCs w:val="16"/>
              </w:rPr>
            </w:pPr>
            <w:r>
              <w:rPr>
                <w:rFonts w:eastAsia="Verdana" w:cs="Verdana"/>
                <w:color w:val="252C65"/>
                <w:sz w:val="16"/>
                <w:szCs w:val="16"/>
              </w:rPr>
              <w:t>Health care use</w:t>
            </w:r>
          </w:p>
        </w:tc>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5F4903C" w14:textId="77777777" w:rsidR="005879B1" w:rsidRDefault="00A97397">
            <w:pPr>
              <w:pBdr>
                <w:top w:val="none" w:sz="0" w:space="0" w:color="000000"/>
                <w:left w:val="none" w:sz="0" w:space="0" w:color="000000"/>
                <w:bottom w:val="none" w:sz="0" w:space="0" w:color="000000"/>
                <w:right w:val="none" w:sz="0" w:space="0" w:color="000000"/>
              </w:pBdr>
              <w:spacing w:before="100" w:after="100" w:line="240" w:lineRule="auto"/>
              <w:ind w:left="100" w:right="100"/>
              <w:rPr>
                <w:rFonts w:eastAsia="Verdana" w:cs="Verdana"/>
                <w:color w:val="252C65"/>
                <w:sz w:val="16"/>
                <w:szCs w:val="16"/>
              </w:rPr>
            </w:pPr>
            <w:r>
              <w:rPr>
                <w:rFonts w:eastAsia="Verdana" w:cs="Verdana"/>
                <w:color w:val="252C65"/>
                <w:sz w:val="16"/>
                <w:szCs w:val="16"/>
              </w:rPr>
              <w:t>No,</w:t>
            </w:r>
            <w:r>
              <w:rPr>
                <w:rFonts w:eastAsia="Verdana" w:cs="Verdana"/>
                <w:color w:val="252C65"/>
                <w:sz w:val="16"/>
                <w:szCs w:val="16"/>
              </w:rPr>
              <w:br/>
              <w:t>Data is available and we plan to include this outcome in later reports</w:t>
            </w:r>
          </w:p>
        </w:tc>
        <w:tc>
          <w:tcPr>
            <w:tcW w:w="50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24E0099" w14:textId="77777777" w:rsidR="005879B1" w:rsidRDefault="00A97397">
            <w:pPr>
              <w:pBdr>
                <w:top w:val="none" w:sz="0" w:space="0" w:color="000000"/>
                <w:left w:val="none" w:sz="0" w:space="0" w:color="000000"/>
                <w:bottom w:val="none" w:sz="0" w:space="0" w:color="000000"/>
                <w:right w:val="none" w:sz="0" w:space="0" w:color="000000"/>
              </w:pBdr>
              <w:spacing w:before="100" w:after="100" w:line="240" w:lineRule="auto"/>
              <w:ind w:left="100" w:right="100"/>
              <w:rPr>
                <w:rFonts w:eastAsia="Verdana" w:cs="Verdana"/>
                <w:color w:val="252C65"/>
                <w:sz w:val="16"/>
                <w:szCs w:val="16"/>
              </w:rPr>
            </w:pPr>
            <w:r>
              <w:rPr>
                <w:rFonts w:eastAsia="Verdana" w:cs="Verdana"/>
                <w:color w:val="252C65"/>
                <w:sz w:val="16"/>
                <w:szCs w:val="16"/>
              </w:rPr>
              <w:t>A number of employment interventions involve the purchase of health care or help participants to access health care. The assumption is that resolving health needs will enable participants to move back into employment.</w:t>
            </w:r>
          </w:p>
        </w:tc>
      </w:tr>
      <w:tr w:rsidR="005879B1" w14:paraId="407E30A7" w14:textId="77777777">
        <w:tc>
          <w:tcPr>
            <w:tcW w:w="1728"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CC481D2" w14:textId="77777777" w:rsidR="005879B1" w:rsidRDefault="00A97397">
            <w:pPr>
              <w:pBdr>
                <w:top w:val="none" w:sz="0" w:space="0" w:color="000000"/>
                <w:left w:val="none" w:sz="0" w:space="0" w:color="000000"/>
                <w:bottom w:val="none" w:sz="0" w:space="0" w:color="000000"/>
                <w:right w:val="none" w:sz="0" w:space="0" w:color="000000"/>
              </w:pBdr>
              <w:spacing w:before="100" w:after="100" w:line="240" w:lineRule="auto"/>
              <w:ind w:left="100" w:right="100"/>
              <w:rPr>
                <w:rFonts w:eastAsia="Verdana" w:cs="Verdana"/>
                <w:color w:val="252C65"/>
                <w:sz w:val="16"/>
                <w:szCs w:val="16"/>
              </w:rPr>
            </w:pPr>
            <w:r>
              <w:rPr>
                <w:rFonts w:eastAsia="Verdana" w:cs="Verdana"/>
                <w:color w:val="252C65"/>
                <w:sz w:val="16"/>
                <w:szCs w:val="16"/>
              </w:rPr>
              <w:t>Health status</w:t>
            </w:r>
          </w:p>
        </w:tc>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9B52024" w14:textId="77777777" w:rsidR="005879B1" w:rsidRDefault="00A97397">
            <w:pPr>
              <w:pBdr>
                <w:top w:val="none" w:sz="0" w:space="0" w:color="000000"/>
                <w:left w:val="none" w:sz="0" w:space="0" w:color="000000"/>
                <w:bottom w:val="none" w:sz="0" w:space="0" w:color="000000"/>
                <w:right w:val="none" w:sz="0" w:space="0" w:color="000000"/>
              </w:pBdr>
              <w:spacing w:before="100" w:after="100" w:line="240" w:lineRule="auto"/>
              <w:ind w:left="100" w:right="100"/>
              <w:rPr>
                <w:rFonts w:eastAsia="Verdana" w:cs="Verdana"/>
                <w:color w:val="252C65"/>
                <w:sz w:val="16"/>
                <w:szCs w:val="16"/>
              </w:rPr>
            </w:pPr>
            <w:r>
              <w:rPr>
                <w:rFonts w:eastAsia="Verdana" w:cs="Verdana"/>
                <w:color w:val="252C65"/>
                <w:sz w:val="16"/>
                <w:szCs w:val="16"/>
              </w:rPr>
              <w:t>No,</w:t>
            </w:r>
            <w:r>
              <w:rPr>
                <w:rFonts w:eastAsia="Verdana" w:cs="Verdana"/>
                <w:color w:val="252C65"/>
                <w:sz w:val="16"/>
                <w:szCs w:val="16"/>
              </w:rPr>
              <w:br/>
              <w:t>Limited data that can be used for impact evaluation</w:t>
            </w:r>
          </w:p>
        </w:tc>
        <w:tc>
          <w:tcPr>
            <w:tcW w:w="50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49EF086" w14:textId="77777777" w:rsidR="005879B1" w:rsidRDefault="00A97397">
            <w:pPr>
              <w:pBdr>
                <w:top w:val="none" w:sz="0" w:space="0" w:color="000000"/>
                <w:left w:val="none" w:sz="0" w:space="0" w:color="000000"/>
                <w:bottom w:val="none" w:sz="0" w:space="0" w:color="000000"/>
                <w:right w:val="none" w:sz="0" w:space="0" w:color="000000"/>
              </w:pBdr>
              <w:spacing w:before="100" w:after="100" w:line="240" w:lineRule="auto"/>
              <w:ind w:left="100" w:right="100"/>
              <w:rPr>
                <w:rFonts w:eastAsia="Verdana" w:cs="Verdana"/>
                <w:color w:val="252C65"/>
                <w:sz w:val="16"/>
                <w:szCs w:val="16"/>
              </w:rPr>
            </w:pPr>
            <w:r>
              <w:rPr>
                <w:rFonts w:eastAsia="Verdana" w:cs="Verdana"/>
                <w:color w:val="252C65"/>
                <w:sz w:val="16"/>
                <w:szCs w:val="16"/>
              </w:rPr>
              <w:t>A number of employment interventions involve the purchase of health care or help participants to access health care. The assumption is that supporting improved health outcomes will assist participants to move back into or sustain employment.</w:t>
            </w:r>
            <w:r>
              <w:rPr>
                <w:rFonts w:eastAsia="Verdana" w:cs="Verdana"/>
                <w:color w:val="252C65"/>
                <w:sz w:val="16"/>
                <w:szCs w:val="16"/>
              </w:rPr>
              <w:br/>
            </w:r>
            <w:r>
              <w:rPr>
                <w:rFonts w:eastAsia="Verdana" w:cs="Verdana"/>
                <w:color w:val="252C65"/>
                <w:sz w:val="16"/>
                <w:szCs w:val="16"/>
              </w:rPr>
              <w:lastRenderedPageBreak/>
              <w:t>We may be able to look at the use of acute health care as an indicator of poor health.</w:t>
            </w:r>
          </w:p>
        </w:tc>
      </w:tr>
      <w:tr w:rsidR="005879B1" w14:paraId="54BE5393" w14:textId="77777777">
        <w:tc>
          <w:tcPr>
            <w:tcW w:w="1728"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41D46B1" w14:textId="77777777" w:rsidR="005879B1" w:rsidRDefault="00A97397">
            <w:pPr>
              <w:pBdr>
                <w:top w:val="none" w:sz="0" w:space="0" w:color="000000"/>
                <w:left w:val="none" w:sz="0" w:space="0" w:color="000000"/>
                <w:bottom w:val="none" w:sz="0" w:space="0" w:color="000000"/>
                <w:right w:val="none" w:sz="0" w:space="0" w:color="000000"/>
              </w:pBdr>
              <w:spacing w:before="100" w:after="100" w:line="240" w:lineRule="auto"/>
              <w:ind w:left="100" w:right="100"/>
              <w:rPr>
                <w:rFonts w:eastAsia="Verdana" w:cs="Verdana"/>
                <w:color w:val="252C65"/>
                <w:sz w:val="16"/>
                <w:szCs w:val="16"/>
              </w:rPr>
            </w:pPr>
            <w:r>
              <w:rPr>
                <w:rFonts w:eastAsia="Verdana" w:cs="Verdana"/>
                <w:color w:val="252C65"/>
                <w:sz w:val="16"/>
                <w:szCs w:val="16"/>
              </w:rPr>
              <w:lastRenderedPageBreak/>
              <w:t>Justice/offending</w:t>
            </w:r>
          </w:p>
        </w:tc>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22DCDD7" w14:textId="77777777" w:rsidR="005879B1" w:rsidRDefault="00A97397">
            <w:pPr>
              <w:pBdr>
                <w:top w:val="none" w:sz="0" w:space="0" w:color="000000"/>
                <w:left w:val="none" w:sz="0" w:space="0" w:color="000000"/>
                <w:bottom w:val="none" w:sz="0" w:space="0" w:color="000000"/>
                <w:right w:val="none" w:sz="0" w:space="0" w:color="000000"/>
              </w:pBdr>
              <w:spacing w:before="100" w:after="100" w:line="240" w:lineRule="auto"/>
              <w:ind w:left="100" w:right="100"/>
              <w:rPr>
                <w:rFonts w:eastAsia="Verdana" w:cs="Verdana"/>
                <w:color w:val="252C65"/>
                <w:sz w:val="16"/>
                <w:szCs w:val="16"/>
              </w:rPr>
            </w:pPr>
            <w:r>
              <w:rPr>
                <w:rFonts w:eastAsia="Verdana" w:cs="Verdana"/>
                <w:color w:val="252C65"/>
                <w:sz w:val="16"/>
                <w:szCs w:val="16"/>
              </w:rPr>
              <w:t>Yes</w:t>
            </w:r>
          </w:p>
        </w:tc>
        <w:tc>
          <w:tcPr>
            <w:tcW w:w="50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23E8D45" w14:textId="77777777" w:rsidR="005879B1" w:rsidRDefault="00A97397">
            <w:pPr>
              <w:pBdr>
                <w:top w:val="none" w:sz="0" w:space="0" w:color="000000"/>
                <w:left w:val="none" w:sz="0" w:space="0" w:color="000000"/>
                <w:bottom w:val="none" w:sz="0" w:space="0" w:color="000000"/>
                <w:right w:val="none" w:sz="0" w:space="0" w:color="000000"/>
              </w:pBdr>
              <w:spacing w:before="100" w:after="100" w:line="240" w:lineRule="auto"/>
              <w:ind w:left="100" w:right="100"/>
              <w:rPr>
                <w:rFonts w:eastAsia="Verdana" w:cs="Verdana"/>
                <w:color w:val="252C65"/>
                <w:sz w:val="16"/>
                <w:szCs w:val="16"/>
              </w:rPr>
            </w:pPr>
            <w:r>
              <w:rPr>
                <w:rFonts w:eastAsia="Verdana" w:cs="Verdana"/>
                <w:color w:val="252C65"/>
                <w:sz w:val="16"/>
                <w:szCs w:val="16"/>
              </w:rPr>
              <w:t>An expected indirect impact of employment is a reduction in criminal behaviour.</w:t>
            </w:r>
          </w:p>
        </w:tc>
      </w:tr>
      <w:tr w:rsidR="005879B1" w14:paraId="262A6925" w14:textId="77777777">
        <w:tc>
          <w:tcPr>
            <w:tcW w:w="1728"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499217F" w14:textId="77777777" w:rsidR="005879B1" w:rsidRDefault="00A97397">
            <w:pPr>
              <w:pBdr>
                <w:top w:val="none" w:sz="0" w:space="0" w:color="000000"/>
                <w:left w:val="none" w:sz="0" w:space="0" w:color="000000"/>
                <w:bottom w:val="none" w:sz="0" w:space="0" w:color="000000"/>
                <w:right w:val="none" w:sz="0" w:space="0" w:color="000000"/>
              </w:pBdr>
              <w:spacing w:before="100" w:after="100" w:line="240" w:lineRule="auto"/>
              <w:ind w:left="100" w:right="100"/>
              <w:rPr>
                <w:rFonts w:eastAsia="Verdana" w:cs="Verdana"/>
                <w:color w:val="252C65"/>
                <w:sz w:val="16"/>
                <w:szCs w:val="16"/>
              </w:rPr>
            </w:pPr>
            <w:r>
              <w:rPr>
                <w:rFonts w:eastAsia="Verdana" w:cs="Verdana"/>
                <w:color w:val="252C65"/>
                <w:sz w:val="16"/>
                <w:szCs w:val="16"/>
              </w:rPr>
              <w:t>Children's immediate outcomes</w:t>
            </w:r>
          </w:p>
        </w:tc>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1A6B89D" w14:textId="77777777" w:rsidR="005879B1" w:rsidRDefault="00A97397">
            <w:pPr>
              <w:pBdr>
                <w:top w:val="none" w:sz="0" w:space="0" w:color="000000"/>
                <w:left w:val="none" w:sz="0" w:space="0" w:color="000000"/>
                <w:bottom w:val="none" w:sz="0" w:space="0" w:color="000000"/>
                <w:right w:val="none" w:sz="0" w:space="0" w:color="000000"/>
              </w:pBdr>
              <w:spacing w:before="100" w:after="100" w:line="240" w:lineRule="auto"/>
              <w:ind w:left="100" w:right="100"/>
              <w:rPr>
                <w:rFonts w:eastAsia="Verdana" w:cs="Verdana"/>
                <w:color w:val="252C65"/>
                <w:sz w:val="16"/>
                <w:szCs w:val="16"/>
              </w:rPr>
            </w:pPr>
            <w:r>
              <w:rPr>
                <w:rFonts w:eastAsia="Verdana" w:cs="Verdana"/>
                <w:color w:val="252C65"/>
                <w:sz w:val="16"/>
                <w:szCs w:val="16"/>
              </w:rPr>
              <w:t>No</w:t>
            </w:r>
          </w:p>
        </w:tc>
        <w:tc>
          <w:tcPr>
            <w:tcW w:w="50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40530B6" w14:textId="77777777" w:rsidR="005879B1" w:rsidRDefault="00A97397">
            <w:pPr>
              <w:pBdr>
                <w:top w:val="none" w:sz="0" w:space="0" w:color="000000"/>
                <w:left w:val="none" w:sz="0" w:space="0" w:color="000000"/>
                <w:bottom w:val="none" w:sz="0" w:space="0" w:color="000000"/>
                <w:right w:val="none" w:sz="0" w:space="0" w:color="000000"/>
              </w:pBdr>
              <w:spacing w:before="100" w:after="100" w:line="240" w:lineRule="auto"/>
              <w:ind w:left="100" w:right="100"/>
              <w:rPr>
                <w:rFonts w:eastAsia="Verdana" w:cs="Verdana"/>
                <w:color w:val="252C65"/>
                <w:sz w:val="16"/>
                <w:szCs w:val="16"/>
              </w:rPr>
            </w:pPr>
            <w:r>
              <w:rPr>
                <w:rFonts w:eastAsia="Verdana" w:cs="Verdana"/>
                <w:color w:val="252C65"/>
                <w:sz w:val="16"/>
                <w:szCs w:val="16"/>
              </w:rPr>
              <w:t xml:space="preserve">EA interventions may have impacts on the immediate outcomes of participants' children. For example, improvement in income may result in better health. </w:t>
            </w:r>
          </w:p>
        </w:tc>
      </w:tr>
      <w:tr w:rsidR="005879B1" w14:paraId="70AB9F93" w14:textId="77777777">
        <w:tc>
          <w:tcPr>
            <w:tcW w:w="1728"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4107EAB" w14:textId="77777777" w:rsidR="005879B1" w:rsidRDefault="00A97397">
            <w:pPr>
              <w:pBdr>
                <w:top w:val="none" w:sz="0" w:space="0" w:color="000000"/>
                <w:left w:val="none" w:sz="0" w:space="0" w:color="000000"/>
                <w:bottom w:val="none" w:sz="0" w:space="0" w:color="000000"/>
                <w:right w:val="none" w:sz="0" w:space="0" w:color="000000"/>
              </w:pBdr>
              <w:spacing w:before="100" w:after="100" w:line="240" w:lineRule="auto"/>
              <w:ind w:left="100" w:right="100"/>
              <w:rPr>
                <w:rFonts w:eastAsia="Verdana" w:cs="Verdana"/>
                <w:color w:val="252C65"/>
                <w:sz w:val="16"/>
                <w:szCs w:val="16"/>
              </w:rPr>
            </w:pPr>
            <w:r>
              <w:rPr>
                <w:rFonts w:eastAsia="Verdana" w:cs="Verdana"/>
                <w:color w:val="252C65"/>
                <w:sz w:val="16"/>
                <w:szCs w:val="16"/>
              </w:rPr>
              <w:t>Children's long-term outcomes</w:t>
            </w:r>
          </w:p>
        </w:tc>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7D831E0" w14:textId="77777777" w:rsidR="005879B1" w:rsidRDefault="00A97397">
            <w:pPr>
              <w:pBdr>
                <w:top w:val="none" w:sz="0" w:space="0" w:color="000000"/>
                <w:left w:val="none" w:sz="0" w:space="0" w:color="000000"/>
                <w:bottom w:val="none" w:sz="0" w:space="0" w:color="000000"/>
                <w:right w:val="none" w:sz="0" w:space="0" w:color="000000"/>
              </w:pBdr>
              <w:spacing w:before="100" w:after="100" w:line="240" w:lineRule="auto"/>
              <w:ind w:left="100" w:right="100"/>
              <w:rPr>
                <w:rFonts w:eastAsia="Verdana" w:cs="Verdana"/>
                <w:color w:val="252C65"/>
                <w:sz w:val="16"/>
                <w:szCs w:val="16"/>
              </w:rPr>
            </w:pPr>
            <w:r>
              <w:rPr>
                <w:rFonts w:eastAsia="Verdana" w:cs="Verdana"/>
                <w:color w:val="252C65"/>
                <w:sz w:val="16"/>
                <w:szCs w:val="16"/>
              </w:rPr>
              <w:t>No</w:t>
            </w:r>
          </w:p>
        </w:tc>
        <w:tc>
          <w:tcPr>
            <w:tcW w:w="50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BFE2A5A" w14:textId="77777777" w:rsidR="005879B1" w:rsidRDefault="00A97397">
            <w:pPr>
              <w:pBdr>
                <w:top w:val="none" w:sz="0" w:space="0" w:color="000000"/>
                <w:left w:val="none" w:sz="0" w:space="0" w:color="000000"/>
                <w:bottom w:val="none" w:sz="0" w:space="0" w:color="000000"/>
                <w:right w:val="none" w:sz="0" w:space="0" w:color="000000"/>
              </w:pBdr>
              <w:spacing w:before="100" w:after="100" w:line="240" w:lineRule="auto"/>
              <w:ind w:left="100" w:right="100"/>
              <w:rPr>
                <w:rFonts w:eastAsia="Verdana" w:cs="Verdana"/>
                <w:color w:val="252C65"/>
                <w:sz w:val="16"/>
                <w:szCs w:val="16"/>
              </w:rPr>
            </w:pPr>
            <w:r>
              <w:rPr>
                <w:rFonts w:eastAsia="Verdana" w:cs="Verdana"/>
                <w:color w:val="252C65"/>
                <w:sz w:val="16"/>
                <w:szCs w:val="16"/>
              </w:rPr>
              <w:t>A long-term impact of EA interventions targeted at sole parents may be seen in the adult outcomes of their children.</w:t>
            </w:r>
            <w:r>
              <w:rPr>
                <w:rFonts w:eastAsia="Verdana" w:cs="Verdana"/>
                <w:color w:val="252C65"/>
                <w:sz w:val="16"/>
                <w:szCs w:val="16"/>
              </w:rPr>
              <w:br/>
              <w:t>We are beginning to reach follow up periods (eg 18 years) where this analysis may be feasible.</w:t>
            </w:r>
          </w:p>
        </w:tc>
      </w:tr>
      <w:tr w:rsidR="005879B1" w14:paraId="437A214F" w14:textId="77777777">
        <w:tc>
          <w:tcPr>
            <w:tcW w:w="1728"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315C54A" w14:textId="77777777" w:rsidR="005879B1" w:rsidRDefault="00A97397">
            <w:pPr>
              <w:pBdr>
                <w:top w:val="none" w:sz="0" w:space="0" w:color="000000"/>
                <w:left w:val="none" w:sz="0" w:space="0" w:color="000000"/>
                <w:bottom w:val="none" w:sz="0" w:space="0" w:color="000000"/>
                <w:right w:val="none" w:sz="0" w:space="0" w:color="000000"/>
              </w:pBdr>
              <w:spacing w:before="100" w:after="100" w:line="240" w:lineRule="auto"/>
              <w:ind w:left="100" w:right="100"/>
              <w:rPr>
                <w:rFonts w:eastAsia="Verdana" w:cs="Verdana"/>
                <w:color w:val="252C65"/>
                <w:sz w:val="16"/>
                <w:szCs w:val="16"/>
              </w:rPr>
            </w:pPr>
            <w:r>
              <w:rPr>
                <w:rFonts w:eastAsia="Verdana" w:cs="Verdana"/>
                <w:color w:val="252C65"/>
                <w:sz w:val="16"/>
                <w:szCs w:val="16"/>
              </w:rPr>
              <w:t>Mortality</w:t>
            </w:r>
          </w:p>
        </w:tc>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53E5729" w14:textId="77777777" w:rsidR="005879B1" w:rsidRDefault="00A97397">
            <w:pPr>
              <w:pBdr>
                <w:top w:val="none" w:sz="0" w:space="0" w:color="000000"/>
                <w:left w:val="none" w:sz="0" w:space="0" w:color="000000"/>
                <w:bottom w:val="none" w:sz="0" w:space="0" w:color="000000"/>
                <w:right w:val="none" w:sz="0" w:space="0" w:color="000000"/>
              </w:pBdr>
              <w:spacing w:before="100" w:after="100" w:line="240" w:lineRule="auto"/>
              <w:ind w:left="100" w:right="100"/>
              <w:rPr>
                <w:rFonts w:eastAsia="Verdana" w:cs="Verdana"/>
                <w:color w:val="252C65"/>
                <w:sz w:val="16"/>
                <w:szCs w:val="16"/>
              </w:rPr>
            </w:pPr>
            <w:r>
              <w:rPr>
                <w:rFonts w:eastAsia="Verdana" w:cs="Verdana"/>
                <w:color w:val="252C65"/>
                <w:sz w:val="16"/>
                <w:szCs w:val="16"/>
              </w:rPr>
              <w:t>No,</w:t>
            </w:r>
            <w:r>
              <w:rPr>
                <w:rFonts w:eastAsia="Verdana" w:cs="Verdana"/>
                <w:color w:val="252C65"/>
                <w:sz w:val="16"/>
                <w:szCs w:val="16"/>
              </w:rPr>
              <w:br/>
              <w:t>Include in next update</w:t>
            </w:r>
          </w:p>
        </w:tc>
        <w:tc>
          <w:tcPr>
            <w:tcW w:w="50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3A2B156" w14:textId="77777777" w:rsidR="005879B1" w:rsidRDefault="00A97397">
            <w:pPr>
              <w:pBdr>
                <w:top w:val="none" w:sz="0" w:space="0" w:color="000000"/>
                <w:left w:val="none" w:sz="0" w:space="0" w:color="000000"/>
                <w:bottom w:val="none" w:sz="0" w:space="0" w:color="000000"/>
                <w:right w:val="none" w:sz="0" w:space="0" w:color="000000"/>
              </w:pBdr>
              <w:spacing w:before="100" w:after="100" w:line="240" w:lineRule="auto"/>
              <w:ind w:left="100" w:right="100"/>
              <w:rPr>
                <w:rFonts w:eastAsia="Verdana" w:cs="Verdana"/>
                <w:color w:val="252C65"/>
                <w:sz w:val="16"/>
                <w:szCs w:val="16"/>
              </w:rPr>
            </w:pPr>
            <w:r>
              <w:rPr>
                <w:rFonts w:eastAsia="Verdana" w:cs="Verdana"/>
                <w:color w:val="252C65"/>
                <w:sz w:val="16"/>
                <w:szCs w:val="16"/>
              </w:rPr>
              <w:t>While most interventions are not intended to impact on mortality directly, this could be a long-term impact.</w:t>
            </w:r>
          </w:p>
        </w:tc>
      </w:tr>
      <w:tr w:rsidR="005879B1" w14:paraId="20361970" w14:textId="77777777">
        <w:tc>
          <w:tcPr>
            <w:tcW w:w="1728" w:type="dxa"/>
            <w:tcBorders>
              <w:top w:val="single" w:sz="8" w:space="0" w:color="999EC6"/>
              <w:left w:val="none" w:sz="0" w:space="0" w:color="000000"/>
              <w:bottom w:val="single" w:sz="8" w:space="0" w:color="252C65"/>
              <w:right w:val="none" w:sz="0" w:space="0" w:color="000000"/>
            </w:tcBorders>
            <w:shd w:val="clear" w:color="auto" w:fill="FFFFFF"/>
            <w:tcMar>
              <w:top w:w="0" w:type="dxa"/>
              <w:left w:w="0" w:type="dxa"/>
              <w:bottom w:w="0" w:type="dxa"/>
              <w:right w:w="0" w:type="dxa"/>
            </w:tcMar>
            <w:vAlign w:val="center"/>
          </w:tcPr>
          <w:p w14:paraId="3F5CB149" w14:textId="77777777" w:rsidR="005879B1" w:rsidRDefault="00A97397">
            <w:pPr>
              <w:pBdr>
                <w:top w:val="none" w:sz="0" w:space="0" w:color="000000"/>
                <w:left w:val="none" w:sz="0" w:space="0" w:color="000000"/>
                <w:bottom w:val="none" w:sz="0" w:space="0" w:color="000000"/>
                <w:right w:val="none" w:sz="0" w:space="0" w:color="000000"/>
              </w:pBdr>
              <w:spacing w:before="100" w:after="100" w:line="240" w:lineRule="auto"/>
              <w:ind w:left="100" w:right="100"/>
              <w:rPr>
                <w:rFonts w:eastAsia="Verdana" w:cs="Verdana"/>
                <w:color w:val="252C65"/>
                <w:sz w:val="16"/>
                <w:szCs w:val="16"/>
              </w:rPr>
            </w:pPr>
            <w:r>
              <w:rPr>
                <w:rFonts w:eastAsia="Verdana" w:cs="Verdana"/>
                <w:color w:val="252C65"/>
                <w:sz w:val="16"/>
                <w:szCs w:val="16"/>
              </w:rPr>
              <w:t>Time overseas</w:t>
            </w:r>
          </w:p>
        </w:tc>
        <w:tc>
          <w:tcPr>
            <w:tcW w:w="2160" w:type="dxa"/>
            <w:tcBorders>
              <w:top w:val="single" w:sz="8" w:space="0" w:color="999EC6"/>
              <w:left w:val="none" w:sz="0" w:space="0" w:color="000000"/>
              <w:bottom w:val="single" w:sz="8" w:space="0" w:color="252C65"/>
              <w:right w:val="none" w:sz="0" w:space="0" w:color="000000"/>
            </w:tcBorders>
            <w:shd w:val="clear" w:color="auto" w:fill="FFFFFF"/>
            <w:tcMar>
              <w:top w:w="0" w:type="dxa"/>
              <w:left w:w="0" w:type="dxa"/>
              <w:bottom w:w="0" w:type="dxa"/>
              <w:right w:w="0" w:type="dxa"/>
            </w:tcMar>
            <w:vAlign w:val="center"/>
          </w:tcPr>
          <w:p w14:paraId="620A1256" w14:textId="77777777" w:rsidR="005879B1" w:rsidRDefault="00A97397">
            <w:pPr>
              <w:pBdr>
                <w:top w:val="none" w:sz="0" w:space="0" w:color="000000"/>
                <w:left w:val="none" w:sz="0" w:space="0" w:color="000000"/>
                <w:bottom w:val="none" w:sz="0" w:space="0" w:color="000000"/>
                <w:right w:val="none" w:sz="0" w:space="0" w:color="000000"/>
              </w:pBdr>
              <w:spacing w:before="100" w:after="100" w:line="240" w:lineRule="auto"/>
              <w:ind w:left="100" w:right="100"/>
              <w:rPr>
                <w:rFonts w:eastAsia="Verdana" w:cs="Verdana"/>
                <w:color w:val="252C65"/>
                <w:sz w:val="16"/>
                <w:szCs w:val="16"/>
              </w:rPr>
            </w:pPr>
            <w:r>
              <w:rPr>
                <w:rFonts w:eastAsia="Verdana" w:cs="Verdana"/>
                <w:color w:val="252C65"/>
                <w:sz w:val="16"/>
                <w:szCs w:val="16"/>
              </w:rPr>
              <w:t>No,</w:t>
            </w:r>
            <w:r>
              <w:rPr>
                <w:rFonts w:eastAsia="Verdana" w:cs="Verdana"/>
                <w:color w:val="252C65"/>
                <w:sz w:val="16"/>
                <w:szCs w:val="16"/>
              </w:rPr>
              <w:br/>
              <w:t>Include in next update</w:t>
            </w:r>
          </w:p>
        </w:tc>
        <w:tc>
          <w:tcPr>
            <w:tcW w:w="5040" w:type="dxa"/>
            <w:tcBorders>
              <w:top w:val="single" w:sz="8" w:space="0" w:color="999EC6"/>
              <w:left w:val="none" w:sz="0" w:space="0" w:color="000000"/>
              <w:bottom w:val="single" w:sz="8" w:space="0" w:color="252C65"/>
              <w:right w:val="none" w:sz="0" w:space="0" w:color="000000"/>
            </w:tcBorders>
            <w:shd w:val="clear" w:color="auto" w:fill="FFFFFF"/>
            <w:tcMar>
              <w:top w:w="0" w:type="dxa"/>
              <w:left w:w="0" w:type="dxa"/>
              <w:bottom w:w="0" w:type="dxa"/>
              <w:right w:w="0" w:type="dxa"/>
            </w:tcMar>
            <w:vAlign w:val="center"/>
          </w:tcPr>
          <w:p w14:paraId="376E5EC2" w14:textId="77777777" w:rsidR="005879B1" w:rsidRDefault="00A97397">
            <w:pPr>
              <w:pBdr>
                <w:top w:val="none" w:sz="0" w:space="0" w:color="000000"/>
                <w:left w:val="none" w:sz="0" w:space="0" w:color="000000"/>
                <w:bottom w:val="none" w:sz="0" w:space="0" w:color="000000"/>
                <w:right w:val="none" w:sz="0" w:space="0" w:color="000000"/>
              </w:pBdr>
              <w:spacing w:before="100" w:after="100" w:line="240" w:lineRule="auto"/>
              <w:ind w:left="100" w:right="100"/>
              <w:rPr>
                <w:rFonts w:eastAsia="Verdana" w:cs="Verdana"/>
                <w:color w:val="252C65"/>
                <w:sz w:val="16"/>
                <w:szCs w:val="16"/>
              </w:rPr>
            </w:pPr>
            <w:r>
              <w:rPr>
                <w:rFonts w:eastAsia="Verdana" w:cs="Verdana"/>
                <w:color w:val="252C65"/>
                <w:sz w:val="16"/>
                <w:szCs w:val="16"/>
              </w:rPr>
              <w:t>One consequence of increased employment may be a reduction in the probability of moving overseas (eg to Australia to find work).</w:t>
            </w:r>
          </w:p>
        </w:tc>
      </w:tr>
    </w:tbl>
    <w:p w14:paraId="567A92D0" w14:textId="77777777" w:rsidR="005879B1" w:rsidRDefault="00A97397">
      <w:pPr>
        <w:pStyle w:val="Heading2"/>
      </w:pPr>
      <w:bookmarkStart w:id="37" w:name="_Toc197957605"/>
      <w:bookmarkStart w:id="38" w:name="income"/>
      <w:r>
        <w:t>Income</w:t>
      </w:r>
      <w:bookmarkEnd w:id="37"/>
    </w:p>
    <w:p w14:paraId="375F0716" w14:textId="77777777" w:rsidR="005879B1" w:rsidRDefault="00A97397">
      <w:r>
        <w:t>Total income is an important measure of a family’s overall wellbeing. In the current analysis, we are restricted to looking at the income of individuals only. Ideally, we would like to measure household income to better account for the overall material wellbeing of individuals (eg supporting children or non-working household members). However, we have not yet developed a suitable measure of household income that can be used for the evaluation of EA interventions.</w:t>
      </w:r>
    </w:p>
    <w:p w14:paraId="539FA272" w14:textId="77777777" w:rsidR="005879B1" w:rsidRDefault="00A97397">
      <w:pPr>
        <w:pStyle w:val="Heading3"/>
      </w:pPr>
      <w:bookmarkStart w:id="39" w:name="net-income-from-all-sources"/>
      <w:r>
        <w:t>Net income from all sources</w:t>
      </w:r>
    </w:p>
    <w:p w14:paraId="2E27C5E2" w14:textId="77777777" w:rsidR="005879B1" w:rsidRDefault="00A97397">
      <w:r>
        <w:t>Net income from all sources is the main outcome measure. It includes all sources of income but excludes the drawdown of student loans. Income is net of tax. The measure was based on Inland Revenue (IR) and MSD data provided to the SNZ IDI.</w:t>
      </w:r>
    </w:p>
    <w:p w14:paraId="46DF3A1B" w14:textId="77777777" w:rsidR="005879B1" w:rsidRDefault="00A97397">
      <w:pPr>
        <w:pStyle w:val="BodyText"/>
      </w:pPr>
      <w:r>
        <w:t>The current income measures include:</w:t>
      </w:r>
    </w:p>
    <w:p w14:paraId="7CC4F0D3" w14:textId="77777777" w:rsidR="005879B1" w:rsidRDefault="00A97397" w:rsidP="004357B9">
      <w:pPr>
        <w:numPr>
          <w:ilvl w:val="0"/>
          <w:numId w:val="12"/>
        </w:numPr>
      </w:pPr>
      <w:r>
        <w:rPr>
          <w:b/>
          <w:bCs/>
        </w:rPr>
        <w:t>Employer Month Schedule (EMS)</w:t>
      </w:r>
      <w:r>
        <w:t>: New Zealand operates a Pay As You Earn tax system. Accordingly, all employers provide IR with monthly schedules of the earnings of all their employees. In addition to employee earnings, the EMS also includes taxable income support (main benefit), Accident Compensation Corporation (ACC) and pension payments.</w:t>
      </w:r>
    </w:p>
    <w:p w14:paraId="2A57D8BF" w14:textId="77777777" w:rsidR="005879B1" w:rsidRDefault="00A97397" w:rsidP="004357B9">
      <w:pPr>
        <w:numPr>
          <w:ilvl w:val="0"/>
          <w:numId w:val="12"/>
        </w:numPr>
      </w:pPr>
      <w:r>
        <w:rPr>
          <w:b/>
          <w:bCs/>
        </w:rPr>
        <w:t>Self-employment and company earnings</w:t>
      </w:r>
      <w:r>
        <w:t xml:space="preserve">: people who run their own business or company are also required to file annual tax returns. In the analysis, these annual returns are converted into monthly </w:t>
      </w:r>
      <w:r>
        <w:lastRenderedPageBreak/>
        <w:t>spells with annual totals split equally across the 12 months of the tax year. There can be considerable lags in the lodging of self-employment earnings that can mean measures of income for the most recent periods underestimate actual income. Note, however, because we update the analysis regularly the results incorporate these lags in reported earnings in later updates.</w:t>
      </w:r>
    </w:p>
    <w:p w14:paraId="0722E83D" w14:textId="77777777" w:rsidR="005879B1" w:rsidRDefault="00A97397" w:rsidP="004357B9">
      <w:pPr>
        <w:numPr>
          <w:ilvl w:val="0"/>
          <w:numId w:val="12"/>
        </w:numPr>
      </w:pPr>
      <w:r>
        <w:rPr>
          <w:b/>
          <w:bCs/>
        </w:rPr>
        <w:t>Non-taxable income support payments</w:t>
      </w:r>
      <w:r>
        <w:t>: not all income support payments are subject to tax. Second-tier assistance, such as the Accommodation Supplement and third tier or ad hoc assistance such as Emergency Food Grants are not taxed. For hardship payments, we exclude recoverable assistance, as these are advances on main benefits. Recoverable payments will either be reflected in lower main benefit payments or, if the person moves off a main benefit, in the form of an income support debt. At present, we do not have reliable data on income support debt.</w:t>
      </w:r>
    </w:p>
    <w:p w14:paraId="61341F42" w14:textId="77777777" w:rsidR="005879B1" w:rsidRDefault="00A97397">
      <w:r>
        <w:t>Income sources not covered by the current measure:</w:t>
      </w:r>
    </w:p>
    <w:p w14:paraId="27A02289" w14:textId="77777777" w:rsidR="005879B1" w:rsidRDefault="00A97397" w:rsidP="004357B9">
      <w:pPr>
        <w:numPr>
          <w:ilvl w:val="0"/>
          <w:numId w:val="13"/>
        </w:numPr>
      </w:pPr>
      <w:r>
        <w:rPr>
          <w:b/>
          <w:bCs/>
        </w:rPr>
        <w:t>Tax credits</w:t>
      </w:r>
      <w:r>
        <w:t>: in the current analysis we have not included tax credits. IR has recently supplied tax-credit datasets to the IDI and we are in the process of developing business rules to extract this information.</w:t>
      </w:r>
    </w:p>
    <w:p w14:paraId="4559A967" w14:textId="77777777" w:rsidR="005879B1" w:rsidRDefault="00A97397" w:rsidP="004357B9">
      <w:pPr>
        <w:numPr>
          <w:ilvl w:val="0"/>
          <w:numId w:val="13"/>
        </w:numPr>
      </w:pPr>
      <w:r>
        <w:rPr>
          <w:b/>
          <w:bCs/>
        </w:rPr>
        <w:t>Child Support</w:t>
      </w:r>
      <w:r>
        <w:t>: transfer payments between custodial and non-custodial parents that are administered by IR.</w:t>
      </w:r>
    </w:p>
    <w:p w14:paraId="1BC4A0C6" w14:textId="77777777" w:rsidR="005879B1" w:rsidRDefault="00A97397" w:rsidP="004357B9">
      <w:pPr>
        <w:numPr>
          <w:ilvl w:val="0"/>
          <w:numId w:val="13"/>
        </w:numPr>
      </w:pPr>
      <w:r>
        <w:rPr>
          <w:b/>
          <w:bCs/>
        </w:rPr>
        <w:t>Non-taxable income support payments to people over 65</w:t>
      </w:r>
      <w:r>
        <w:t>: current income support data supplied by MSD to the IDI exclude payments to people on New Zealand Superannuation or Veteran’s benefit.</w:t>
      </w:r>
    </w:p>
    <w:p w14:paraId="615882ED" w14:textId="77777777" w:rsidR="005879B1" w:rsidRDefault="00A97397" w:rsidP="004357B9">
      <w:pPr>
        <w:numPr>
          <w:ilvl w:val="0"/>
          <w:numId w:val="13"/>
        </w:numPr>
      </w:pPr>
      <w:r>
        <w:rPr>
          <w:b/>
          <w:bCs/>
        </w:rPr>
        <w:t>Illegal and undeclared income</w:t>
      </w:r>
      <w:r>
        <w:t>: the IDI data does not cover income from informal or illegal activities, including tax evasion.</w:t>
      </w:r>
    </w:p>
    <w:p w14:paraId="1BA3A461" w14:textId="77777777" w:rsidR="005879B1" w:rsidRDefault="00A97397">
      <w:pPr>
        <w:pStyle w:val="Heading3"/>
      </w:pPr>
      <w:bookmarkStart w:id="40" w:name="income-support-received-after-tax"/>
      <w:bookmarkEnd w:id="39"/>
      <w:r>
        <w:t>Income support received after tax</w:t>
      </w:r>
    </w:p>
    <w:p w14:paraId="6FE5CE63" w14:textId="77777777" w:rsidR="005879B1" w:rsidRDefault="00A97397">
      <w:r>
        <w:t>Income support payments are both taxable and non-taxable. For consistency, we calculate the total amount of income support a person receives after tax. Because of data limitations, income support only includes second and third-tier income support payments for working-age people. By using IR data, we can include income support payments for people receiving New Zealand Superannuation payments. As noted above, we have not yet included tax credits into this measure.</w:t>
      </w:r>
    </w:p>
    <w:p w14:paraId="5E2BB229" w14:textId="77777777" w:rsidR="005879B1" w:rsidRDefault="00A97397">
      <w:pPr>
        <w:pStyle w:val="Heading2"/>
      </w:pPr>
      <w:bookmarkStart w:id="41" w:name="_Toc197957606"/>
      <w:bookmarkStart w:id="42" w:name="employment"/>
      <w:bookmarkEnd w:id="40"/>
      <w:bookmarkEnd w:id="38"/>
      <w:r>
        <w:lastRenderedPageBreak/>
        <w:t>Employment</w:t>
      </w:r>
      <w:bookmarkEnd w:id="41"/>
    </w:p>
    <w:p w14:paraId="4D5EB505" w14:textId="77777777" w:rsidR="005879B1" w:rsidRDefault="00A97397">
      <w:pPr>
        <w:pStyle w:val="Heading3"/>
      </w:pPr>
      <w:bookmarkStart w:id="43" w:name="any-time-in-employment"/>
      <w:r>
        <w:t>Any time in employment</w:t>
      </w:r>
    </w:p>
    <w:p w14:paraId="455370C2" w14:textId="77777777" w:rsidR="005879B1" w:rsidRDefault="00A97397">
      <w:r>
        <w:t>Employment is based on the period that people declare income from employment or self-employment. Note that employment spells are based on either monthly or annual periods so we may be overstating or understating the actual time a person is in employment depending on where in the month or tax year they started or ended employment. At present, we have not attempted to adjust for this (eg by looking at the following or subsequent month to identify the likely start and end periods).</w:t>
      </w:r>
    </w:p>
    <w:p w14:paraId="2D19AA8E" w14:textId="77777777" w:rsidR="005879B1" w:rsidRDefault="00A97397">
      <w:pPr>
        <w:pStyle w:val="BodyText"/>
      </w:pPr>
      <w:r>
        <w:t>There are also lags in lodging tax returns, with these most pronounced for annual returns. We choose not to censor our analysis period to accommodate these lags and instead rely on regular updates to the analysis to incorporate delayed tax data into the results.</w:t>
      </w:r>
    </w:p>
    <w:p w14:paraId="4CB0C886" w14:textId="77777777" w:rsidR="005879B1" w:rsidRDefault="00A97397">
      <w:pPr>
        <w:pStyle w:val="Heading3"/>
      </w:pPr>
      <w:bookmarkStart w:id="44" w:name="time-in-employment-while-on-main-benefit"/>
      <w:bookmarkEnd w:id="43"/>
      <w:r>
        <w:t>Time in employment while on main benefit</w:t>
      </w:r>
    </w:p>
    <w:p w14:paraId="3509ACB3" w14:textId="77777777" w:rsidR="005879B1" w:rsidRDefault="00A97397">
      <w:r>
        <w:t>Here we include periods where a person is both on main benefit and receiving employment income. Sole parent benefits are designed to allow people to remain entitled while earning relatively high levels of income from employment. Similarly, people on health and disability-related benefits may only be able to work part-time.</w:t>
      </w:r>
    </w:p>
    <w:p w14:paraId="4F3317B5" w14:textId="77777777" w:rsidR="005879B1" w:rsidRDefault="00A97397">
      <w:pPr>
        <w:pStyle w:val="Heading3"/>
      </w:pPr>
      <w:bookmarkStart w:id="45" w:name="X33bd149ce4dd249843e1a0a0789fef54039fb8e"/>
      <w:bookmarkEnd w:id="44"/>
      <w:r>
        <w:t>Time in employment and independent of Work and Income</w:t>
      </w:r>
    </w:p>
    <w:p w14:paraId="76215BEF" w14:textId="77777777" w:rsidR="005879B1" w:rsidRDefault="00A97397">
      <w:r>
        <w:t>Here we are interested in employment without support from main benefits or employment assistance. This measure is particularly useful when looking at subsidy-based interventions that mean participants are in employment but are supported indirectly through a subsidy.</w:t>
      </w:r>
    </w:p>
    <w:p w14:paraId="78D0D037" w14:textId="77777777" w:rsidR="005879B1" w:rsidRDefault="00A97397">
      <w:pPr>
        <w:pStyle w:val="Heading2"/>
      </w:pPr>
      <w:bookmarkStart w:id="46" w:name="_Toc197957607"/>
      <w:bookmarkStart w:id="47" w:name="justice"/>
      <w:bookmarkEnd w:id="45"/>
      <w:bookmarkEnd w:id="42"/>
      <w:r>
        <w:t>Justice</w:t>
      </w:r>
      <w:bookmarkEnd w:id="46"/>
    </w:p>
    <w:p w14:paraId="7DD0B980" w14:textId="77777777" w:rsidR="005879B1" w:rsidRDefault="00A97397">
      <w:r>
        <w:t>We have two sources of information on justice outcomes: police offending and periods under Corrections supervision. These data are also obtained from the SNZ IDI.</w:t>
      </w:r>
    </w:p>
    <w:p w14:paraId="4B695684" w14:textId="77777777" w:rsidR="005879B1" w:rsidRDefault="00A97397">
      <w:pPr>
        <w:pStyle w:val="Heading3"/>
      </w:pPr>
      <w:bookmarkStart w:id="48" w:name="any-offence"/>
      <w:r>
        <w:t>Any offence</w:t>
      </w:r>
    </w:p>
    <w:p w14:paraId="2328D8E7" w14:textId="77777777" w:rsidR="005879B1" w:rsidRDefault="00A97397">
      <w:r>
        <w:t>This measure is based on Police data of people who are arrested for an offence (but may not result in a prosecution). Note that offending data is only available from 2009.</w:t>
      </w:r>
    </w:p>
    <w:p w14:paraId="7115CC50" w14:textId="77777777" w:rsidR="005879B1" w:rsidRDefault="00A97397">
      <w:pPr>
        <w:pStyle w:val="Heading3"/>
      </w:pPr>
      <w:bookmarkStart w:id="49" w:name="time-spent-in-any-corrections-spell"/>
      <w:bookmarkEnd w:id="48"/>
      <w:r>
        <w:lastRenderedPageBreak/>
        <w:t>Time spent in any Corrections spell</w:t>
      </w:r>
    </w:p>
    <w:p w14:paraId="6C4C1451" w14:textId="77777777" w:rsidR="005879B1" w:rsidRDefault="00A97397">
      <w:r>
        <w:t>This includes any spell under Corrections supervision and covers periods of custodial and non-custodial supervision (such as prison, Community Service, home detention, remand, parole, and Periodic Detention).</w:t>
      </w:r>
    </w:p>
    <w:p w14:paraId="3DB45FFC" w14:textId="77777777" w:rsidR="005879B1" w:rsidRDefault="00A97397">
      <w:pPr>
        <w:pStyle w:val="Heading3"/>
      </w:pPr>
      <w:bookmarkStart w:id="50" w:name="time-spent-in-prison"/>
      <w:bookmarkEnd w:id="49"/>
      <w:r>
        <w:t>Time spent in prison</w:t>
      </w:r>
    </w:p>
    <w:p w14:paraId="4BD32A6D" w14:textId="77777777" w:rsidR="005879B1" w:rsidRDefault="00A97397">
      <w:r>
        <w:t>An important subset of Corrections supervision spells is time spent in prison. Accordingly, we also include time spent in prison as a separate outcome.</w:t>
      </w:r>
    </w:p>
    <w:p w14:paraId="7F0F764E" w14:textId="77777777" w:rsidR="005879B1" w:rsidRDefault="00A97397">
      <w:pPr>
        <w:pStyle w:val="Heading2"/>
      </w:pPr>
      <w:bookmarkStart w:id="51" w:name="_Toc197957608"/>
      <w:bookmarkStart w:id="52" w:name="education-qualifications"/>
      <w:bookmarkEnd w:id="50"/>
      <w:bookmarkEnd w:id="47"/>
      <w:r>
        <w:t>Education qualifications</w:t>
      </w:r>
      <w:bookmarkEnd w:id="51"/>
    </w:p>
    <w:p w14:paraId="0F3A7EF5" w14:textId="77777777" w:rsidR="005879B1" w:rsidRDefault="00A97397">
      <w:r>
        <w:t>Educational achievement information is based on secondary and tertiary qualifications achieved. We include school, tertiary, industry training and targeted training qualifications data. There is a considerable reporting lag for qualifications data in the SNZ IDI, and normally qualifications data are out of date by over 12 months. Also, qualification data only provides the year the qualification was attained. In our analysis, we assume that the qualification was attained at the end of the year (ie 31 December). For analysis of intervention impacts, we exclude qualifications gained in the year the participant started the intervention as we cannot know whether they achieved the qualification before or after starting the intervention.</w:t>
      </w:r>
    </w:p>
    <w:p w14:paraId="522530C7" w14:textId="77777777" w:rsidR="005879B1" w:rsidRDefault="00A97397">
      <w:pPr>
        <w:pStyle w:val="BodyText"/>
      </w:pPr>
      <w:r>
        <w:t>Here we assume that gains in education qualifications reflect improvements in human capital. This may not always be the case. For example, analysis by Crichton (2013) found people on income support who achieved low-level qualifications (NQF3 and below) appeared not to gain any benefit in terms of subsequent employment or income. Similarly, this measure ignores any human capital gained through informal means.</w:t>
      </w:r>
    </w:p>
    <w:p w14:paraId="77CD2FD6" w14:textId="77777777" w:rsidR="005879B1" w:rsidRDefault="00A97397">
      <w:pPr>
        <w:pStyle w:val="Heading3"/>
      </w:pPr>
      <w:bookmarkStart w:id="53" w:name="X2f20854bacbed656c8f5d45093d9157ab67a074"/>
      <w:r>
        <w:t>Qualifications achieved at NZQCF Levels 2, 3, 4</w:t>
      </w:r>
    </w:p>
    <w:p w14:paraId="15B11403" w14:textId="77777777" w:rsidR="005879B1" w:rsidRDefault="00A97397">
      <w:r>
        <w:t>For each person, we construct spells when they have achieved a specified minimum NZQCF level. NZQCF levels start at 1 (first national school assessment) through to 9 (doctorate). For each individual, we identify the date they first achieved the specific NQF level.</w:t>
      </w:r>
    </w:p>
    <w:p w14:paraId="455986E3" w14:textId="77777777" w:rsidR="005879B1" w:rsidRDefault="00A97397">
      <w:pPr>
        <w:pStyle w:val="Heading3"/>
      </w:pPr>
      <w:bookmarkStart w:id="54" w:name="highest-nzqcf-level"/>
      <w:bookmarkEnd w:id="53"/>
      <w:r>
        <w:t>Highest NZQCF level</w:t>
      </w:r>
    </w:p>
    <w:p w14:paraId="16989D77" w14:textId="77777777" w:rsidR="005879B1" w:rsidRDefault="00A97397">
      <w:r>
        <w:t>The highest NZQCF level is the highest NZQCF level achieved by a person at a specific date. From this measure, we can calculate the average NZQCF level achieved by the participant and comparison group of an EA intervention.</w:t>
      </w:r>
    </w:p>
    <w:p w14:paraId="77DDA064" w14:textId="77777777" w:rsidR="005879B1" w:rsidRDefault="00A97397">
      <w:pPr>
        <w:pStyle w:val="Heading2"/>
      </w:pPr>
      <w:bookmarkStart w:id="55" w:name="_Toc197957609"/>
      <w:bookmarkStart w:id="56" w:name="education-participation"/>
      <w:bookmarkEnd w:id="54"/>
      <w:bookmarkEnd w:id="52"/>
      <w:r>
        <w:lastRenderedPageBreak/>
        <w:t>Education participation</w:t>
      </w:r>
      <w:bookmarkEnd w:id="55"/>
    </w:p>
    <w:p w14:paraId="0C5F0515" w14:textId="77777777" w:rsidR="005879B1" w:rsidRDefault="00A97397">
      <w:r>
        <w:t>Participation in further education and training provides an early indication of whether people are engaged in developing their human capital. The unit of measurement for this outcome is the number of days enrolled. However, people may not be attending training even when they are enrolled.</w:t>
      </w:r>
    </w:p>
    <w:p w14:paraId="3452A7B5" w14:textId="77777777" w:rsidR="005879B1" w:rsidRDefault="00A97397">
      <w:pPr>
        <w:pStyle w:val="Heading3"/>
      </w:pPr>
      <w:bookmarkStart w:id="57" w:name="X5a2bd561f8c4399905cfdf9e8d0a6fe248f8fcd"/>
      <w:r>
        <w:t>Time spent in any education participation</w:t>
      </w:r>
    </w:p>
    <w:p w14:paraId="61F8A39E" w14:textId="77777777" w:rsidR="005879B1" w:rsidRDefault="00A97397">
      <w:r>
        <w:t>For any education participation, we combine all education spells in school, tertiary, industry training and targeted training.</w:t>
      </w:r>
    </w:p>
    <w:p w14:paraId="1AA9CE93" w14:textId="77777777" w:rsidR="005879B1" w:rsidRDefault="00A97397">
      <w:pPr>
        <w:pStyle w:val="Heading3"/>
      </w:pPr>
      <w:bookmarkStart w:id="58" w:name="Xd9dfb4363298727ec7aa5b1aa6174baf2aedcf2"/>
      <w:bookmarkEnd w:id="57"/>
      <w:r>
        <w:t>Time spent in education while off benefit</w:t>
      </w:r>
    </w:p>
    <w:p w14:paraId="7F669FA3" w14:textId="77777777" w:rsidR="005879B1" w:rsidRDefault="00A97397">
      <w:r>
        <w:t>Education participation spells where a person is also off a main benefit (based on benefit entitlement spells).</w:t>
      </w:r>
    </w:p>
    <w:p w14:paraId="1F071FEF" w14:textId="77777777" w:rsidR="005879B1" w:rsidRDefault="00A97397">
      <w:pPr>
        <w:pStyle w:val="Heading3"/>
      </w:pPr>
      <w:bookmarkStart w:id="59" w:name="education-participation-nzqcf4"/>
      <w:bookmarkEnd w:id="58"/>
      <w:r>
        <w:t>Education participation NZQCF4</w:t>
      </w:r>
    </w:p>
    <w:p w14:paraId="6F60E711" w14:textId="77777777" w:rsidR="005879B1" w:rsidRDefault="00A97397">
      <w:r>
        <w:t>Time spent participating in education courses at NZQCF Level 4 or above (broadly equivalent to post-school qualifications).</w:t>
      </w:r>
    </w:p>
    <w:p w14:paraId="738D6FCF" w14:textId="77777777" w:rsidR="005879B1" w:rsidRDefault="00A97397">
      <w:pPr>
        <w:pStyle w:val="Heading2"/>
      </w:pPr>
      <w:bookmarkStart w:id="60" w:name="_Toc197957610"/>
      <w:bookmarkStart w:id="61" w:name="welfare"/>
      <w:bookmarkEnd w:id="59"/>
      <w:bookmarkEnd w:id="56"/>
      <w:r>
        <w:t>Welfare</w:t>
      </w:r>
      <w:bookmarkEnd w:id="60"/>
    </w:p>
    <w:p w14:paraId="14074320" w14:textId="77777777" w:rsidR="005879B1" w:rsidRDefault="00A97397">
      <w:r>
        <w:t>Welfare covers the cost of income support payments. In this analysis income support payments include main benefits, supplementary assistance and one-off payments (non-recoverable), but excludes tax-credits paid by IR as well as study assistance such as Student Allowance.</w:t>
      </w:r>
    </w:p>
    <w:p w14:paraId="75A6DDE4" w14:textId="77777777" w:rsidR="005879B1" w:rsidRDefault="00A97397">
      <w:pPr>
        <w:pStyle w:val="Heading3"/>
      </w:pPr>
      <w:bookmarkStart w:id="62" w:name="income-support-payments"/>
      <w:r>
        <w:t>Income support payments</w:t>
      </w:r>
    </w:p>
    <w:p w14:paraId="1D9B67AB" w14:textId="77777777" w:rsidR="005879B1" w:rsidRDefault="00A97397">
      <w:r>
        <w:t>All income support payments for main benefits as well as supplementary and one-off payments. For one-off payments only non-recoverable payments are included. Income support payments are net of tax.</w:t>
      </w:r>
    </w:p>
    <w:p w14:paraId="6DE4DE10" w14:textId="77777777" w:rsidR="005879B1" w:rsidRDefault="00A97397">
      <w:pPr>
        <w:pStyle w:val="Heading2"/>
      </w:pPr>
      <w:bookmarkStart w:id="63" w:name="_Toc197957611"/>
      <w:bookmarkStart w:id="64" w:name="driver-licence-status"/>
      <w:bookmarkEnd w:id="62"/>
      <w:bookmarkEnd w:id="61"/>
      <w:r>
        <w:t>Driver licence status</w:t>
      </w:r>
      <w:bookmarkEnd w:id="63"/>
    </w:p>
    <w:p w14:paraId="00280EF1" w14:textId="77777777" w:rsidR="005879B1" w:rsidRDefault="00A97397">
      <w:r>
        <w:t>We can measure progress through the New Zealand driver licence graduation system. The system started in 1984 and has been through several changes. People go through learner and restricted licence stages before getting a full licence.</w:t>
      </w:r>
    </w:p>
    <w:p w14:paraId="1BD1E23C" w14:textId="77777777" w:rsidR="005879B1" w:rsidRDefault="00A97397">
      <w:pPr>
        <w:pStyle w:val="Heading3"/>
      </w:pPr>
      <w:bookmarkStart w:id="65" w:name="Xe648210c3fa7870d6cc4b4addf724e12bce420e"/>
      <w:r>
        <w:lastRenderedPageBreak/>
        <w:t>Time spent while holding a learner’s, restricted and full licence</w:t>
      </w:r>
    </w:p>
    <w:p w14:paraId="5DE0D17E" w14:textId="77777777" w:rsidR="005879B1" w:rsidRDefault="00A97397">
      <w:r>
        <w:t>We can track the number of days spent at each driver licence stage that enables us to accurately track people’s progression towards a full driver licence over time.</w:t>
      </w:r>
    </w:p>
    <w:p w14:paraId="14D1B1C2" w14:textId="77777777" w:rsidR="005879B1" w:rsidRDefault="00A97397">
      <w:pPr>
        <w:pStyle w:val="Heading2"/>
      </w:pPr>
      <w:bookmarkStart w:id="66" w:name="_Toc197957612"/>
      <w:bookmarkStart w:id="67" w:name="tracking-outcomes-longitudinally"/>
      <w:bookmarkEnd w:id="65"/>
      <w:bookmarkEnd w:id="64"/>
      <w:r>
        <w:t>Tracking outcomes longitudinally</w:t>
      </w:r>
      <w:bookmarkEnd w:id="66"/>
    </w:p>
    <w:p w14:paraId="4B9D10EE" w14:textId="77777777" w:rsidR="005879B1" w:rsidRDefault="00A97397">
      <w:r>
        <w:t>It is useful at this point to explain how we analyse the outcomes relative to participation in EA interventions. The outcomes described in the previous section are all longitudinal. Therefore, we can measure outcomes at multiple points in time rather than being limited to a small number of measurement periods as would be the case for survey-based outcome measures.</w:t>
      </w:r>
    </w:p>
    <w:p w14:paraId="639F4FCD" w14:textId="77777777" w:rsidR="005879B1" w:rsidRDefault="00A97397">
      <w:pPr>
        <w:pStyle w:val="BodyText"/>
      </w:pPr>
      <w:r>
        <w:t>This flexibility allows us to track outcomes relative to participation start dates as shown in Figure 1. The first point to make is that we measure outcomes from when people start an intervention, and this is defined as zero on our timeline (we explain why below). From the zero point, we can then create a series of lapse periods that represent the periods before and after the participation start date. Based on this timeline, we can measure outcomes in two ways: interval and cumulative.</w:t>
      </w:r>
    </w:p>
    <w:p w14:paraId="1F19E18B" w14:textId="439FF406" w:rsidR="00435ECC" w:rsidRDefault="00435ECC" w:rsidP="00435ECC">
      <w:pPr>
        <w:pStyle w:val="Caption"/>
      </w:pPr>
      <w:r w:rsidRPr="00435ECC">
        <w:rPr>
          <w:b/>
          <w:bCs/>
        </w:rPr>
        <w:t>Figure 1</w:t>
      </w:r>
      <w:r>
        <w:t xml:space="preserve">: Tracking EA intervention outcomes using administrative </w:t>
      </w:r>
      <w:proofErr w:type="gramStart"/>
      <w:r>
        <w:t>data</w:t>
      </w:r>
      <w:proofErr w:type="gramEnd"/>
    </w:p>
    <w:p w14:paraId="71C56767" w14:textId="77777777" w:rsidR="005879B1" w:rsidRDefault="00A97397">
      <w:r>
        <w:rPr>
          <w:noProof/>
        </w:rPr>
        <w:drawing>
          <wp:inline distT="0" distB="0" distL="0" distR="0" wp14:anchorId="49937364" wp14:editId="38BE9E97">
            <wp:extent cx="5384800" cy="1452515"/>
            <wp:effectExtent l="0" t="0" r="0" b="0"/>
            <wp:docPr id="74" name="Picture" descr="Figure 1: Tracking EA intervention outcomes using administrative data"/>
            <wp:cNvGraphicFramePr/>
            <a:graphic xmlns:a="http://schemas.openxmlformats.org/drawingml/2006/main">
              <a:graphicData uri="http://schemas.openxmlformats.org/drawingml/2006/picture">
                <pic:pic xmlns:pic="http://schemas.openxmlformats.org/drawingml/2006/picture">
                  <pic:nvPicPr>
                    <pic:cNvPr id="75" name="Picture" descr="../figures/lapse_period_explainer.png"/>
                    <pic:cNvPicPr>
                      <a:picLocks noChangeAspect="1" noChangeArrowheads="1"/>
                    </pic:cNvPicPr>
                  </pic:nvPicPr>
                  <pic:blipFill>
                    <a:blip r:embed="rId10"/>
                    <a:stretch>
                      <a:fillRect/>
                    </a:stretch>
                  </pic:blipFill>
                  <pic:spPr bwMode="auto">
                    <a:xfrm>
                      <a:off x="0" y="0"/>
                      <a:ext cx="5384800" cy="1452515"/>
                    </a:xfrm>
                    <a:prstGeom prst="rect">
                      <a:avLst/>
                    </a:prstGeom>
                    <a:noFill/>
                    <a:ln w="9525">
                      <a:noFill/>
                      <a:headEnd/>
                      <a:tailEnd/>
                    </a:ln>
                  </pic:spPr>
                </pic:pic>
              </a:graphicData>
            </a:graphic>
          </wp:inline>
        </w:drawing>
      </w:r>
    </w:p>
    <w:p w14:paraId="13BA3D04" w14:textId="77777777" w:rsidR="005879B1" w:rsidRDefault="00A97397">
      <w:pPr>
        <w:pStyle w:val="Heading3"/>
      </w:pPr>
      <w:bookmarkStart w:id="68" w:name="fig:lapse-period-explainer"/>
      <w:bookmarkStart w:id="69" w:name="interval-outcomes"/>
      <w:bookmarkEnd w:id="68"/>
      <w:r>
        <w:t>Interval outcomes</w:t>
      </w:r>
    </w:p>
    <w:p w14:paraId="6AC3824A" w14:textId="77777777" w:rsidR="005879B1" w:rsidRDefault="00A97397">
      <w:r>
        <w:t>Interval outcomes are measured within a discrete lapse period, for example, the amount of income a person earned in the 12th month after starting an intervention. These intervals can vary in duration from one day to any period, but for EA interventions we usually use 30-day intervals. Figure 2 below shows, for Training Incentive Allowance (TIA), the percentage of each lapse interval that the participant and comparison group spend in employment. For example, at one year before starting TIA, the participants spent 27±1.0% of the period in any employment, while this proportion was 26±1.0% for the comparison group.</w:t>
      </w:r>
    </w:p>
    <w:p w14:paraId="696A47CB" w14:textId="77777777" w:rsidR="005879B1" w:rsidRDefault="00A97397">
      <w:pPr>
        <w:pStyle w:val="BodyText"/>
      </w:pPr>
      <w:r>
        <w:lastRenderedPageBreak/>
        <w:t>Tracking interval outcomes is most useful in understanding the dynamic relationship between the intervention and the outcome in question. The purpose of EA interventions is to change the outcome trajectories of participants. Looking at how outcomes change in each lapse interval before and after commencing an intervention provides important information on the likely behavioural responses to the intervention.</w:t>
      </w:r>
    </w:p>
    <w:p w14:paraId="2D511AB4" w14:textId="77777777" w:rsidR="005879B1" w:rsidRDefault="00A97397">
      <w:pPr>
        <w:pStyle w:val="BodyText"/>
      </w:pPr>
      <w:r>
        <w:t>To return to the TIA example in Figure 2, we can see that the employment outcomes of participants are less than that of the comparison over the initial six months after starting TIA (lock-in effect). However, over later intervals, the outcomes of the participants exceed that of the comparison group. In other words, after completing the intervention participants are more likely to be in employment than the comparison group.</w:t>
      </w:r>
    </w:p>
    <w:p w14:paraId="4E1F81C6" w14:textId="74D2455A" w:rsidR="00435ECC" w:rsidRDefault="00435ECC" w:rsidP="00435ECC">
      <w:pPr>
        <w:pStyle w:val="Caption"/>
      </w:pPr>
      <w:r w:rsidRPr="00435ECC">
        <w:rPr>
          <w:b/>
          <w:bCs/>
        </w:rPr>
        <w:t>Figure 2</w:t>
      </w:r>
      <w:r>
        <w:t>: Interval employment outcomes for Training Incentive Allowance 2007 participants and matched comparison group</w:t>
      </w:r>
    </w:p>
    <w:p w14:paraId="1B7A2AB5" w14:textId="77777777" w:rsidR="005879B1" w:rsidRDefault="00A97397">
      <w:r>
        <w:rPr>
          <w:noProof/>
        </w:rPr>
        <w:drawing>
          <wp:inline distT="0" distB="0" distL="0" distR="0" wp14:anchorId="03D6E9D7" wp14:editId="66D58E8E">
            <wp:extent cx="5384800" cy="3589866"/>
            <wp:effectExtent l="0" t="0" r="0" b="0"/>
            <wp:docPr id="78" name="Picture" descr="Figure 2: Interval employment outcomes for Training Incentive Allowance 2007 participants and matched comparison group"/>
            <wp:cNvGraphicFramePr/>
            <a:graphic xmlns:a="http://schemas.openxmlformats.org/drawingml/2006/main">
              <a:graphicData uri="http://schemas.openxmlformats.org/drawingml/2006/picture">
                <pic:pic xmlns:pic="http://schemas.openxmlformats.org/drawingml/2006/picture">
                  <pic:nvPicPr>
                    <pic:cNvPr id="79" name="Picture" descr="fy23_ea_effectiveness_technical_report_files/figure-docx/lp-outcomes-int-1.png"/>
                    <pic:cNvPicPr>
                      <a:picLocks noChangeAspect="1" noChangeArrowheads="1"/>
                    </pic:cNvPicPr>
                  </pic:nvPicPr>
                  <pic:blipFill>
                    <a:blip r:embed="rId11"/>
                    <a:stretch>
                      <a:fillRect/>
                    </a:stretch>
                  </pic:blipFill>
                  <pic:spPr bwMode="auto">
                    <a:xfrm>
                      <a:off x="0" y="0"/>
                      <a:ext cx="5384800" cy="3589866"/>
                    </a:xfrm>
                    <a:prstGeom prst="rect">
                      <a:avLst/>
                    </a:prstGeom>
                    <a:noFill/>
                    <a:ln w="9525">
                      <a:noFill/>
                      <a:headEnd/>
                      <a:tailEnd/>
                    </a:ln>
                  </pic:spPr>
                </pic:pic>
              </a:graphicData>
            </a:graphic>
          </wp:inline>
        </w:drawing>
      </w:r>
    </w:p>
    <w:p w14:paraId="7E9809E6" w14:textId="77777777" w:rsidR="005879B1" w:rsidRDefault="00A97397">
      <w:pPr>
        <w:pStyle w:val="Heading3"/>
      </w:pPr>
      <w:bookmarkStart w:id="70" w:name="fig:lp-outcomes-int"/>
      <w:bookmarkStart w:id="71" w:name="cumulative-outcomes"/>
      <w:bookmarkEnd w:id="70"/>
      <w:bookmarkEnd w:id="69"/>
      <w:r>
        <w:t>Cumulative outcomes</w:t>
      </w:r>
    </w:p>
    <w:p w14:paraId="29C0C5FA" w14:textId="77777777" w:rsidR="005879B1" w:rsidRDefault="00A97397">
      <w:r>
        <w:t>While interval outcomes are useful to understand how outcomes and impacts change relative to when people start an intervention, they do not allow us to quantify the overall impact of an intervention. To make summative judgements we use cumulative outcomes. As Figure 1 shows, cumulative outcomes start from period zero to each subsequent follow-up period. For example, how much income did participants receive over the 12 months after starting the intervention?</w:t>
      </w:r>
    </w:p>
    <w:p w14:paraId="6377C064" w14:textId="77777777" w:rsidR="005879B1" w:rsidRDefault="00A97397">
      <w:pPr>
        <w:pStyle w:val="BodyText"/>
      </w:pPr>
      <w:r>
        <w:lastRenderedPageBreak/>
        <w:t>Figure 3 shows the cumulative outcomes for the same participant and comparison groups in TIA as illustrated in Figure 2 above. Cumulative outcome measures only cover the period after participation start and not before. Figure 3 shows the average months over each successive period after starting the intervention that participants and comparison spent in employment. At the end of two years, participants spent an average of 7.80±0.20 mths, increasing to 63.0±1.40 mths after twelve years. In other words, the cumulative outcomes are simply the sum of the outcomes achieved in each successive interval after the intervention started.</w:t>
      </w:r>
    </w:p>
    <w:p w14:paraId="1C3AAD6E" w14:textId="5900BC69" w:rsidR="00435ECC" w:rsidRDefault="00435ECC" w:rsidP="00435ECC">
      <w:pPr>
        <w:pStyle w:val="Caption"/>
      </w:pPr>
      <w:r w:rsidRPr="00435ECC">
        <w:rPr>
          <w:b/>
          <w:bCs/>
        </w:rPr>
        <w:t>Figure 3</w:t>
      </w:r>
      <w:r>
        <w:t>: Cumulative employment outcomes for Training Incentive Allowance 2007 participants and matched comparison group</w:t>
      </w:r>
    </w:p>
    <w:p w14:paraId="041C9B7E" w14:textId="77777777" w:rsidR="005879B1" w:rsidRDefault="00A97397">
      <w:r>
        <w:rPr>
          <w:noProof/>
        </w:rPr>
        <w:drawing>
          <wp:inline distT="0" distB="0" distL="0" distR="0" wp14:anchorId="29CAD94B" wp14:editId="65FEE7D0">
            <wp:extent cx="5384800" cy="3589866"/>
            <wp:effectExtent l="0" t="0" r="0" b="0"/>
            <wp:docPr id="83" name="Picture" descr="Figure 3: Cumulative employment outcomes for Training Incentive Allowance 2007 participants and matched comparison group"/>
            <wp:cNvGraphicFramePr/>
            <a:graphic xmlns:a="http://schemas.openxmlformats.org/drawingml/2006/main">
              <a:graphicData uri="http://schemas.openxmlformats.org/drawingml/2006/picture">
                <pic:pic xmlns:pic="http://schemas.openxmlformats.org/drawingml/2006/picture">
                  <pic:nvPicPr>
                    <pic:cNvPr id="84" name="Picture" descr="fy23_ea_effectiveness_technical_report_files/figure-docx/lp-outcomes-cum-1.png"/>
                    <pic:cNvPicPr>
                      <a:picLocks noChangeAspect="1" noChangeArrowheads="1"/>
                    </pic:cNvPicPr>
                  </pic:nvPicPr>
                  <pic:blipFill>
                    <a:blip r:embed="rId12"/>
                    <a:stretch>
                      <a:fillRect/>
                    </a:stretch>
                  </pic:blipFill>
                  <pic:spPr bwMode="auto">
                    <a:xfrm>
                      <a:off x="0" y="0"/>
                      <a:ext cx="5384800" cy="3589866"/>
                    </a:xfrm>
                    <a:prstGeom prst="rect">
                      <a:avLst/>
                    </a:prstGeom>
                    <a:noFill/>
                    <a:ln w="9525">
                      <a:noFill/>
                      <a:headEnd/>
                      <a:tailEnd/>
                    </a:ln>
                  </pic:spPr>
                </pic:pic>
              </a:graphicData>
            </a:graphic>
          </wp:inline>
        </w:drawing>
      </w:r>
    </w:p>
    <w:p w14:paraId="21C091E0" w14:textId="77777777" w:rsidR="005879B1" w:rsidRDefault="00A97397">
      <w:pPr>
        <w:pStyle w:val="BodyText"/>
      </w:pPr>
      <w:bookmarkStart w:id="72" w:name="fig:lp-outcomes-cum"/>
      <w:bookmarkEnd w:id="72"/>
      <w:r>
        <w:t>Using cumulative outcomes, we can conclude that participants spent longer in employment than the comparison group a difference of 18.0±8.90 wks (63.0±1.40 mths compared to 59.0±1.50 mths).</w:t>
      </w:r>
    </w:p>
    <w:p w14:paraId="73A900D5" w14:textId="77777777" w:rsidR="005879B1" w:rsidRDefault="00A97397">
      <w:pPr>
        <w:pStyle w:val="Heading2"/>
      </w:pPr>
      <w:bookmarkStart w:id="73" w:name="_Toc197957613"/>
      <w:bookmarkStart w:id="74" w:name="Xf850d1c0a2806d8340cfc464ff9b53fb68d7831"/>
      <w:bookmarkEnd w:id="71"/>
      <w:bookmarkEnd w:id="67"/>
      <w:r>
        <w:t>Why measure outcomes from participation start?</w:t>
      </w:r>
      <w:bookmarkEnd w:id="73"/>
    </w:p>
    <w:p w14:paraId="3591F001" w14:textId="77777777" w:rsidR="005879B1" w:rsidRDefault="00A97397">
      <w:r>
        <w:t>A common question is why we measure outcomes from when people start an intervention, rather than when they finish. There are two reasons. The first is practical, in that when people finish an intervention is often poorly recorded. Therefore, the date when people finished participating in an intervention is much less certain than the date they started.</w:t>
      </w:r>
    </w:p>
    <w:p w14:paraId="3AB11D52" w14:textId="77777777" w:rsidR="005879B1" w:rsidRDefault="00A97397">
      <w:pPr>
        <w:pStyle w:val="BodyText"/>
      </w:pPr>
      <w:r>
        <w:lastRenderedPageBreak/>
        <w:t>The second reason is the importance of capturing the full impact of an intervention. As Figure 2 above shows, the period while a person is on a programme can have an impact on their outcomes. The most common impact is referred to as the lock-in effect. As the name suggests, while people are participating in an intervention, they are less likely to achieve an outcome, such as moving into employment. This can occur for several reasons. One is simply the reduction in time participants have available to look for work. And, for training programmes, the need to complete the course to gain a qualification provides an incentive to turn down job opportunities if they do arise. If we did not include these effects, we would run the risk of overstating the positive impact of interventions.</w:t>
      </w:r>
    </w:p>
    <w:p w14:paraId="37BEAD27" w14:textId="77777777" w:rsidR="005879B1" w:rsidRDefault="00A97397">
      <w:pPr>
        <w:pStyle w:val="Heading2"/>
      </w:pPr>
      <w:bookmarkStart w:id="75" w:name="_Toc197957614"/>
      <w:bookmarkStart w:id="76" w:name="migration-and-mortality"/>
      <w:bookmarkEnd w:id="74"/>
      <w:r>
        <w:t>Migration and mortality</w:t>
      </w:r>
      <w:bookmarkEnd w:id="75"/>
    </w:p>
    <w:p w14:paraId="29058D42" w14:textId="77777777" w:rsidR="005879B1" w:rsidRDefault="00A97397">
      <w:r>
        <w:t>In the current analysis, we have not adjusted for people moving out of New Zealand or dying. These events would, over longer follow-up periods, reduce the denominator for each of the above outcome measures (ie right censoring). We plan to adjust for right censoring in subsequent updates to this analysis.</w:t>
      </w:r>
    </w:p>
    <w:p w14:paraId="5508D985" w14:textId="77777777" w:rsidR="005879B1" w:rsidRDefault="00A97397">
      <w:pPr>
        <w:pStyle w:val="Heading1"/>
      </w:pPr>
      <w:bookmarkStart w:id="77" w:name="_Toc197957615"/>
      <w:bookmarkStart w:id="78" w:name="Xd7396ab05a80270fb2287b9b961f4d62fc28783"/>
      <w:bookmarkEnd w:id="76"/>
      <w:bookmarkEnd w:id="35"/>
      <w:r>
        <w:lastRenderedPageBreak/>
        <w:t>Estimating the observed impact of EA interventions</w:t>
      </w:r>
      <w:bookmarkEnd w:id="77"/>
    </w:p>
    <w:p w14:paraId="4F8D942A" w14:textId="77777777" w:rsidR="005879B1" w:rsidRDefault="00A97397">
      <w:r>
        <w:t>To rate the effectiveness of EA interventions we need to determine their impact on outcomes to date. In this analysis, we estimate effectiveness using counterfactual designs.</w:t>
      </w:r>
      <w:r>
        <w:rPr>
          <w:rStyle w:val="FootnoteReference"/>
        </w:rPr>
        <w:footnoteReference w:id="2"/>
      </w:r>
      <w:r>
        <w:t xml:space="preserve"> The term counterfactual refers to the question: what would have happened in the absence of the intervention? The problem posed by this question is that it is not possible to observe the counterfactual outcomes of participants. The solution is to identify a proxy for the counterfactual, usually a group of non-participants whose outcomes represent the counterfactual scenario. The challenge is to ensure that the comparison outcomes are an accurate representation of participants’ counterfactual outcomes. Specifically, other than programme participation, are there other reasons for any differences between the outcomes of participants and those of the comparison group (ie selection bias)?</w:t>
      </w:r>
    </w:p>
    <w:p w14:paraId="0579E8BA" w14:textId="77777777" w:rsidR="005879B1" w:rsidRDefault="00A97397">
      <w:pPr>
        <w:pStyle w:val="BodyText"/>
      </w:pPr>
      <w:r>
        <w:t>Various methods can control for selection bias to a greater or lesser degree. To assist readers in judging the robustness of a counterfactual design, we categorise methods according to the Scientific Maryland Scale (SMS). The SMS scale ranks counterfactual designs from 1 (least robust) to 5 (most robust). Robust in this context refers to the level of confidence we have that the impact estimate accurately quantifies the causal effect of the intervention on the outcome.</w:t>
      </w:r>
    </w:p>
    <w:p w14:paraId="30E1D667" w14:textId="77777777" w:rsidR="005879B1" w:rsidRDefault="00A97397">
      <w:pPr>
        <w:pStyle w:val="BodyText"/>
      </w:pPr>
      <w:r>
        <w:t>In the current report, we have four designs: randomised control trial (SMS 5), propensity-matched comparison group (SMS 3), propensity-matched historical comparison group (SMS 3(-)) and natural experiments (SMS 3) designs. We outline each in turn.</w:t>
      </w:r>
    </w:p>
    <w:p w14:paraId="62EAF50C" w14:textId="77777777" w:rsidR="005879B1" w:rsidRDefault="00A97397">
      <w:pPr>
        <w:pStyle w:val="Heading3"/>
      </w:pPr>
      <w:bookmarkStart w:id="79" w:name="randomised-control-trial-designs"/>
      <w:r>
        <w:t>Randomised control trial designs</w:t>
      </w:r>
    </w:p>
    <w:p w14:paraId="6AC7C013" w14:textId="77777777" w:rsidR="005879B1" w:rsidRDefault="00A97397">
      <w:r>
        <w:t xml:space="preserve">Randomised control trial (RCT) designs are the most robust counterfactual designs as they require the fewest assumptions and therefore can make the strongest quantitative statements about the causal relationship between participation in an intervention and later outcomes. RCTs in the context of MSD EA interventions have been used extensively to evaluate the impact of </w:t>
      </w:r>
      <w:r>
        <w:lastRenderedPageBreak/>
        <w:t>case management services, such as Work Focused Case Management or Investment Approach Trials (MSD, 2018).</w:t>
      </w:r>
    </w:p>
    <w:p w14:paraId="0C207644" w14:textId="77777777" w:rsidR="005879B1" w:rsidRDefault="00A97397">
      <w:pPr>
        <w:pStyle w:val="Heading3"/>
      </w:pPr>
      <w:bookmarkStart w:id="80" w:name="propensity-score-matching-psm"/>
      <w:bookmarkEnd w:id="79"/>
      <w:r>
        <w:t>Propensity score matching (PSM)</w:t>
      </w:r>
    </w:p>
    <w:p w14:paraId="5465CEC4" w14:textId="77777777" w:rsidR="005879B1" w:rsidRDefault="00A97397">
      <w:r>
        <w:t>Propensity score matching (PSM) is the main method we use to estimate the impact of EA interventions.</w:t>
      </w:r>
    </w:p>
    <w:p w14:paraId="60BA1AA8" w14:textId="77777777" w:rsidR="005879B1" w:rsidRDefault="00A97397">
      <w:pPr>
        <w:pStyle w:val="BodyText"/>
      </w:pPr>
      <w:r>
        <w:t>PSM is a common alternative to randomisation. It estimates the counterfactual by constructing a matched group of non-participants who have the same (or similar) characteristics as the participants. These non-participants are drawn from the same population as the participants. For MSD funded EA interventions, this is primarily people receiving income support. PSM is one of a group of methods referred to as quasi-experimental designs that attempt to replicate the same conditions as a randomised control trial. However, in all instances, quasi-experimental designs rely on additional assumptions that make them less robust than RCTs.</w:t>
      </w:r>
    </w:p>
    <w:p w14:paraId="5E9D769F" w14:textId="77777777" w:rsidR="005879B1" w:rsidRDefault="00A97397">
      <w:pPr>
        <w:pStyle w:val="BodyText"/>
      </w:pPr>
      <w:r>
        <w:t>Before outlining PSM, it is useful to think of an intuitively appealing alternative of exact matching. Exact matching, as the term suggests, is to match a participant to a comparison with the same characteristics (eg same age, gender, benefit history and so on). However, exact matching is limited by the probability that two people share the same set of observable characteristics (and is also unnecessarily restrictive)</w:t>
      </w:r>
      <w:r>
        <w:rPr>
          <w:rStyle w:val="FootnoteReference"/>
        </w:rPr>
        <w:footnoteReference w:id="3"/>
      </w:r>
      <w:r>
        <w:t>. The more characteristics included in the exact match, the less likely it is to find a comparison person with the same characteristics for each participant. As a result, these methods require the arbitrary selection of only a few matching variables.</w:t>
      </w:r>
    </w:p>
    <w:p w14:paraId="59DC9890" w14:textId="77777777" w:rsidR="005879B1" w:rsidRDefault="00A97397">
      <w:pPr>
        <w:pStyle w:val="BodyText"/>
      </w:pPr>
      <w:r>
        <w:t>Propensity matching overcomes this problem by using a logistic regression model to relate observable characteristics to programme participation. The logistic regression produces an estimate of how likely a given individual is to be a participant in a programme. It is possible to use this likelihood (called ‘the propensity score’) to match participants and non-participants based on the similarity of their propensity scores. In effect we match each participant on the date they start an intervention with a non-participant with the same likelihood of participating in the intervention. If the propensity score is properly specified, the participants and matched comparison groups will have a similar observable characteristic profile (eg similar duration, benefit type, age, number of children).</w:t>
      </w:r>
    </w:p>
    <w:p w14:paraId="7ED5AE3E" w14:textId="77777777" w:rsidR="005879B1" w:rsidRDefault="00A97397">
      <w:pPr>
        <w:pStyle w:val="Heading4"/>
      </w:pPr>
      <w:bookmarkStart w:id="81" w:name="psm-for-ea-interventions"/>
      <w:r>
        <w:lastRenderedPageBreak/>
        <w:t>PSM for EA interventions</w:t>
      </w:r>
    </w:p>
    <w:p w14:paraId="668A69DF" w14:textId="77777777" w:rsidR="005879B1" w:rsidRDefault="00A97397">
      <w:r>
        <w:t>The PSM for EA interventions involves first identifying EA interventions suitable for PSM. We then split interventions by cohort intakes, for example a large programme will have cohorts by calendar year (ie undertake separate PSM for participants starting in 2008 and then 2009). For smaller interventions, years need to be combined to have enough participants (eg participants starting between 2009-2012). In the following discussion, each PSM is applied at the level of a participant cohort (ie intervention by start year(s)).</w:t>
      </w:r>
    </w:p>
    <w:p w14:paraId="670C78D6" w14:textId="77777777" w:rsidR="005879B1" w:rsidRDefault="00A97397">
      <w:pPr>
        <w:pStyle w:val="BodyText"/>
      </w:pPr>
      <w:r>
        <w:t>For PSM EA interventions we use nearest neighbour matching with replacement. In other words, for each participant we select the non-participant with a propensity score closest to the participant’s score (ie nearest neighbour). “With replacement” means we allow the same non-participant to be matched to more than one participant. This approach ensures the closest match in scores between the two group, but at the expense of having fewer unique comparison group members.</w:t>
      </w:r>
    </w:p>
    <w:p w14:paraId="64848800" w14:textId="77777777" w:rsidR="005879B1" w:rsidRDefault="00A97397">
      <w:pPr>
        <w:pStyle w:val="BodyText"/>
      </w:pPr>
      <w:r>
        <w:t>Finally, we do not exclude any participants from the matching because of large differences in propensity score with the nearest non-participant. Therefore, if there are common support issues (ie the distribution of propensity scores are different between participants and non-participants) these will result in poor balance test results (see next section) and will not be used for analysis of impact.</w:t>
      </w:r>
    </w:p>
    <w:p w14:paraId="4B62552C" w14:textId="77777777" w:rsidR="005879B1" w:rsidRDefault="00A97397">
      <w:pPr>
        <w:pStyle w:val="Heading4"/>
      </w:pPr>
      <w:bookmarkStart w:id="82" w:name="conditional-independence-assumption"/>
      <w:bookmarkEnd w:id="81"/>
      <w:r>
        <w:t>Conditional Independence Assumption</w:t>
      </w:r>
    </w:p>
    <w:p w14:paraId="166A456A" w14:textId="77777777" w:rsidR="005879B1" w:rsidRDefault="00A97397">
      <w:r>
        <w:t>A key assumption for propensity score matching is the Conditional Independence Assumption (CIA), which states that controlling for differences in observable characteristics between the participant and comparison groups also controls for unobserved differences between the two groups. To be more precise, this requires that the two groups are equivalent on those characteristics that influence both the outcomes of interest as well as the probability of participating in the intervention, and this is true for observed as well as unobserved factors.</w:t>
      </w:r>
    </w:p>
    <w:p w14:paraId="05F5B17A" w14:textId="77777777" w:rsidR="005879B1" w:rsidRDefault="00A97397">
      <w:pPr>
        <w:pStyle w:val="BodyText"/>
      </w:pPr>
      <w:r>
        <w:t>Estimating impact by controlling for observable characteristics requires that the CIA holds. If it holds, the only statistically significant difference between the participant and comparison groups will be their participation in the programme. Any resulting estimates would be unbiased. In other words, the only explanation for differences in subsequent outcomes between the two groups would be whether they had participated in the programme or not. If the CIA fails, the estimates will be biased. Here differences in subsequent outcomes could be due to unobserved differences between participants and their comparisons, as well as the impact of the programme.</w:t>
      </w:r>
    </w:p>
    <w:p w14:paraId="3DA6511D" w14:textId="77777777" w:rsidR="005879B1" w:rsidRDefault="00A97397">
      <w:pPr>
        <w:pStyle w:val="BodyText"/>
      </w:pPr>
      <w:r>
        <w:lastRenderedPageBreak/>
        <w:t>The main limitation of the propensity matching method is that it relies on available and measurable information about people likely to participate in the EA intervention. Comprehensive information rarely exists about the types of people who participate in the programme or those who could form part of the comparison group (see the next section on using the SNZ IDI). The second limitation of the CIA is that it is not possible to determine whether it has been violated or, if it has, to what extent. Instead, we make a judgement as to whether the profile information is sufficient to accept the CIA. For a number of interventions such as those that involve people on long term health condition and disability benefits we do not think we have enough information to identify why a given individual would have chosen participate or not. In such instances, we say it is not feasible to estimate the programme’s impact using non-experimental methods.</w:t>
      </w:r>
    </w:p>
    <w:p w14:paraId="30829D6D" w14:textId="77777777" w:rsidR="005879B1" w:rsidRDefault="00A97397">
      <w:pPr>
        <w:pStyle w:val="Heading4"/>
      </w:pPr>
      <w:bookmarkStart w:id="83" w:name="X0dcf050ee2ea57dfba9624d808f03c42fa0df3c"/>
      <w:bookmarkEnd w:id="82"/>
      <w:r>
        <w:t>Eligible population and profile variables</w:t>
      </w:r>
    </w:p>
    <w:p w14:paraId="1DDE3AE9" w14:textId="77777777" w:rsidR="005879B1" w:rsidRDefault="00A97397">
      <w:r>
        <w:t>The PSM analysis was undertaken in the Statistics New Zealand Integrated Data Infrastructure (IDI), which is a data platform for researchers that links anonymised individual-level information across several domains ranging from health care through to driver licence status. While researchers have access to individual-level data, all outputs are aggregated with measures in place to protect the privacy of individuals, firms, and institutions. Statistics New Zealand reviews all IDI output to ensure that these measures have been implemented.</w:t>
      </w:r>
      <w:r>
        <w:rPr>
          <w:rStyle w:val="FootnoteReference"/>
        </w:rPr>
        <w:footnoteReference w:id="4"/>
      </w:r>
    </w:p>
    <w:p w14:paraId="7186CE17" w14:textId="77777777" w:rsidR="005879B1" w:rsidRDefault="00A97397">
      <w:pPr>
        <w:pStyle w:val="BodyText"/>
      </w:pPr>
      <w:r>
        <w:t>The IDI is well suited to undertaking PSM for two reasons.</w:t>
      </w:r>
    </w:p>
    <w:p w14:paraId="5B9D3334" w14:textId="77777777" w:rsidR="005879B1" w:rsidRDefault="00A97397" w:rsidP="004357B9">
      <w:pPr>
        <w:numPr>
          <w:ilvl w:val="0"/>
          <w:numId w:val="14"/>
        </w:numPr>
      </w:pPr>
      <w:r>
        <w:t>The IDI has information on the entire New Zealand population, allowing the selection of a potential comparison group from the largest pool of potential matches possible.</w:t>
      </w:r>
    </w:p>
    <w:p w14:paraId="38C22CA1" w14:textId="77777777" w:rsidR="005879B1" w:rsidRDefault="00A97397" w:rsidP="004357B9">
      <w:pPr>
        <w:numPr>
          <w:ilvl w:val="0"/>
          <w:numId w:val="14"/>
        </w:numPr>
      </w:pPr>
      <w:r>
        <w:t>The credibility of PSM is based on the inclusion of a rich set of profile variables and using linked data from a wide range of administrative, census and survey sources enables the creation of such a profile across a wide range of domains.</w:t>
      </w:r>
    </w:p>
    <w:p w14:paraId="0C36F50F" w14:textId="77777777" w:rsidR="005879B1" w:rsidRDefault="00A97397">
      <w:pPr>
        <w:pStyle w:val="Heading4"/>
      </w:pPr>
      <w:bookmarkStart w:id="84" w:name="profile-variables"/>
      <w:bookmarkEnd w:id="83"/>
      <w:r>
        <w:t>Profile variables</w:t>
      </w:r>
    </w:p>
    <w:p w14:paraId="3363E863" w14:textId="2502D31F" w:rsidR="005879B1" w:rsidRDefault="00A97397">
      <w:r>
        <w:t xml:space="preserve">Table 5 summarises the domains of the variables included in the </w:t>
      </w:r>
      <w:proofErr w:type="spellStart"/>
      <w:r>
        <w:t>PSM</w:t>
      </w:r>
      <w:proofErr w:type="spellEnd"/>
      <w:r>
        <w:t xml:space="preserve"> for EA interventions.</w:t>
      </w:r>
    </w:p>
    <w:p w14:paraId="42DC57CB" w14:textId="15CCA41A" w:rsidR="005879B1" w:rsidRDefault="00A97397" w:rsidP="001D1160">
      <w:pPr>
        <w:pStyle w:val="Caption"/>
      </w:pPr>
      <w:bookmarkStart w:id="85" w:name="tab:psm-profile-desc"/>
      <w:bookmarkEnd w:id="85"/>
      <w:r>
        <w:lastRenderedPageBreak/>
        <w:t xml:space="preserve">Table 5: Summary of profile variables used in propensity </w:t>
      </w:r>
      <w:proofErr w:type="gramStart"/>
      <w:r>
        <w:t>matching</w:t>
      </w:r>
      <w:proofErr w:type="gramEnd"/>
    </w:p>
    <w:tbl>
      <w:tblPr>
        <w:tblW w:w="0" w:type="auto"/>
        <w:tblLayout w:type="fixed"/>
        <w:tblLook w:val="0420" w:firstRow="1" w:lastRow="0" w:firstColumn="0" w:lastColumn="0" w:noHBand="0" w:noVBand="1"/>
      </w:tblPr>
      <w:tblGrid>
        <w:gridCol w:w="2880"/>
        <w:gridCol w:w="5760"/>
      </w:tblGrid>
      <w:tr w:rsidR="005879B1" w14:paraId="429893D3" w14:textId="77777777">
        <w:trPr>
          <w:tblHeader/>
        </w:trPr>
        <w:tc>
          <w:tcPr>
            <w:tcW w:w="2880" w:type="dxa"/>
            <w:tcBorders>
              <w:top w:val="single" w:sz="8" w:space="0" w:color="252C65"/>
              <w:left w:val="none" w:sz="0" w:space="0" w:color="000000"/>
              <w:bottom w:val="none" w:sz="0" w:space="0" w:color="000000"/>
              <w:right w:val="none" w:sz="0" w:space="0" w:color="000000"/>
            </w:tcBorders>
            <w:shd w:val="clear" w:color="auto" w:fill="252C65"/>
            <w:tcMar>
              <w:top w:w="0" w:type="dxa"/>
              <w:left w:w="0" w:type="dxa"/>
              <w:bottom w:w="0" w:type="dxa"/>
              <w:right w:w="0" w:type="dxa"/>
            </w:tcMar>
            <w:vAlign w:val="center"/>
          </w:tcPr>
          <w:p w14:paraId="1A20E801" w14:textId="77777777" w:rsidR="005879B1" w:rsidRDefault="00A97397">
            <w:pPr>
              <w:pBdr>
                <w:top w:val="none" w:sz="0" w:space="0" w:color="000000"/>
                <w:left w:val="none" w:sz="0" w:space="0" w:color="000000"/>
                <w:bottom w:val="none" w:sz="0" w:space="0" w:color="000000"/>
                <w:right w:val="none" w:sz="0" w:space="0" w:color="000000"/>
              </w:pBdr>
              <w:spacing w:before="100" w:after="100" w:line="240" w:lineRule="auto"/>
              <w:ind w:left="100" w:right="100"/>
              <w:rPr>
                <w:rFonts w:ascii="Arial" w:eastAsia="Arial" w:hAnsi="Arial" w:cs="Arial"/>
                <w:color w:val="FFFFFF"/>
                <w:sz w:val="16"/>
                <w:szCs w:val="16"/>
              </w:rPr>
            </w:pPr>
            <w:r>
              <w:rPr>
                <w:rFonts w:ascii="Arial" w:eastAsia="Arial" w:hAnsi="Arial" w:cs="Arial"/>
                <w:color w:val="FFFFFF"/>
                <w:sz w:val="16"/>
                <w:szCs w:val="16"/>
              </w:rPr>
              <w:t>Area</w:t>
            </w:r>
          </w:p>
        </w:tc>
        <w:tc>
          <w:tcPr>
            <w:tcW w:w="5760" w:type="dxa"/>
            <w:tcBorders>
              <w:top w:val="single" w:sz="8" w:space="0" w:color="252C65"/>
              <w:left w:val="none" w:sz="0" w:space="0" w:color="000000"/>
              <w:bottom w:val="none" w:sz="0" w:space="0" w:color="000000"/>
              <w:right w:val="none" w:sz="0" w:space="0" w:color="000000"/>
            </w:tcBorders>
            <w:shd w:val="clear" w:color="auto" w:fill="252C65"/>
            <w:tcMar>
              <w:top w:w="0" w:type="dxa"/>
              <w:left w:w="0" w:type="dxa"/>
              <w:bottom w:w="0" w:type="dxa"/>
              <w:right w:w="0" w:type="dxa"/>
            </w:tcMar>
            <w:vAlign w:val="center"/>
          </w:tcPr>
          <w:p w14:paraId="7B713F5C" w14:textId="77777777" w:rsidR="005879B1" w:rsidRDefault="00A97397">
            <w:pPr>
              <w:pBdr>
                <w:top w:val="none" w:sz="0" w:space="0" w:color="000000"/>
                <w:left w:val="none" w:sz="0" w:space="0" w:color="000000"/>
                <w:bottom w:val="none" w:sz="0" w:space="0" w:color="000000"/>
                <w:right w:val="none" w:sz="0" w:space="0" w:color="000000"/>
              </w:pBdr>
              <w:spacing w:before="100" w:after="100" w:line="240" w:lineRule="auto"/>
              <w:ind w:left="100" w:right="100"/>
              <w:rPr>
                <w:rFonts w:ascii="Arial" w:eastAsia="Arial" w:hAnsi="Arial" w:cs="Arial"/>
                <w:color w:val="FFFFFF"/>
                <w:sz w:val="16"/>
                <w:szCs w:val="16"/>
              </w:rPr>
            </w:pPr>
            <w:r>
              <w:rPr>
                <w:rFonts w:ascii="Arial" w:eastAsia="Arial" w:hAnsi="Arial" w:cs="Arial"/>
                <w:color w:val="FFFFFF"/>
                <w:sz w:val="16"/>
                <w:szCs w:val="16"/>
              </w:rPr>
              <w:t>Description</w:t>
            </w:r>
          </w:p>
        </w:tc>
      </w:tr>
      <w:tr w:rsidR="005879B1" w14:paraId="2D7B4CB1" w14:textId="77777777">
        <w:tc>
          <w:tcPr>
            <w:tcW w:w="8640" w:type="dxa"/>
            <w:gridSpan w:val="2"/>
            <w:tcBorders>
              <w:top w:val="none" w:sz="0" w:space="0" w:color="000000"/>
              <w:left w:val="none" w:sz="0" w:space="0" w:color="000000"/>
              <w:bottom w:val="single" w:sz="8" w:space="0" w:color="999EC6"/>
              <w:right w:val="none" w:sz="0" w:space="0" w:color="000000"/>
            </w:tcBorders>
            <w:shd w:val="clear" w:color="auto" w:fill="252C65"/>
            <w:tcMar>
              <w:top w:w="0" w:type="dxa"/>
              <w:left w:w="0" w:type="dxa"/>
              <w:bottom w:w="0" w:type="dxa"/>
              <w:right w:w="0" w:type="dxa"/>
            </w:tcMar>
            <w:vAlign w:val="center"/>
          </w:tcPr>
          <w:p w14:paraId="726BD29A" w14:textId="77777777" w:rsidR="005879B1" w:rsidRDefault="00A97397">
            <w:pPr>
              <w:pBdr>
                <w:top w:val="none" w:sz="0" w:space="0" w:color="000000"/>
                <w:left w:val="none" w:sz="0" w:space="0" w:color="000000"/>
                <w:bottom w:val="none" w:sz="0" w:space="0" w:color="000000"/>
                <w:right w:val="none" w:sz="0" w:space="0" w:color="000000"/>
              </w:pBdr>
              <w:spacing w:before="100" w:after="100" w:line="240" w:lineRule="auto"/>
              <w:ind w:left="100" w:right="100"/>
              <w:rPr>
                <w:rFonts w:eastAsia="Verdana" w:cs="Verdana"/>
                <w:color w:val="FFFFFF"/>
                <w:sz w:val="16"/>
                <w:szCs w:val="16"/>
              </w:rPr>
            </w:pPr>
            <w:r>
              <w:rPr>
                <w:rFonts w:eastAsia="Verdana" w:cs="Verdana"/>
                <w:color w:val="FFFFFF"/>
                <w:sz w:val="16"/>
                <w:szCs w:val="16"/>
              </w:rPr>
              <w:t>Demographics</w:t>
            </w:r>
          </w:p>
        </w:tc>
      </w:tr>
      <w:tr w:rsidR="005879B1" w14:paraId="588D9707" w14:textId="77777777">
        <w:tc>
          <w:tcPr>
            <w:tcW w:w="28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E39E7C2" w14:textId="77777777" w:rsidR="005879B1" w:rsidRDefault="00A97397">
            <w:pPr>
              <w:pBdr>
                <w:top w:val="none" w:sz="0" w:space="0" w:color="000000"/>
                <w:left w:val="none" w:sz="0" w:space="0" w:color="000000"/>
                <w:bottom w:val="none" w:sz="0" w:space="0" w:color="000000"/>
                <w:right w:val="none" w:sz="0" w:space="0" w:color="000000"/>
              </w:pBdr>
              <w:spacing w:before="100" w:after="100" w:line="240" w:lineRule="auto"/>
              <w:ind w:left="100" w:right="100"/>
              <w:rPr>
                <w:rFonts w:eastAsia="Verdana" w:cs="Verdana"/>
                <w:color w:val="252C65"/>
                <w:sz w:val="16"/>
                <w:szCs w:val="16"/>
              </w:rPr>
            </w:pPr>
            <w:r>
              <w:rPr>
                <w:rFonts w:eastAsia="Verdana" w:cs="Verdana"/>
                <w:color w:val="252C65"/>
                <w:sz w:val="16"/>
                <w:szCs w:val="16"/>
              </w:rPr>
              <w:t>Age</w:t>
            </w:r>
          </w:p>
        </w:tc>
        <w:tc>
          <w:tcPr>
            <w:tcW w:w="57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E7CE5ED" w14:textId="77777777" w:rsidR="005879B1" w:rsidRDefault="00A97397">
            <w:pPr>
              <w:pBdr>
                <w:top w:val="none" w:sz="0" w:space="0" w:color="000000"/>
                <w:left w:val="none" w:sz="0" w:space="0" w:color="000000"/>
                <w:bottom w:val="none" w:sz="0" w:space="0" w:color="000000"/>
                <w:right w:val="none" w:sz="0" w:space="0" w:color="000000"/>
              </w:pBdr>
              <w:spacing w:before="100" w:after="100" w:line="240" w:lineRule="auto"/>
              <w:ind w:left="100" w:right="100"/>
              <w:rPr>
                <w:rFonts w:eastAsia="Verdana" w:cs="Verdana"/>
                <w:color w:val="252C65"/>
                <w:sz w:val="16"/>
                <w:szCs w:val="16"/>
              </w:rPr>
            </w:pPr>
            <w:r>
              <w:rPr>
                <w:rFonts w:eastAsia="Verdana" w:cs="Verdana"/>
                <w:color w:val="252C65"/>
                <w:sz w:val="16"/>
                <w:szCs w:val="16"/>
              </w:rPr>
              <w:t>Age group</w:t>
            </w:r>
          </w:p>
        </w:tc>
      </w:tr>
      <w:tr w:rsidR="005879B1" w14:paraId="1C9E5C30" w14:textId="77777777">
        <w:tc>
          <w:tcPr>
            <w:tcW w:w="28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AE7D0E4" w14:textId="77777777" w:rsidR="005879B1" w:rsidRDefault="00A97397">
            <w:pPr>
              <w:pBdr>
                <w:top w:val="none" w:sz="0" w:space="0" w:color="000000"/>
                <w:left w:val="none" w:sz="0" w:space="0" w:color="000000"/>
                <w:bottom w:val="none" w:sz="0" w:space="0" w:color="000000"/>
                <w:right w:val="none" w:sz="0" w:space="0" w:color="000000"/>
              </w:pBdr>
              <w:spacing w:before="100" w:after="100" w:line="240" w:lineRule="auto"/>
              <w:ind w:left="100" w:right="100"/>
              <w:rPr>
                <w:rFonts w:eastAsia="Verdana" w:cs="Verdana"/>
                <w:color w:val="252C65"/>
                <w:sz w:val="16"/>
                <w:szCs w:val="16"/>
              </w:rPr>
            </w:pPr>
            <w:r>
              <w:rPr>
                <w:rFonts w:eastAsia="Verdana" w:cs="Verdana"/>
                <w:color w:val="252C65"/>
                <w:sz w:val="16"/>
                <w:szCs w:val="16"/>
              </w:rPr>
              <w:t>Gender</w:t>
            </w:r>
          </w:p>
        </w:tc>
        <w:tc>
          <w:tcPr>
            <w:tcW w:w="57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A45A381" w14:textId="77777777" w:rsidR="005879B1" w:rsidRDefault="00A97397">
            <w:pPr>
              <w:pBdr>
                <w:top w:val="none" w:sz="0" w:space="0" w:color="000000"/>
                <w:left w:val="none" w:sz="0" w:space="0" w:color="000000"/>
                <w:bottom w:val="none" w:sz="0" w:space="0" w:color="000000"/>
                <w:right w:val="none" w:sz="0" w:space="0" w:color="000000"/>
              </w:pBdr>
              <w:spacing w:before="100" w:after="100" w:line="240" w:lineRule="auto"/>
              <w:ind w:left="100" w:right="100"/>
              <w:rPr>
                <w:rFonts w:eastAsia="Verdana" w:cs="Verdana"/>
                <w:color w:val="252C65"/>
                <w:sz w:val="16"/>
                <w:szCs w:val="16"/>
              </w:rPr>
            </w:pPr>
            <w:r>
              <w:rPr>
                <w:rFonts w:eastAsia="Verdana" w:cs="Verdana"/>
                <w:color w:val="252C65"/>
                <w:sz w:val="16"/>
                <w:szCs w:val="16"/>
              </w:rPr>
              <w:t>Gender identity, only includes male and female.</w:t>
            </w:r>
          </w:p>
        </w:tc>
      </w:tr>
      <w:tr w:rsidR="005879B1" w14:paraId="453A0E5E" w14:textId="77777777">
        <w:tc>
          <w:tcPr>
            <w:tcW w:w="28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2436C7E" w14:textId="77777777" w:rsidR="005879B1" w:rsidRDefault="00A97397">
            <w:pPr>
              <w:pBdr>
                <w:top w:val="none" w:sz="0" w:space="0" w:color="000000"/>
                <w:left w:val="none" w:sz="0" w:space="0" w:color="000000"/>
                <w:bottom w:val="none" w:sz="0" w:space="0" w:color="000000"/>
                <w:right w:val="none" w:sz="0" w:space="0" w:color="000000"/>
              </w:pBdr>
              <w:spacing w:before="100" w:after="100" w:line="240" w:lineRule="auto"/>
              <w:ind w:left="100" w:right="100"/>
              <w:rPr>
                <w:rFonts w:eastAsia="Verdana" w:cs="Verdana"/>
                <w:color w:val="252C65"/>
                <w:sz w:val="16"/>
                <w:szCs w:val="16"/>
              </w:rPr>
            </w:pPr>
            <w:r>
              <w:rPr>
                <w:rFonts w:eastAsia="Verdana" w:cs="Verdana"/>
                <w:color w:val="252C65"/>
                <w:sz w:val="16"/>
                <w:szCs w:val="16"/>
              </w:rPr>
              <w:t>Ethnicity</w:t>
            </w:r>
          </w:p>
        </w:tc>
        <w:tc>
          <w:tcPr>
            <w:tcW w:w="57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FA5C316" w14:textId="77777777" w:rsidR="005879B1" w:rsidRDefault="00A97397">
            <w:pPr>
              <w:pBdr>
                <w:top w:val="none" w:sz="0" w:space="0" w:color="000000"/>
                <w:left w:val="none" w:sz="0" w:space="0" w:color="000000"/>
                <w:bottom w:val="none" w:sz="0" w:space="0" w:color="000000"/>
                <w:right w:val="none" w:sz="0" w:space="0" w:color="000000"/>
              </w:pBdr>
              <w:spacing w:before="100" w:after="100" w:line="240" w:lineRule="auto"/>
              <w:ind w:left="100" w:right="100"/>
              <w:rPr>
                <w:rFonts w:eastAsia="Verdana" w:cs="Verdana"/>
                <w:color w:val="252C65"/>
                <w:sz w:val="16"/>
                <w:szCs w:val="16"/>
              </w:rPr>
            </w:pPr>
            <w:r>
              <w:rPr>
                <w:rFonts w:eastAsia="Verdana" w:cs="Verdana"/>
                <w:color w:val="252C65"/>
                <w:sz w:val="16"/>
                <w:szCs w:val="16"/>
              </w:rPr>
              <w:t>Total response, SNZ level one ethnic identity.</w:t>
            </w:r>
          </w:p>
        </w:tc>
      </w:tr>
      <w:tr w:rsidR="005879B1" w14:paraId="1BBF93D4" w14:textId="77777777">
        <w:tc>
          <w:tcPr>
            <w:tcW w:w="8640" w:type="dxa"/>
            <w:gridSpan w:val="2"/>
            <w:tcBorders>
              <w:top w:val="single" w:sz="8" w:space="0" w:color="999EC6"/>
              <w:left w:val="none" w:sz="0" w:space="0" w:color="000000"/>
              <w:bottom w:val="single" w:sz="8" w:space="0" w:color="999EC6"/>
              <w:right w:val="none" w:sz="0" w:space="0" w:color="000000"/>
            </w:tcBorders>
            <w:shd w:val="clear" w:color="auto" w:fill="252C65"/>
            <w:tcMar>
              <w:top w:w="0" w:type="dxa"/>
              <w:left w:w="0" w:type="dxa"/>
              <w:bottom w:w="0" w:type="dxa"/>
              <w:right w:w="0" w:type="dxa"/>
            </w:tcMar>
            <w:vAlign w:val="center"/>
          </w:tcPr>
          <w:p w14:paraId="5F4601CA" w14:textId="77777777" w:rsidR="005879B1" w:rsidRDefault="00A97397">
            <w:pPr>
              <w:pBdr>
                <w:top w:val="none" w:sz="0" w:space="0" w:color="000000"/>
                <w:left w:val="none" w:sz="0" w:space="0" w:color="000000"/>
                <w:bottom w:val="none" w:sz="0" w:space="0" w:color="000000"/>
                <w:right w:val="none" w:sz="0" w:space="0" w:color="000000"/>
              </w:pBdr>
              <w:spacing w:before="100" w:after="100" w:line="240" w:lineRule="auto"/>
              <w:ind w:left="100" w:right="100"/>
              <w:rPr>
                <w:rFonts w:eastAsia="Verdana" w:cs="Verdana"/>
                <w:color w:val="FFFFFF"/>
                <w:sz w:val="16"/>
                <w:szCs w:val="16"/>
              </w:rPr>
            </w:pPr>
            <w:r>
              <w:rPr>
                <w:rFonts w:eastAsia="Verdana" w:cs="Verdana"/>
                <w:color w:val="FFFFFF"/>
                <w:sz w:val="16"/>
                <w:szCs w:val="16"/>
              </w:rPr>
              <w:t>Education</w:t>
            </w:r>
          </w:p>
        </w:tc>
      </w:tr>
      <w:tr w:rsidR="005879B1" w14:paraId="17D8E096" w14:textId="77777777">
        <w:tc>
          <w:tcPr>
            <w:tcW w:w="28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F96DFA5" w14:textId="77777777" w:rsidR="005879B1" w:rsidRDefault="00A97397">
            <w:pPr>
              <w:pBdr>
                <w:top w:val="none" w:sz="0" w:space="0" w:color="000000"/>
                <w:left w:val="none" w:sz="0" w:space="0" w:color="000000"/>
                <w:bottom w:val="none" w:sz="0" w:space="0" w:color="000000"/>
                <w:right w:val="none" w:sz="0" w:space="0" w:color="000000"/>
              </w:pBdr>
              <w:spacing w:before="100" w:after="100" w:line="240" w:lineRule="auto"/>
              <w:ind w:left="100" w:right="100"/>
              <w:rPr>
                <w:rFonts w:eastAsia="Verdana" w:cs="Verdana"/>
                <w:color w:val="252C65"/>
                <w:sz w:val="16"/>
                <w:szCs w:val="16"/>
              </w:rPr>
            </w:pPr>
            <w:r>
              <w:rPr>
                <w:rFonts w:eastAsia="Verdana" w:cs="Verdana"/>
                <w:color w:val="252C65"/>
                <w:sz w:val="16"/>
                <w:szCs w:val="16"/>
              </w:rPr>
              <w:t>School</w:t>
            </w:r>
          </w:p>
        </w:tc>
        <w:tc>
          <w:tcPr>
            <w:tcW w:w="57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A0E762F" w14:textId="77777777" w:rsidR="005879B1" w:rsidRDefault="00A97397">
            <w:pPr>
              <w:pBdr>
                <w:top w:val="none" w:sz="0" w:space="0" w:color="000000"/>
                <w:left w:val="none" w:sz="0" w:space="0" w:color="000000"/>
                <w:bottom w:val="none" w:sz="0" w:space="0" w:color="000000"/>
                <w:right w:val="none" w:sz="0" w:space="0" w:color="000000"/>
              </w:pBdr>
              <w:spacing w:before="100" w:after="100" w:line="240" w:lineRule="auto"/>
              <w:ind w:left="100" w:right="100"/>
              <w:rPr>
                <w:rFonts w:eastAsia="Verdana" w:cs="Verdana"/>
                <w:color w:val="252C65"/>
                <w:sz w:val="16"/>
                <w:szCs w:val="16"/>
              </w:rPr>
            </w:pPr>
            <w:r>
              <w:rPr>
                <w:rFonts w:eastAsia="Verdana" w:cs="Verdana"/>
                <w:color w:val="252C65"/>
                <w:sz w:val="16"/>
                <w:szCs w:val="16"/>
              </w:rPr>
              <w:t>Information on the type of school (state or private), the decile of the school, the number of schools attended, suspensions, standdowns, truancy and special education support.</w:t>
            </w:r>
          </w:p>
        </w:tc>
      </w:tr>
      <w:tr w:rsidR="005879B1" w14:paraId="4CE05482" w14:textId="77777777">
        <w:tc>
          <w:tcPr>
            <w:tcW w:w="28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62CA98A" w14:textId="77777777" w:rsidR="005879B1" w:rsidRDefault="00A97397">
            <w:pPr>
              <w:pBdr>
                <w:top w:val="none" w:sz="0" w:space="0" w:color="000000"/>
                <w:left w:val="none" w:sz="0" w:space="0" w:color="000000"/>
                <w:bottom w:val="none" w:sz="0" w:space="0" w:color="000000"/>
                <w:right w:val="none" w:sz="0" w:space="0" w:color="000000"/>
              </w:pBdr>
              <w:spacing w:before="100" w:after="100" w:line="240" w:lineRule="auto"/>
              <w:ind w:left="100" w:right="100"/>
              <w:rPr>
                <w:rFonts w:eastAsia="Verdana" w:cs="Verdana"/>
                <w:color w:val="252C65"/>
                <w:sz w:val="16"/>
                <w:szCs w:val="16"/>
              </w:rPr>
            </w:pPr>
            <w:r>
              <w:rPr>
                <w:rFonts w:eastAsia="Verdana" w:cs="Verdana"/>
                <w:color w:val="252C65"/>
                <w:sz w:val="16"/>
                <w:szCs w:val="16"/>
              </w:rPr>
              <w:t>Tertiary study</w:t>
            </w:r>
          </w:p>
        </w:tc>
        <w:tc>
          <w:tcPr>
            <w:tcW w:w="57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A71052D" w14:textId="77777777" w:rsidR="005879B1" w:rsidRDefault="00A97397">
            <w:pPr>
              <w:pBdr>
                <w:top w:val="none" w:sz="0" w:space="0" w:color="000000"/>
                <w:left w:val="none" w:sz="0" w:space="0" w:color="000000"/>
                <w:bottom w:val="none" w:sz="0" w:space="0" w:color="000000"/>
                <w:right w:val="none" w:sz="0" w:space="0" w:color="000000"/>
              </w:pBdr>
              <w:spacing w:before="100" w:after="100" w:line="240" w:lineRule="auto"/>
              <w:ind w:left="100" w:right="100"/>
              <w:rPr>
                <w:rFonts w:eastAsia="Verdana" w:cs="Verdana"/>
                <w:color w:val="252C65"/>
                <w:sz w:val="16"/>
                <w:szCs w:val="16"/>
              </w:rPr>
            </w:pPr>
            <w:r>
              <w:rPr>
                <w:rFonts w:eastAsia="Verdana" w:cs="Verdana"/>
                <w:color w:val="252C65"/>
                <w:sz w:val="16"/>
                <w:szCs w:val="16"/>
              </w:rPr>
              <w:t>Time enrolled in tertiary study by NZQF level and enrolled in study at set months before participation profile date.</w:t>
            </w:r>
          </w:p>
        </w:tc>
      </w:tr>
      <w:tr w:rsidR="005879B1" w14:paraId="0D065194" w14:textId="77777777">
        <w:tc>
          <w:tcPr>
            <w:tcW w:w="28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516CBCD" w14:textId="77777777" w:rsidR="005879B1" w:rsidRDefault="00A97397">
            <w:pPr>
              <w:pBdr>
                <w:top w:val="none" w:sz="0" w:space="0" w:color="000000"/>
                <w:left w:val="none" w:sz="0" w:space="0" w:color="000000"/>
                <w:bottom w:val="none" w:sz="0" w:space="0" w:color="000000"/>
                <w:right w:val="none" w:sz="0" w:space="0" w:color="000000"/>
              </w:pBdr>
              <w:spacing w:before="100" w:after="100" w:line="240" w:lineRule="auto"/>
              <w:ind w:left="100" w:right="100"/>
              <w:rPr>
                <w:rFonts w:eastAsia="Verdana" w:cs="Verdana"/>
                <w:color w:val="252C65"/>
                <w:sz w:val="16"/>
                <w:szCs w:val="16"/>
              </w:rPr>
            </w:pPr>
            <w:r>
              <w:rPr>
                <w:rFonts w:eastAsia="Verdana" w:cs="Verdana"/>
                <w:color w:val="252C65"/>
                <w:sz w:val="16"/>
                <w:szCs w:val="16"/>
              </w:rPr>
              <w:t>Qualifications</w:t>
            </w:r>
          </w:p>
        </w:tc>
        <w:tc>
          <w:tcPr>
            <w:tcW w:w="57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69569BC" w14:textId="77777777" w:rsidR="005879B1" w:rsidRDefault="00A97397">
            <w:pPr>
              <w:pBdr>
                <w:top w:val="none" w:sz="0" w:space="0" w:color="000000"/>
                <w:left w:val="none" w:sz="0" w:space="0" w:color="000000"/>
                <w:bottom w:val="none" w:sz="0" w:space="0" w:color="000000"/>
                <w:right w:val="none" w:sz="0" w:space="0" w:color="000000"/>
              </w:pBdr>
              <w:spacing w:before="100" w:after="100" w:line="240" w:lineRule="auto"/>
              <w:ind w:left="100" w:right="100"/>
              <w:rPr>
                <w:rFonts w:eastAsia="Verdana" w:cs="Verdana"/>
                <w:color w:val="252C65"/>
                <w:sz w:val="16"/>
                <w:szCs w:val="16"/>
              </w:rPr>
            </w:pPr>
            <w:r>
              <w:rPr>
                <w:rFonts w:eastAsia="Verdana" w:cs="Verdana"/>
                <w:color w:val="252C65"/>
                <w:sz w:val="16"/>
                <w:szCs w:val="16"/>
              </w:rPr>
              <w:t>Highest qualification based on education, census, or MSD data sources. Highest qualification is measured a set lapse periods before profile date to account for any changes in qualification status before starting a programme. This control is most important for younger people whose qualification level can change over relatively short periods.</w:t>
            </w:r>
          </w:p>
        </w:tc>
      </w:tr>
      <w:tr w:rsidR="005879B1" w14:paraId="76BC7443" w14:textId="77777777">
        <w:tc>
          <w:tcPr>
            <w:tcW w:w="8640" w:type="dxa"/>
            <w:gridSpan w:val="2"/>
            <w:tcBorders>
              <w:top w:val="single" w:sz="8" w:space="0" w:color="999EC6"/>
              <w:left w:val="none" w:sz="0" w:space="0" w:color="000000"/>
              <w:bottom w:val="single" w:sz="8" w:space="0" w:color="999EC6"/>
              <w:right w:val="none" w:sz="0" w:space="0" w:color="000000"/>
            </w:tcBorders>
            <w:shd w:val="clear" w:color="auto" w:fill="252C65"/>
            <w:tcMar>
              <w:top w:w="0" w:type="dxa"/>
              <w:left w:w="0" w:type="dxa"/>
              <w:bottom w:w="0" w:type="dxa"/>
              <w:right w:w="0" w:type="dxa"/>
            </w:tcMar>
            <w:vAlign w:val="center"/>
          </w:tcPr>
          <w:p w14:paraId="46744D0B" w14:textId="77777777" w:rsidR="005879B1" w:rsidRDefault="00A97397">
            <w:pPr>
              <w:pBdr>
                <w:top w:val="none" w:sz="0" w:space="0" w:color="000000"/>
                <w:left w:val="none" w:sz="0" w:space="0" w:color="000000"/>
                <w:bottom w:val="none" w:sz="0" w:space="0" w:color="000000"/>
                <w:right w:val="none" w:sz="0" w:space="0" w:color="000000"/>
              </w:pBdr>
              <w:spacing w:before="100" w:after="100" w:line="240" w:lineRule="auto"/>
              <w:ind w:left="100" w:right="100"/>
              <w:rPr>
                <w:rFonts w:eastAsia="Verdana" w:cs="Verdana"/>
                <w:color w:val="FFFFFF"/>
                <w:sz w:val="16"/>
                <w:szCs w:val="16"/>
              </w:rPr>
            </w:pPr>
            <w:r>
              <w:rPr>
                <w:rFonts w:eastAsia="Verdana" w:cs="Verdana"/>
                <w:color w:val="FFFFFF"/>
                <w:sz w:val="16"/>
                <w:szCs w:val="16"/>
              </w:rPr>
              <w:t>Health and disability</w:t>
            </w:r>
          </w:p>
        </w:tc>
      </w:tr>
      <w:tr w:rsidR="005879B1" w14:paraId="3D788B48" w14:textId="77777777">
        <w:tc>
          <w:tcPr>
            <w:tcW w:w="28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6C5234E" w14:textId="77777777" w:rsidR="005879B1" w:rsidRDefault="00A97397">
            <w:pPr>
              <w:pBdr>
                <w:top w:val="none" w:sz="0" w:space="0" w:color="000000"/>
                <w:left w:val="none" w:sz="0" w:space="0" w:color="000000"/>
                <w:bottom w:val="none" w:sz="0" w:space="0" w:color="000000"/>
                <w:right w:val="none" w:sz="0" w:space="0" w:color="000000"/>
              </w:pBdr>
              <w:spacing w:before="100" w:after="100" w:line="240" w:lineRule="auto"/>
              <w:ind w:left="100" w:right="100"/>
              <w:rPr>
                <w:rFonts w:eastAsia="Verdana" w:cs="Verdana"/>
                <w:color w:val="252C65"/>
                <w:sz w:val="16"/>
                <w:szCs w:val="16"/>
              </w:rPr>
            </w:pPr>
            <w:r>
              <w:rPr>
                <w:rFonts w:eastAsia="Verdana" w:cs="Verdana"/>
                <w:color w:val="252C65"/>
                <w:sz w:val="16"/>
                <w:szCs w:val="16"/>
              </w:rPr>
              <w:t>Incapacity information</w:t>
            </w:r>
          </w:p>
        </w:tc>
        <w:tc>
          <w:tcPr>
            <w:tcW w:w="57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3E82FA4" w14:textId="77777777" w:rsidR="005879B1" w:rsidRDefault="00A97397">
            <w:pPr>
              <w:pBdr>
                <w:top w:val="none" w:sz="0" w:space="0" w:color="000000"/>
                <w:left w:val="none" w:sz="0" w:space="0" w:color="000000"/>
                <w:bottom w:val="none" w:sz="0" w:space="0" w:color="000000"/>
                <w:right w:val="none" w:sz="0" w:space="0" w:color="000000"/>
              </w:pBdr>
              <w:spacing w:before="100" w:after="100" w:line="240" w:lineRule="auto"/>
              <w:ind w:left="100" w:right="100"/>
              <w:rPr>
                <w:rFonts w:eastAsia="Verdana" w:cs="Verdana"/>
                <w:color w:val="252C65"/>
                <w:sz w:val="16"/>
                <w:szCs w:val="16"/>
              </w:rPr>
            </w:pPr>
            <w:r>
              <w:rPr>
                <w:rFonts w:eastAsia="Verdana" w:cs="Verdana"/>
                <w:color w:val="252C65"/>
                <w:sz w:val="16"/>
                <w:szCs w:val="16"/>
              </w:rPr>
              <w:t>Recorded incapacity information for people who have applied for Health Condition or Disability related benefits.  A person can have up to four recorded incapacities at any one time. There are two measures, one for current incapacity status and one for incapacity in the last 5 years.</w:t>
            </w:r>
          </w:p>
        </w:tc>
      </w:tr>
      <w:tr w:rsidR="005879B1" w14:paraId="6845C317" w14:textId="77777777">
        <w:tc>
          <w:tcPr>
            <w:tcW w:w="28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48427CA" w14:textId="77777777" w:rsidR="005879B1" w:rsidRDefault="00A97397">
            <w:pPr>
              <w:pBdr>
                <w:top w:val="none" w:sz="0" w:space="0" w:color="000000"/>
                <w:left w:val="none" w:sz="0" w:space="0" w:color="000000"/>
                <w:bottom w:val="none" w:sz="0" w:space="0" w:color="000000"/>
                <w:right w:val="none" w:sz="0" w:space="0" w:color="000000"/>
              </w:pBdr>
              <w:spacing w:before="100" w:after="100" w:line="240" w:lineRule="auto"/>
              <w:ind w:left="100" w:right="100"/>
              <w:rPr>
                <w:rFonts w:eastAsia="Verdana" w:cs="Verdana"/>
                <w:color w:val="252C65"/>
                <w:sz w:val="16"/>
                <w:szCs w:val="16"/>
              </w:rPr>
            </w:pPr>
            <w:r>
              <w:rPr>
                <w:rFonts w:eastAsia="Verdana" w:cs="Verdana"/>
                <w:color w:val="252C65"/>
                <w:sz w:val="16"/>
                <w:szCs w:val="16"/>
              </w:rPr>
              <w:t>Mental health</w:t>
            </w:r>
          </w:p>
        </w:tc>
        <w:tc>
          <w:tcPr>
            <w:tcW w:w="57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CF75A07" w14:textId="77777777" w:rsidR="005879B1" w:rsidRDefault="00A97397">
            <w:pPr>
              <w:pBdr>
                <w:top w:val="none" w:sz="0" w:space="0" w:color="000000"/>
                <w:left w:val="none" w:sz="0" w:space="0" w:color="000000"/>
                <w:bottom w:val="none" w:sz="0" w:space="0" w:color="000000"/>
                <w:right w:val="none" w:sz="0" w:space="0" w:color="000000"/>
              </w:pBdr>
              <w:spacing w:before="100" w:after="100" w:line="240" w:lineRule="auto"/>
              <w:ind w:left="100" w:right="100"/>
              <w:rPr>
                <w:rFonts w:eastAsia="Verdana" w:cs="Verdana"/>
                <w:color w:val="252C65"/>
                <w:sz w:val="16"/>
                <w:szCs w:val="16"/>
              </w:rPr>
            </w:pPr>
            <w:r>
              <w:rPr>
                <w:rFonts w:eastAsia="Verdana" w:cs="Verdana"/>
                <w:color w:val="252C65"/>
                <w:sz w:val="16"/>
                <w:szCs w:val="16"/>
              </w:rPr>
              <w:t>Indicators of mental health care access including use of pharmaceuticals.</w:t>
            </w:r>
          </w:p>
        </w:tc>
      </w:tr>
      <w:tr w:rsidR="005879B1" w14:paraId="39E2315E" w14:textId="77777777">
        <w:tc>
          <w:tcPr>
            <w:tcW w:w="8640" w:type="dxa"/>
            <w:gridSpan w:val="2"/>
            <w:tcBorders>
              <w:top w:val="single" w:sz="8" w:space="0" w:color="999EC6"/>
              <w:left w:val="none" w:sz="0" w:space="0" w:color="000000"/>
              <w:bottom w:val="single" w:sz="8" w:space="0" w:color="999EC6"/>
              <w:right w:val="none" w:sz="0" w:space="0" w:color="000000"/>
            </w:tcBorders>
            <w:shd w:val="clear" w:color="auto" w:fill="252C65"/>
            <w:tcMar>
              <w:top w:w="0" w:type="dxa"/>
              <w:left w:w="0" w:type="dxa"/>
              <w:bottom w:w="0" w:type="dxa"/>
              <w:right w:w="0" w:type="dxa"/>
            </w:tcMar>
            <w:vAlign w:val="center"/>
          </w:tcPr>
          <w:p w14:paraId="575A2FA2" w14:textId="77777777" w:rsidR="005879B1" w:rsidRDefault="00A97397">
            <w:pPr>
              <w:pBdr>
                <w:top w:val="none" w:sz="0" w:space="0" w:color="000000"/>
                <w:left w:val="none" w:sz="0" w:space="0" w:color="000000"/>
                <w:bottom w:val="none" w:sz="0" w:space="0" w:color="000000"/>
                <w:right w:val="none" w:sz="0" w:space="0" w:color="000000"/>
              </w:pBdr>
              <w:spacing w:before="100" w:after="100" w:line="240" w:lineRule="auto"/>
              <w:ind w:left="100" w:right="100"/>
              <w:rPr>
                <w:rFonts w:eastAsia="Verdana" w:cs="Verdana"/>
                <w:color w:val="FFFFFF"/>
                <w:sz w:val="16"/>
                <w:szCs w:val="16"/>
              </w:rPr>
            </w:pPr>
            <w:r>
              <w:rPr>
                <w:rFonts w:eastAsia="Verdana" w:cs="Verdana"/>
                <w:color w:val="FFFFFF"/>
                <w:sz w:val="16"/>
                <w:szCs w:val="16"/>
              </w:rPr>
              <w:t>Location</w:t>
            </w:r>
          </w:p>
        </w:tc>
      </w:tr>
      <w:tr w:rsidR="005879B1" w14:paraId="309FCFC6" w14:textId="77777777">
        <w:tc>
          <w:tcPr>
            <w:tcW w:w="28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58CC2FC" w14:textId="77777777" w:rsidR="005879B1" w:rsidRDefault="00A97397">
            <w:pPr>
              <w:pBdr>
                <w:top w:val="none" w:sz="0" w:space="0" w:color="000000"/>
                <w:left w:val="none" w:sz="0" w:space="0" w:color="000000"/>
                <w:bottom w:val="none" w:sz="0" w:space="0" w:color="000000"/>
                <w:right w:val="none" w:sz="0" w:space="0" w:color="000000"/>
              </w:pBdr>
              <w:spacing w:before="100" w:after="100" w:line="240" w:lineRule="auto"/>
              <w:ind w:left="100" w:right="100"/>
              <w:rPr>
                <w:rFonts w:eastAsia="Verdana" w:cs="Verdana"/>
                <w:color w:val="252C65"/>
                <w:sz w:val="16"/>
                <w:szCs w:val="16"/>
              </w:rPr>
            </w:pPr>
            <w:r>
              <w:rPr>
                <w:rFonts w:eastAsia="Verdana" w:cs="Verdana"/>
                <w:color w:val="252C65"/>
                <w:sz w:val="16"/>
                <w:szCs w:val="16"/>
              </w:rPr>
              <w:t>Deprivation index decile</w:t>
            </w:r>
          </w:p>
        </w:tc>
        <w:tc>
          <w:tcPr>
            <w:tcW w:w="57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420FD3C" w14:textId="77777777" w:rsidR="005879B1" w:rsidRDefault="00A97397">
            <w:pPr>
              <w:pBdr>
                <w:top w:val="none" w:sz="0" w:space="0" w:color="000000"/>
                <w:left w:val="none" w:sz="0" w:space="0" w:color="000000"/>
                <w:bottom w:val="none" w:sz="0" w:space="0" w:color="000000"/>
                <w:right w:val="none" w:sz="0" w:space="0" w:color="000000"/>
              </w:pBdr>
              <w:spacing w:before="100" w:after="100" w:line="240" w:lineRule="auto"/>
              <w:ind w:left="100" w:right="100"/>
              <w:rPr>
                <w:rFonts w:eastAsia="Verdana" w:cs="Verdana"/>
                <w:color w:val="252C65"/>
                <w:sz w:val="16"/>
                <w:szCs w:val="16"/>
              </w:rPr>
            </w:pPr>
            <w:r>
              <w:rPr>
                <w:rFonts w:eastAsia="Verdana" w:cs="Verdana"/>
                <w:color w:val="252C65"/>
                <w:sz w:val="16"/>
                <w:szCs w:val="16"/>
              </w:rPr>
              <w:t>The NZDep is an area-based measure of socioeconomic deprivation in Aotearoa New Zealand, it measures deprivation at SA2 level with decile 1 representing least deprived areas and 10 the most deprived. SA2 geographies aim to reflect communities that interact together socially and economically (eg at the level of a suburb or small town).</w:t>
            </w:r>
          </w:p>
        </w:tc>
      </w:tr>
      <w:tr w:rsidR="005879B1" w14:paraId="0AA209A3" w14:textId="77777777">
        <w:tc>
          <w:tcPr>
            <w:tcW w:w="28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DF2A4D6" w14:textId="77777777" w:rsidR="005879B1" w:rsidRDefault="00A97397">
            <w:pPr>
              <w:pBdr>
                <w:top w:val="none" w:sz="0" w:space="0" w:color="000000"/>
                <w:left w:val="none" w:sz="0" w:space="0" w:color="000000"/>
                <w:bottom w:val="none" w:sz="0" w:space="0" w:color="000000"/>
                <w:right w:val="none" w:sz="0" w:space="0" w:color="000000"/>
              </w:pBdr>
              <w:spacing w:before="100" w:after="100" w:line="240" w:lineRule="auto"/>
              <w:ind w:left="100" w:right="100"/>
              <w:rPr>
                <w:rFonts w:eastAsia="Verdana" w:cs="Verdana"/>
                <w:color w:val="252C65"/>
                <w:sz w:val="16"/>
                <w:szCs w:val="16"/>
              </w:rPr>
            </w:pPr>
            <w:r>
              <w:rPr>
                <w:rFonts w:eastAsia="Verdana" w:cs="Verdana"/>
                <w:color w:val="252C65"/>
                <w:sz w:val="16"/>
                <w:szCs w:val="16"/>
              </w:rPr>
              <w:t>Urbanisation of location</w:t>
            </w:r>
          </w:p>
        </w:tc>
        <w:tc>
          <w:tcPr>
            <w:tcW w:w="57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0AA91A3" w14:textId="77777777" w:rsidR="005879B1" w:rsidRDefault="00A97397">
            <w:pPr>
              <w:pBdr>
                <w:top w:val="none" w:sz="0" w:space="0" w:color="000000"/>
                <w:left w:val="none" w:sz="0" w:space="0" w:color="000000"/>
                <w:bottom w:val="none" w:sz="0" w:space="0" w:color="000000"/>
                <w:right w:val="none" w:sz="0" w:space="0" w:color="000000"/>
              </w:pBdr>
              <w:spacing w:before="100" w:after="100" w:line="240" w:lineRule="auto"/>
              <w:ind w:left="100" w:right="100"/>
              <w:rPr>
                <w:rFonts w:eastAsia="Verdana" w:cs="Verdana"/>
                <w:color w:val="252C65"/>
                <w:sz w:val="16"/>
                <w:szCs w:val="16"/>
              </w:rPr>
            </w:pPr>
            <w:r>
              <w:rPr>
                <w:rFonts w:eastAsia="Verdana" w:cs="Verdana"/>
                <w:color w:val="252C65"/>
                <w:sz w:val="16"/>
                <w:szCs w:val="16"/>
              </w:rPr>
              <w:t>SNZ classification of the person's location from major urban area through to rural as well as overseas.</w:t>
            </w:r>
          </w:p>
        </w:tc>
      </w:tr>
      <w:tr w:rsidR="005879B1" w14:paraId="17662A46" w14:textId="77777777">
        <w:tc>
          <w:tcPr>
            <w:tcW w:w="28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5586984" w14:textId="77777777" w:rsidR="005879B1" w:rsidRDefault="00A97397">
            <w:pPr>
              <w:pBdr>
                <w:top w:val="none" w:sz="0" w:space="0" w:color="000000"/>
                <w:left w:val="none" w:sz="0" w:space="0" w:color="000000"/>
                <w:bottom w:val="none" w:sz="0" w:space="0" w:color="000000"/>
                <w:right w:val="none" w:sz="0" w:space="0" w:color="000000"/>
              </w:pBdr>
              <w:spacing w:before="100" w:after="100" w:line="240" w:lineRule="auto"/>
              <w:ind w:left="100" w:right="100"/>
              <w:rPr>
                <w:rFonts w:eastAsia="Verdana" w:cs="Verdana"/>
                <w:color w:val="252C65"/>
                <w:sz w:val="16"/>
                <w:szCs w:val="16"/>
              </w:rPr>
            </w:pPr>
            <w:r>
              <w:rPr>
                <w:rFonts w:eastAsia="Verdana" w:cs="Verdana"/>
                <w:color w:val="252C65"/>
                <w:sz w:val="16"/>
                <w:szCs w:val="16"/>
              </w:rPr>
              <w:t>Local labour market</w:t>
            </w:r>
          </w:p>
        </w:tc>
        <w:tc>
          <w:tcPr>
            <w:tcW w:w="57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BD4A261" w14:textId="77777777" w:rsidR="005879B1" w:rsidRDefault="00A97397">
            <w:pPr>
              <w:pBdr>
                <w:top w:val="none" w:sz="0" w:space="0" w:color="000000"/>
                <w:left w:val="none" w:sz="0" w:space="0" w:color="000000"/>
                <w:bottom w:val="none" w:sz="0" w:space="0" w:color="000000"/>
                <w:right w:val="none" w:sz="0" w:space="0" w:color="000000"/>
              </w:pBdr>
              <w:spacing w:before="100" w:after="100" w:line="240" w:lineRule="auto"/>
              <w:ind w:left="100" w:right="100"/>
              <w:rPr>
                <w:rFonts w:eastAsia="Verdana" w:cs="Verdana"/>
                <w:color w:val="252C65"/>
                <w:sz w:val="16"/>
                <w:szCs w:val="16"/>
              </w:rPr>
            </w:pPr>
            <w:r>
              <w:rPr>
                <w:rFonts w:eastAsia="Verdana" w:cs="Verdana"/>
                <w:color w:val="252C65"/>
                <w:sz w:val="16"/>
                <w:szCs w:val="16"/>
              </w:rPr>
              <w:t>Labour market information on the location a person lives (SNZ SA2 geographies), including average income, employment or study rate, average qualification level, working age population on main benefit and the dependency ratio.</w:t>
            </w:r>
          </w:p>
        </w:tc>
      </w:tr>
      <w:tr w:rsidR="005879B1" w14:paraId="07147306" w14:textId="77777777">
        <w:tc>
          <w:tcPr>
            <w:tcW w:w="8640" w:type="dxa"/>
            <w:gridSpan w:val="2"/>
            <w:tcBorders>
              <w:top w:val="single" w:sz="8" w:space="0" w:color="999EC6"/>
              <w:left w:val="none" w:sz="0" w:space="0" w:color="000000"/>
              <w:bottom w:val="single" w:sz="8" w:space="0" w:color="999EC6"/>
              <w:right w:val="none" w:sz="0" w:space="0" w:color="000000"/>
            </w:tcBorders>
            <w:shd w:val="clear" w:color="auto" w:fill="252C65"/>
            <w:tcMar>
              <w:top w:w="0" w:type="dxa"/>
              <w:left w:w="0" w:type="dxa"/>
              <w:bottom w:w="0" w:type="dxa"/>
              <w:right w:w="0" w:type="dxa"/>
            </w:tcMar>
            <w:vAlign w:val="center"/>
          </w:tcPr>
          <w:p w14:paraId="45707A66" w14:textId="77777777" w:rsidR="005879B1" w:rsidRDefault="00A97397">
            <w:pPr>
              <w:pBdr>
                <w:top w:val="none" w:sz="0" w:space="0" w:color="000000"/>
                <w:left w:val="none" w:sz="0" w:space="0" w:color="000000"/>
                <w:bottom w:val="none" w:sz="0" w:space="0" w:color="000000"/>
                <w:right w:val="none" w:sz="0" w:space="0" w:color="000000"/>
              </w:pBdr>
              <w:spacing w:before="100" w:after="100" w:line="240" w:lineRule="auto"/>
              <w:ind w:left="100" w:right="100"/>
              <w:rPr>
                <w:rFonts w:eastAsia="Verdana" w:cs="Verdana"/>
                <w:color w:val="FFFFFF"/>
                <w:sz w:val="16"/>
                <w:szCs w:val="16"/>
              </w:rPr>
            </w:pPr>
            <w:r>
              <w:rPr>
                <w:rFonts w:eastAsia="Verdana" w:cs="Verdana"/>
                <w:color w:val="FFFFFF"/>
                <w:sz w:val="16"/>
                <w:szCs w:val="16"/>
              </w:rPr>
              <w:t>Housing</w:t>
            </w:r>
          </w:p>
        </w:tc>
      </w:tr>
      <w:tr w:rsidR="005879B1" w14:paraId="37319701" w14:textId="77777777">
        <w:tc>
          <w:tcPr>
            <w:tcW w:w="28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68D6A19" w14:textId="77777777" w:rsidR="005879B1" w:rsidRDefault="00A97397">
            <w:pPr>
              <w:pBdr>
                <w:top w:val="none" w:sz="0" w:space="0" w:color="000000"/>
                <w:left w:val="none" w:sz="0" w:space="0" w:color="000000"/>
                <w:bottom w:val="none" w:sz="0" w:space="0" w:color="000000"/>
                <w:right w:val="none" w:sz="0" w:space="0" w:color="000000"/>
              </w:pBdr>
              <w:spacing w:before="100" w:after="100" w:line="240" w:lineRule="auto"/>
              <w:ind w:left="100" w:right="100"/>
              <w:rPr>
                <w:rFonts w:eastAsia="Verdana" w:cs="Verdana"/>
                <w:color w:val="252C65"/>
                <w:sz w:val="16"/>
                <w:szCs w:val="16"/>
              </w:rPr>
            </w:pPr>
            <w:r>
              <w:rPr>
                <w:rFonts w:eastAsia="Verdana" w:cs="Verdana"/>
                <w:color w:val="252C65"/>
                <w:sz w:val="16"/>
                <w:szCs w:val="16"/>
              </w:rPr>
              <w:t>Number of address changes</w:t>
            </w:r>
          </w:p>
        </w:tc>
        <w:tc>
          <w:tcPr>
            <w:tcW w:w="57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A2C0E68" w14:textId="77777777" w:rsidR="005879B1" w:rsidRDefault="00A97397">
            <w:pPr>
              <w:pBdr>
                <w:top w:val="none" w:sz="0" w:space="0" w:color="000000"/>
                <w:left w:val="none" w:sz="0" w:space="0" w:color="000000"/>
                <w:bottom w:val="none" w:sz="0" w:space="0" w:color="000000"/>
                <w:right w:val="none" w:sz="0" w:space="0" w:color="000000"/>
              </w:pBdr>
              <w:spacing w:before="100" w:after="100" w:line="240" w:lineRule="auto"/>
              <w:ind w:left="100" w:right="100"/>
              <w:rPr>
                <w:rFonts w:eastAsia="Verdana" w:cs="Verdana"/>
                <w:color w:val="252C65"/>
                <w:sz w:val="16"/>
                <w:szCs w:val="16"/>
              </w:rPr>
            </w:pPr>
            <w:r>
              <w:rPr>
                <w:rFonts w:eastAsia="Verdana" w:cs="Verdana"/>
                <w:color w:val="252C65"/>
                <w:sz w:val="16"/>
                <w:szCs w:val="16"/>
              </w:rPr>
              <w:t>Number of changes in recorded address over the last two years.</w:t>
            </w:r>
          </w:p>
        </w:tc>
      </w:tr>
      <w:tr w:rsidR="005879B1" w14:paraId="77CDD058" w14:textId="77777777">
        <w:tc>
          <w:tcPr>
            <w:tcW w:w="8640" w:type="dxa"/>
            <w:gridSpan w:val="2"/>
            <w:tcBorders>
              <w:top w:val="single" w:sz="8" w:space="0" w:color="999EC6"/>
              <w:left w:val="none" w:sz="0" w:space="0" w:color="000000"/>
              <w:bottom w:val="single" w:sz="8" w:space="0" w:color="999EC6"/>
              <w:right w:val="none" w:sz="0" w:space="0" w:color="000000"/>
            </w:tcBorders>
            <w:shd w:val="clear" w:color="auto" w:fill="252C65"/>
            <w:tcMar>
              <w:top w:w="0" w:type="dxa"/>
              <w:left w:w="0" w:type="dxa"/>
              <w:bottom w:w="0" w:type="dxa"/>
              <w:right w:w="0" w:type="dxa"/>
            </w:tcMar>
            <w:vAlign w:val="center"/>
          </w:tcPr>
          <w:p w14:paraId="047AD86F" w14:textId="77777777" w:rsidR="005879B1" w:rsidRDefault="00A97397">
            <w:pPr>
              <w:pBdr>
                <w:top w:val="none" w:sz="0" w:space="0" w:color="000000"/>
                <w:left w:val="none" w:sz="0" w:space="0" w:color="000000"/>
                <w:bottom w:val="none" w:sz="0" w:space="0" w:color="000000"/>
                <w:right w:val="none" w:sz="0" w:space="0" w:color="000000"/>
              </w:pBdr>
              <w:spacing w:before="100" w:after="100" w:line="240" w:lineRule="auto"/>
              <w:ind w:left="100" w:right="100"/>
              <w:rPr>
                <w:rFonts w:eastAsia="Verdana" w:cs="Verdana"/>
                <w:color w:val="FFFFFF"/>
                <w:sz w:val="16"/>
                <w:szCs w:val="16"/>
              </w:rPr>
            </w:pPr>
            <w:r>
              <w:rPr>
                <w:rFonts w:eastAsia="Verdana" w:cs="Verdana"/>
                <w:color w:val="FFFFFF"/>
                <w:sz w:val="16"/>
                <w:szCs w:val="16"/>
              </w:rPr>
              <w:t>Employment</w:t>
            </w:r>
          </w:p>
        </w:tc>
      </w:tr>
      <w:tr w:rsidR="005879B1" w14:paraId="22140F80" w14:textId="77777777">
        <w:tc>
          <w:tcPr>
            <w:tcW w:w="28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DBEBEC0" w14:textId="77777777" w:rsidR="005879B1" w:rsidRDefault="00A97397">
            <w:pPr>
              <w:pBdr>
                <w:top w:val="none" w:sz="0" w:space="0" w:color="000000"/>
                <w:left w:val="none" w:sz="0" w:space="0" w:color="000000"/>
                <w:bottom w:val="none" w:sz="0" w:space="0" w:color="000000"/>
                <w:right w:val="none" w:sz="0" w:space="0" w:color="000000"/>
              </w:pBdr>
              <w:spacing w:before="100" w:after="100" w:line="240" w:lineRule="auto"/>
              <w:ind w:left="100" w:right="100"/>
              <w:rPr>
                <w:rFonts w:eastAsia="Verdana" w:cs="Verdana"/>
                <w:color w:val="252C65"/>
                <w:sz w:val="16"/>
                <w:szCs w:val="16"/>
              </w:rPr>
            </w:pPr>
            <w:r>
              <w:rPr>
                <w:rFonts w:eastAsia="Verdana" w:cs="Verdana"/>
                <w:color w:val="252C65"/>
                <w:sz w:val="16"/>
                <w:szCs w:val="16"/>
              </w:rPr>
              <w:t>Duration in employment</w:t>
            </w:r>
          </w:p>
        </w:tc>
        <w:tc>
          <w:tcPr>
            <w:tcW w:w="57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9A88C1E" w14:textId="77777777" w:rsidR="005879B1" w:rsidRDefault="00A97397">
            <w:pPr>
              <w:pBdr>
                <w:top w:val="none" w:sz="0" w:space="0" w:color="000000"/>
                <w:left w:val="none" w:sz="0" w:space="0" w:color="000000"/>
                <w:bottom w:val="none" w:sz="0" w:space="0" w:color="000000"/>
                <w:right w:val="none" w:sz="0" w:space="0" w:color="000000"/>
              </w:pBdr>
              <w:spacing w:before="100" w:after="100" w:line="240" w:lineRule="auto"/>
              <w:ind w:left="100" w:right="100"/>
              <w:rPr>
                <w:rFonts w:eastAsia="Verdana" w:cs="Verdana"/>
                <w:color w:val="252C65"/>
                <w:sz w:val="16"/>
                <w:szCs w:val="16"/>
              </w:rPr>
            </w:pPr>
            <w:r>
              <w:rPr>
                <w:rFonts w:eastAsia="Verdana" w:cs="Verdana"/>
                <w:color w:val="252C65"/>
                <w:sz w:val="16"/>
                <w:szCs w:val="16"/>
              </w:rPr>
              <w:t>If currently employed the duration in their current spell of employment.</w:t>
            </w:r>
          </w:p>
        </w:tc>
      </w:tr>
      <w:tr w:rsidR="005879B1" w14:paraId="36653684" w14:textId="77777777">
        <w:tc>
          <w:tcPr>
            <w:tcW w:w="28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6A3689B" w14:textId="77777777" w:rsidR="005879B1" w:rsidRDefault="00A97397">
            <w:pPr>
              <w:pBdr>
                <w:top w:val="none" w:sz="0" w:space="0" w:color="000000"/>
                <w:left w:val="none" w:sz="0" w:space="0" w:color="000000"/>
                <w:bottom w:val="none" w:sz="0" w:space="0" w:color="000000"/>
                <w:right w:val="none" w:sz="0" w:space="0" w:color="000000"/>
              </w:pBdr>
              <w:spacing w:before="100" w:after="100" w:line="240" w:lineRule="auto"/>
              <w:ind w:left="100" w:right="100"/>
              <w:rPr>
                <w:rFonts w:eastAsia="Verdana" w:cs="Verdana"/>
                <w:color w:val="252C65"/>
                <w:sz w:val="16"/>
                <w:szCs w:val="16"/>
              </w:rPr>
            </w:pPr>
            <w:r>
              <w:rPr>
                <w:rFonts w:eastAsia="Verdana" w:cs="Verdana"/>
                <w:color w:val="252C65"/>
                <w:sz w:val="16"/>
                <w:szCs w:val="16"/>
              </w:rPr>
              <w:t>Duration since last employment</w:t>
            </w:r>
          </w:p>
        </w:tc>
        <w:tc>
          <w:tcPr>
            <w:tcW w:w="57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5F0EA9B" w14:textId="77777777" w:rsidR="005879B1" w:rsidRDefault="00A97397">
            <w:pPr>
              <w:pBdr>
                <w:top w:val="none" w:sz="0" w:space="0" w:color="000000"/>
                <w:left w:val="none" w:sz="0" w:space="0" w:color="000000"/>
                <w:bottom w:val="none" w:sz="0" w:space="0" w:color="000000"/>
                <w:right w:val="none" w:sz="0" w:space="0" w:color="000000"/>
              </w:pBdr>
              <w:spacing w:before="100" w:after="100" w:line="240" w:lineRule="auto"/>
              <w:ind w:left="100" w:right="100"/>
              <w:rPr>
                <w:rFonts w:eastAsia="Verdana" w:cs="Verdana"/>
                <w:color w:val="252C65"/>
                <w:sz w:val="16"/>
                <w:szCs w:val="16"/>
              </w:rPr>
            </w:pPr>
            <w:r>
              <w:rPr>
                <w:rFonts w:eastAsia="Verdana" w:cs="Verdana"/>
                <w:color w:val="252C65"/>
                <w:sz w:val="16"/>
                <w:szCs w:val="16"/>
              </w:rPr>
              <w:t>If not employed, the time since last employment.</w:t>
            </w:r>
          </w:p>
        </w:tc>
      </w:tr>
      <w:tr w:rsidR="005879B1" w14:paraId="67D41BD3" w14:textId="77777777">
        <w:tc>
          <w:tcPr>
            <w:tcW w:w="28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3E949AE" w14:textId="77777777" w:rsidR="005879B1" w:rsidRDefault="00A97397">
            <w:pPr>
              <w:pBdr>
                <w:top w:val="none" w:sz="0" w:space="0" w:color="000000"/>
                <w:left w:val="none" w:sz="0" w:space="0" w:color="000000"/>
                <w:bottom w:val="none" w:sz="0" w:space="0" w:color="000000"/>
                <w:right w:val="none" w:sz="0" w:space="0" w:color="000000"/>
              </w:pBdr>
              <w:spacing w:before="100" w:after="100" w:line="240" w:lineRule="auto"/>
              <w:ind w:left="100" w:right="100"/>
              <w:rPr>
                <w:rFonts w:eastAsia="Verdana" w:cs="Verdana"/>
                <w:color w:val="252C65"/>
                <w:sz w:val="16"/>
                <w:szCs w:val="16"/>
              </w:rPr>
            </w:pPr>
            <w:r>
              <w:rPr>
                <w:rFonts w:eastAsia="Verdana" w:cs="Verdana"/>
                <w:color w:val="252C65"/>
                <w:sz w:val="16"/>
                <w:szCs w:val="16"/>
              </w:rPr>
              <w:lastRenderedPageBreak/>
              <w:t>Working life in employment</w:t>
            </w:r>
          </w:p>
        </w:tc>
        <w:tc>
          <w:tcPr>
            <w:tcW w:w="57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7BC8F5A" w14:textId="77777777" w:rsidR="005879B1" w:rsidRDefault="00A97397">
            <w:pPr>
              <w:pBdr>
                <w:top w:val="none" w:sz="0" w:space="0" w:color="000000"/>
                <w:left w:val="none" w:sz="0" w:space="0" w:color="000000"/>
                <w:bottom w:val="none" w:sz="0" w:space="0" w:color="000000"/>
                <w:right w:val="none" w:sz="0" w:space="0" w:color="000000"/>
              </w:pBdr>
              <w:spacing w:before="100" w:after="100" w:line="240" w:lineRule="auto"/>
              <w:ind w:left="100" w:right="100"/>
              <w:rPr>
                <w:rFonts w:eastAsia="Verdana" w:cs="Verdana"/>
                <w:color w:val="252C65"/>
                <w:sz w:val="16"/>
                <w:szCs w:val="16"/>
              </w:rPr>
            </w:pPr>
            <w:r>
              <w:rPr>
                <w:rFonts w:eastAsia="Verdana" w:cs="Verdana"/>
                <w:color w:val="252C65"/>
                <w:sz w:val="16"/>
                <w:szCs w:val="16"/>
              </w:rPr>
              <w:t>Proportion of working life (16-64) spent in employment, excluding time living outside New Zealand or before the year 2000.</w:t>
            </w:r>
          </w:p>
        </w:tc>
      </w:tr>
      <w:tr w:rsidR="005879B1" w14:paraId="62D99796" w14:textId="77777777">
        <w:tc>
          <w:tcPr>
            <w:tcW w:w="28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F3C6D54" w14:textId="77777777" w:rsidR="005879B1" w:rsidRDefault="00A97397">
            <w:pPr>
              <w:pBdr>
                <w:top w:val="none" w:sz="0" w:space="0" w:color="000000"/>
                <w:left w:val="none" w:sz="0" w:space="0" w:color="000000"/>
                <w:bottom w:val="none" w:sz="0" w:space="0" w:color="000000"/>
                <w:right w:val="none" w:sz="0" w:space="0" w:color="000000"/>
              </w:pBdr>
              <w:spacing w:before="100" w:after="100" w:line="240" w:lineRule="auto"/>
              <w:ind w:left="100" w:right="100"/>
              <w:rPr>
                <w:rFonts w:eastAsia="Verdana" w:cs="Verdana"/>
                <w:color w:val="252C65"/>
                <w:sz w:val="16"/>
                <w:szCs w:val="16"/>
              </w:rPr>
            </w:pPr>
            <w:r>
              <w:rPr>
                <w:rFonts w:eastAsia="Verdana" w:cs="Verdana"/>
                <w:color w:val="252C65"/>
                <w:sz w:val="16"/>
                <w:szCs w:val="16"/>
              </w:rPr>
              <w:t>Employment history</w:t>
            </w:r>
          </w:p>
        </w:tc>
        <w:tc>
          <w:tcPr>
            <w:tcW w:w="57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C3B1D22" w14:textId="77777777" w:rsidR="005879B1" w:rsidRDefault="00A97397">
            <w:pPr>
              <w:pBdr>
                <w:top w:val="none" w:sz="0" w:space="0" w:color="000000"/>
                <w:left w:val="none" w:sz="0" w:space="0" w:color="000000"/>
                <w:bottom w:val="none" w:sz="0" w:space="0" w:color="000000"/>
                <w:right w:val="none" w:sz="0" w:space="0" w:color="000000"/>
              </w:pBdr>
              <w:spacing w:before="100" w:after="100" w:line="240" w:lineRule="auto"/>
              <w:ind w:left="100" w:right="100"/>
              <w:rPr>
                <w:rFonts w:eastAsia="Verdana" w:cs="Verdana"/>
                <w:color w:val="252C65"/>
                <w:sz w:val="16"/>
                <w:szCs w:val="16"/>
              </w:rPr>
            </w:pPr>
            <w:r>
              <w:rPr>
                <w:rFonts w:eastAsia="Verdana" w:cs="Verdana"/>
                <w:color w:val="252C65"/>
                <w:sz w:val="16"/>
                <w:szCs w:val="16"/>
              </w:rPr>
              <w:t>Employment status at set months before profile date.</w:t>
            </w:r>
          </w:p>
        </w:tc>
      </w:tr>
      <w:tr w:rsidR="005879B1" w14:paraId="235737E9" w14:textId="77777777">
        <w:tc>
          <w:tcPr>
            <w:tcW w:w="8640" w:type="dxa"/>
            <w:gridSpan w:val="2"/>
            <w:tcBorders>
              <w:top w:val="single" w:sz="8" w:space="0" w:color="999EC6"/>
              <w:left w:val="none" w:sz="0" w:space="0" w:color="000000"/>
              <w:bottom w:val="single" w:sz="8" w:space="0" w:color="999EC6"/>
              <w:right w:val="none" w:sz="0" w:space="0" w:color="000000"/>
            </w:tcBorders>
            <w:shd w:val="clear" w:color="auto" w:fill="252C65"/>
            <w:tcMar>
              <w:top w:w="0" w:type="dxa"/>
              <w:left w:w="0" w:type="dxa"/>
              <w:bottom w:w="0" w:type="dxa"/>
              <w:right w:w="0" w:type="dxa"/>
            </w:tcMar>
            <w:vAlign w:val="center"/>
          </w:tcPr>
          <w:p w14:paraId="50994775" w14:textId="77777777" w:rsidR="005879B1" w:rsidRDefault="00A97397">
            <w:pPr>
              <w:pBdr>
                <w:top w:val="none" w:sz="0" w:space="0" w:color="000000"/>
                <w:left w:val="none" w:sz="0" w:space="0" w:color="000000"/>
                <w:bottom w:val="none" w:sz="0" w:space="0" w:color="000000"/>
                <w:right w:val="none" w:sz="0" w:space="0" w:color="000000"/>
              </w:pBdr>
              <w:spacing w:before="100" w:after="100" w:line="240" w:lineRule="auto"/>
              <w:ind w:left="100" w:right="100"/>
              <w:rPr>
                <w:rFonts w:eastAsia="Verdana" w:cs="Verdana"/>
                <w:color w:val="FFFFFF"/>
                <w:sz w:val="16"/>
                <w:szCs w:val="16"/>
              </w:rPr>
            </w:pPr>
            <w:r>
              <w:rPr>
                <w:rFonts w:eastAsia="Verdana" w:cs="Verdana"/>
                <w:color w:val="FFFFFF"/>
                <w:sz w:val="16"/>
                <w:szCs w:val="16"/>
              </w:rPr>
              <w:t>Income Support</w:t>
            </w:r>
          </w:p>
        </w:tc>
      </w:tr>
      <w:tr w:rsidR="005879B1" w14:paraId="72DE0AE8" w14:textId="77777777">
        <w:tc>
          <w:tcPr>
            <w:tcW w:w="28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408A867" w14:textId="77777777" w:rsidR="005879B1" w:rsidRDefault="00A97397">
            <w:pPr>
              <w:pBdr>
                <w:top w:val="none" w:sz="0" w:space="0" w:color="000000"/>
                <w:left w:val="none" w:sz="0" w:space="0" w:color="000000"/>
                <w:bottom w:val="none" w:sz="0" w:space="0" w:color="000000"/>
                <w:right w:val="none" w:sz="0" w:space="0" w:color="000000"/>
              </w:pBdr>
              <w:spacing w:before="100" w:after="100" w:line="240" w:lineRule="auto"/>
              <w:ind w:left="100" w:right="100"/>
              <w:rPr>
                <w:rFonts w:eastAsia="Verdana" w:cs="Verdana"/>
                <w:color w:val="252C65"/>
                <w:sz w:val="16"/>
                <w:szCs w:val="16"/>
              </w:rPr>
            </w:pPr>
            <w:r>
              <w:rPr>
                <w:rFonts w:eastAsia="Verdana" w:cs="Verdana"/>
                <w:color w:val="252C65"/>
                <w:sz w:val="16"/>
                <w:szCs w:val="16"/>
              </w:rPr>
              <w:t>Current benefit status</w:t>
            </w:r>
          </w:p>
        </w:tc>
        <w:tc>
          <w:tcPr>
            <w:tcW w:w="57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B31718D" w14:textId="77777777" w:rsidR="005879B1" w:rsidRDefault="00A97397">
            <w:pPr>
              <w:pBdr>
                <w:top w:val="none" w:sz="0" w:space="0" w:color="000000"/>
                <w:left w:val="none" w:sz="0" w:space="0" w:color="000000"/>
                <w:bottom w:val="none" w:sz="0" w:space="0" w:color="000000"/>
                <w:right w:val="none" w:sz="0" w:space="0" w:color="000000"/>
              </w:pBdr>
              <w:spacing w:before="100" w:after="100" w:line="240" w:lineRule="auto"/>
              <w:ind w:left="100" w:right="100"/>
              <w:rPr>
                <w:rFonts w:eastAsia="Verdana" w:cs="Verdana"/>
                <w:color w:val="252C65"/>
                <w:sz w:val="16"/>
                <w:szCs w:val="16"/>
              </w:rPr>
            </w:pPr>
            <w:r>
              <w:rPr>
                <w:rFonts w:eastAsia="Verdana" w:cs="Verdana"/>
                <w:color w:val="252C65"/>
                <w:sz w:val="16"/>
                <w:szCs w:val="16"/>
              </w:rPr>
              <w:t>Current main benefit information.</w:t>
            </w:r>
          </w:p>
        </w:tc>
      </w:tr>
      <w:tr w:rsidR="005879B1" w14:paraId="6D53CB9E" w14:textId="77777777">
        <w:tc>
          <w:tcPr>
            <w:tcW w:w="28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B555A92" w14:textId="77777777" w:rsidR="005879B1" w:rsidRDefault="00A97397">
            <w:pPr>
              <w:pBdr>
                <w:top w:val="none" w:sz="0" w:space="0" w:color="000000"/>
                <w:left w:val="none" w:sz="0" w:space="0" w:color="000000"/>
                <w:bottom w:val="none" w:sz="0" w:space="0" w:color="000000"/>
                <w:right w:val="none" w:sz="0" w:space="0" w:color="000000"/>
              </w:pBdr>
              <w:spacing w:before="100" w:after="100" w:line="240" w:lineRule="auto"/>
              <w:ind w:left="100" w:right="100"/>
              <w:rPr>
                <w:rFonts w:eastAsia="Verdana" w:cs="Verdana"/>
                <w:color w:val="252C65"/>
                <w:sz w:val="16"/>
                <w:szCs w:val="16"/>
              </w:rPr>
            </w:pPr>
            <w:r>
              <w:rPr>
                <w:rFonts w:eastAsia="Verdana" w:cs="Verdana"/>
                <w:color w:val="252C65"/>
                <w:sz w:val="16"/>
                <w:szCs w:val="16"/>
              </w:rPr>
              <w:t>Benefit duration</w:t>
            </w:r>
          </w:p>
        </w:tc>
        <w:tc>
          <w:tcPr>
            <w:tcW w:w="57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4806949" w14:textId="77777777" w:rsidR="005879B1" w:rsidRDefault="00A97397">
            <w:pPr>
              <w:pBdr>
                <w:top w:val="none" w:sz="0" w:space="0" w:color="000000"/>
                <w:left w:val="none" w:sz="0" w:space="0" w:color="000000"/>
                <w:bottom w:val="none" w:sz="0" w:space="0" w:color="000000"/>
                <w:right w:val="none" w:sz="0" w:space="0" w:color="000000"/>
              </w:pBdr>
              <w:spacing w:before="100" w:after="100" w:line="240" w:lineRule="auto"/>
              <w:ind w:left="100" w:right="100"/>
              <w:rPr>
                <w:rFonts w:eastAsia="Verdana" w:cs="Verdana"/>
                <w:color w:val="252C65"/>
                <w:sz w:val="16"/>
                <w:szCs w:val="16"/>
              </w:rPr>
            </w:pPr>
            <w:r>
              <w:rPr>
                <w:rFonts w:eastAsia="Verdana" w:cs="Verdana"/>
                <w:color w:val="252C65"/>
                <w:sz w:val="16"/>
                <w:szCs w:val="16"/>
              </w:rPr>
              <w:t>Duration on current main benefit.</w:t>
            </w:r>
          </w:p>
        </w:tc>
      </w:tr>
      <w:tr w:rsidR="005879B1" w14:paraId="7F76378B" w14:textId="77777777">
        <w:tc>
          <w:tcPr>
            <w:tcW w:w="28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2B74BC8" w14:textId="77777777" w:rsidR="005879B1" w:rsidRDefault="00A97397">
            <w:pPr>
              <w:pBdr>
                <w:top w:val="none" w:sz="0" w:space="0" w:color="000000"/>
                <w:left w:val="none" w:sz="0" w:space="0" w:color="000000"/>
                <w:bottom w:val="none" w:sz="0" w:space="0" w:color="000000"/>
                <w:right w:val="none" w:sz="0" w:space="0" w:color="000000"/>
              </w:pBdr>
              <w:spacing w:before="100" w:after="100" w:line="240" w:lineRule="auto"/>
              <w:ind w:left="100" w:right="100"/>
              <w:rPr>
                <w:rFonts w:eastAsia="Verdana" w:cs="Verdana"/>
                <w:color w:val="252C65"/>
                <w:sz w:val="16"/>
                <w:szCs w:val="16"/>
              </w:rPr>
            </w:pPr>
            <w:r>
              <w:rPr>
                <w:rFonts w:eastAsia="Verdana" w:cs="Verdana"/>
                <w:color w:val="252C65"/>
                <w:sz w:val="16"/>
                <w:szCs w:val="16"/>
              </w:rPr>
              <w:t>Recent benefit history</w:t>
            </w:r>
          </w:p>
        </w:tc>
        <w:tc>
          <w:tcPr>
            <w:tcW w:w="57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CE31A57" w14:textId="77777777" w:rsidR="005879B1" w:rsidRDefault="00A97397">
            <w:pPr>
              <w:pBdr>
                <w:top w:val="none" w:sz="0" w:space="0" w:color="000000"/>
                <w:left w:val="none" w:sz="0" w:space="0" w:color="000000"/>
                <w:bottom w:val="none" w:sz="0" w:space="0" w:color="000000"/>
                <w:right w:val="none" w:sz="0" w:space="0" w:color="000000"/>
              </w:pBdr>
              <w:spacing w:before="100" w:after="100" w:line="240" w:lineRule="auto"/>
              <w:ind w:left="100" w:right="100"/>
              <w:rPr>
                <w:rFonts w:eastAsia="Verdana" w:cs="Verdana"/>
                <w:color w:val="252C65"/>
                <w:sz w:val="16"/>
                <w:szCs w:val="16"/>
              </w:rPr>
            </w:pPr>
            <w:r>
              <w:rPr>
                <w:rFonts w:eastAsia="Verdana" w:cs="Verdana"/>
                <w:color w:val="252C65"/>
                <w:sz w:val="16"/>
                <w:szCs w:val="16"/>
              </w:rPr>
              <w:t>Previous main benefit received.</w:t>
            </w:r>
          </w:p>
        </w:tc>
      </w:tr>
      <w:tr w:rsidR="005879B1" w14:paraId="6745D5DE" w14:textId="77777777">
        <w:tc>
          <w:tcPr>
            <w:tcW w:w="28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53DDBAF" w14:textId="77777777" w:rsidR="005879B1" w:rsidRDefault="00A97397">
            <w:pPr>
              <w:pBdr>
                <w:top w:val="none" w:sz="0" w:space="0" w:color="000000"/>
                <w:left w:val="none" w:sz="0" w:space="0" w:color="000000"/>
                <w:bottom w:val="none" w:sz="0" w:space="0" w:color="000000"/>
                <w:right w:val="none" w:sz="0" w:space="0" w:color="000000"/>
              </w:pBdr>
              <w:spacing w:before="100" w:after="100" w:line="240" w:lineRule="auto"/>
              <w:ind w:left="100" w:right="100"/>
              <w:rPr>
                <w:rFonts w:eastAsia="Verdana" w:cs="Verdana"/>
                <w:color w:val="252C65"/>
                <w:sz w:val="16"/>
                <w:szCs w:val="16"/>
              </w:rPr>
            </w:pPr>
            <w:r>
              <w:rPr>
                <w:rFonts w:eastAsia="Verdana" w:cs="Verdana"/>
                <w:color w:val="252C65"/>
                <w:sz w:val="16"/>
                <w:szCs w:val="16"/>
              </w:rPr>
              <w:t>Total benefit contact</w:t>
            </w:r>
          </w:p>
        </w:tc>
        <w:tc>
          <w:tcPr>
            <w:tcW w:w="57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121C315" w14:textId="77777777" w:rsidR="005879B1" w:rsidRDefault="00A97397">
            <w:pPr>
              <w:pBdr>
                <w:top w:val="none" w:sz="0" w:space="0" w:color="000000"/>
                <w:left w:val="none" w:sz="0" w:space="0" w:color="000000"/>
                <w:bottom w:val="none" w:sz="0" w:space="0" w:color="000000"/>
                <w:right w:val="none" w:sz="0" w:space="0" w:color="000000"/>
              </w:pBdr>
              <w:spacing w:before="100" w:after="100" w:line="240" w:lineRule="auto"/>
              <w:ind w:left="100" w:right="100"/>
              <w:rPr>
                <w:rFonts w:eastAsia="Verdana" w:cs="Verdana"/>
                <w:color w:val="252C65"/>
                <w:sz w:val="16"/>
                <w:szCs w:val="16"/>
              </w:rPr>
            </w:pPr>
            <w:r>
              <w:rPr>
                <w:rFonts w:eastAsia="Verdana" w:cs="Verdana"/>
                <w:color w:val="252C65"/>
                <w:sz w:val="16"/>
                <w:szCs w:val="16"/>
              </w:rPr>
              <w:t>Proportion of adult life spent on different types of main benefit.</w:t>
            </w:r>
          </w:p>
        </w:tc>
      </w:tr>
      <w:tr w:rsidR="005879B1" w14:paraId="349DAA66" w14:textId="77777777">
        <w:tc>
          <w:tcPr>
            <w:tcW w:w="28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D2A8C4C" w14:textId="77777777" w:rsidR="005879B1" w:rsidRDefault="00A97397">
            <w:pPr>
              <w:pBdr>
                <w:top w:val="none" w:sz="0" w:space="0" w:color="000000"/>
                <w:left w:val="none" w:sz="0" w:space="0" w:color="000000"/>
                <w:bottom w:val="none" w:sz="0" w:space="0" w:color="000000"/>
                <w:right w:val="none" w:sz="0" w:space="0" w:color="000000"/>
              </w:pBdr>
              <w:spacing w:before="100" w:after="100" w:line="240" w:lineRule="auto"/>
              <w:ind w:left="100" w:right="100"/>
              <w:rPr>
                <w:rFonts w:eastAsia="Verdana" w:cs="Verdana"/>
                <w:color w:val="252C65"/>
                <w:sz w:val="16"/>
                <w:szCs w:val="16"/>
              </w:rPr>
            </w:pPr>
            <w:r>
              <w:rPr>
                <w:rFonts w:eastAsia="Verdana" w:cs="Verdana"/>
                <w:color w:val="252C65"/>
                <w:sz w:val="16"/>
                <w:szCs w:val="16"/>
              </w:rPr>
              <w:t>First benefit information</w:t>
            </w:r>
          </w:p>
        </w:tc>
        <w:tc>
          <w:tcPr>
            <w:tcW w:w="57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45539F7" w14:textId="77777777" w:rsidR="005879B1" w:rsidRDefault="00A97397">
            <w:pPr>
              <w:pBdr>
                <w:top w:val="none" w:sz="0" w:space="0" w:color="000000"/>
                <w:left w:val="none" w:sz="0" w:space="0" w:color="000000"/>
                <w:bottom w:val="none" w:sz="0" w:space="0" w:color="000000"/>
                <w:right w:val="none" w:sz="0" w:space="0" w:color="000000"/>
              </w:pBdr>
              <w:spacing w:before="100" w:after="100" w:line="240" w:lineRule="auto"/>
              <w:ind w:left="100" w:right="100"/>
              <w:rPr>
                <w:rFonts w:eastAsia="Verdana" w:cs="Verdana"/>
                <w:color w:val="252C65"/>
                <w:sz w:val="16"/>
                <w:szCs w:val="16"/>
              </w:rPr>
            </w:pPr>
            <w:r>
              <w:rPr>
                <w:rFonts w:eastAsia="Verdana" w:cs="Verdana"/>
                <w:color w:val="252C65"/>
                <w:sz w:val="16"/>
                <w:szCs w:val="16"/>
              </w:rPr>
              <w:t>Age and which benefit a person was first granted.</w:t>
            </w:r>
          </w:p>
        </w:tc>
      </w:tr>
      <w:tr w:rsidR="005879B1" w14:paraId="36E4C8EF" w14:textId="77777777">
        <w:tc>
          <w:tcPr>
            <w:tcW w:w="28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F9ED396" w14:textId="77777777" w:rsidR="005879B1" w:rsidRDefault="00A97397">
            <w:pPr>
              <w:pBdr>
                <w:top w:val="none" w:sz="0" w:space="0" w:color="000000"/>
                <w:left w:val="none" w:sz="0" w:space="0" w:color="000000"/>
                <w:bottom w:val="none" w:sz="0" w:space="0" w:color="000000"/>
                <w:right w:val="none" w:sz="0" w:space="0" w:color="000000"/>
              </w:pBdr>
              <w:spacing w:before="100" w:after="100" w:line="240" w:lineRule="auto"/>
              <w:ind w:left="100" w:right="100"/>
              <w:rPr>
                <w:rFonts w:eastAsia="Verdana" w:cs="Verdana"/>
                <w:color w:val="252C65"/>
                <w:sz w:val="16"/>
                <w:szCs w:val="16"/>
              </w:rPr>
            </w:pPr>
            <w:r>
              <w:rPr>
                <w:rFonts w:eastAsia="Verdana" w:cs="Verdana"/>
                <w:color w:val="252C65"/>
                <w:sz w:val="16"/>
                <w:szCs w:val="16"/>
              </w:rPr>
              <w:t>Childhood benefit receipt</w:t>
            </w:r>
          </w:p>
        </w:tc>
        <w:tc>
          <w:tcPr>
            <w:tcW w:w="57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B27F4BD" w14:textId="77777777" w:rsidR="005879B1" w:rsidRDefault="00A97397">
            <w:pPr>
              <w:pBdr>
                <w:top w:val="none" w:sz="0" w:space="0" w:color="000000"/>
                <w:left w:val="none" w:sz="0" w:space="0" w:color="000000"/>
                <w:bottom w:val="none" w:sz="0" w:space="0" w:color="000000"/>
                <w:right w:val="none" w:sz="0" w:space="0" w:color="000000"/>
              </w:pBdr>
              <w:spacing w:before="100" w:after="100" w:line="240" w:lineRule="auto"/>
              <w:ind w:left="100" w:right="100"/>
              <w:rPr>
                <w:rFonts w:eastAsia="Verdana" w:cs="Verdana"/>
                <w:color w:val="252C65"/>
                <w:sz w:val="16"/>
                <w:szCs w:val="16"/>
              </w:rPr>
            </w:pPr>
            <w:r>
              <w:rPr>
                <w:rFonts w:eastAsia="Verdana" w:cs="Verdana"/>
                <w:color w:val="252C65"/>
                <w:sz w:val="16"/>
                <w:szCs w:val="16"/>
              </w:rPr>
              <w:t>Time that care givers where receiving a main benefit split by age group.</w:t>
            </w:r>
          </w:p>
        </w:tc>
      </w:tr>
      <w:tr w:rsidR="005879B1" w14:paraId="37EDA9A0" w14:textId="77777777">
        <w:tc>
          <w:tcPr>
            <w:tcW w:w="28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1FD3D3D" w14:textId="77777777" w:rsidR="005879B1" w:rsidRDefault="00A97397">
            <w:pPr>
              <w:pBdr>
                <w:top w:val="none" w:sz="0" w:space="0" w:color="000000"/>
                <w:left w:val="none" w:sz="0" w:space="0" w:color="000000"/>
                <w:bottom w:val="none" w:sz="0" w:space="0" w:color="000000"/>
                <w:right w:val="none" w:sz="0" w:space="0" w:color="000000"/>
              </w:pBdr>
              <w:spacing w:before="100" w:after="100" w:line="240" w:lineRule="auto"/>
              <w:ind w:left="100" w:right="100"/>
              <w:rPr>
                <w:rFonts w:eastAsia="Verdana" w:cs="Verdana"/>
                <w:color w:val="252C65"/>
                <w:sz w:val="16"/>
                <w:szCs w:val="16"/>
              </w:rPr>
            </w:pPr>
            <w:r>
              <w:rPr>
                <w:rFonts w:eastAsia="Verdana" w:cs="Verdana"/>
                <w:color w:val="252C65"/>
                <w:sz w:val="16"/>
                <w:szCs w:val="16"/>
              </w:rPr>
              <w:t>Income support history</w:t>
            </w:r>
          </w:p>
        </w:tc>
        <w:tc>
          <w:tcPr>
            <w:tcW w:w="57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B22FA6A" w14:textId="77777777" w:rsidR="005879B1" w:rsidRDefault="00A97397">
            <w:pPr>
              <w:pBdr>
                <w:top w:val="none" w:sz="0" w:space="0" w:color="000000"/>
                <w:left w:val="none" w:sz="0" w:space="0" w:color="000000"/>
                <w:bottom w:val="none" w:sz="0" w:space="0" w:color="000000"/>
                <w:right w:val="none" w:sz="0" w:space="0" w:color="000000"/>
              </w:pBdr>
              <w:spacing w:before="100" w:after="100" w:line="240" w:lineRule="auto"/>
              <w:ind w:left="100" w:right="100"/>
              <w:rPr>
                <w:rFonts w:eastAsia="Verdana" w:cs="Verdana"/>
                <w:color w:val="252C65"/>
                <w:sz w:val="16"/>
                <w:szCs w:val="16"/>
              </w:rPr>
            </w:pPr>
            <w:r>
              <w:rPr>
                <w:rFonts w:eastAsia="Verdana" w:cs="Verdana"/>
                <w:color w:val="252C65"/>
                <w:sz w:val="16"/>
                <w:szCs w:val="16"/>
              </w:rPr>
              <w:t>Total income support payments at set months before profile date.</w:t>
            </w:r>
          </w:p>
        </w:tc>
      </w:tr>
      <w:tr w:rsidR="005879B1" w14:paraId="62690E40" w14:textId="77777777">
        <w:tc>
          <w:tcPr>
            <w:tcW w:w="8640" w:type="dxa"/>
            <w:gridSpan w:val="2"/>
            <w:tcBorders>
              <w:top w:val="single" w:sz="8" w:space="0" w:color="999EC6"/>
              <w:left w:val="none" w:sz="0" w:space="0" w:color="000000"/>
              <w:bottom w:val="single" w:sz="8" w:space="0" w:color="999EC6"/>
              <w:right w:val="none" w:sz="0" w:space="0" w:color="000000"/>
            </w:tcBorders>
            <w:shd w:val="clear" w:color="auto" w:fill="252C65"/>
            <w:tcMar>
              <w:top w:w="0" w:type="dxa"/>
              <w:left w:w="0" w:type="dxa"/>
              <w:bottom w:w="0" w:type="dxa"/>
              <w:right w:w="0" w:type="dxa"/>
            </w:tcMar>
            <w:vAlign w:val="center"/>
          </w:tcPr>
          <w:p w14:paraId="339125EF" w14:textId="77777777" w:rsidR="005879B1" w:rsidRDefault="00A97397">
            <w:pPr>
              <w:pBdr>
                <w:top w:val="none" w:sz="0" w:space="0" w:color="000000"/>
                <w:left w:val="none" w:sz="0" w:space="0" w:color="000000"/>
                <w:bottom w:val="none" w:sz="0" w:space="0" w:color="000000"/>
                <w:right w:val="none" w:sz="0" w:space="0" w:color="000000"/>
              </w:pBdr>
              <w:spacing w:before="100" w:after="100" w:line="240" w:lineRule="auto"/>
              <w:ind w:left="100" w:right="100"/>
              <w:rPr>
                <w:rFonts w:eastAsia="Verdana" w:cs="Verdana"/>
                <w:color w:val="FFFFFF"/>
                <w:sz w:val="16"/>
                <w:szCs w:val="16"/>
              </w:rPr>
            </w:pPr>
            <w:r>
              <w:rPr>
                <w:rFonts w:eastAsia="Verdana" w:cs="Verdana"/>
                <w:color w:val="FFFFFF"/>
                <w:sz w:val="16"/>
                <w:szCs w:val="16"/>
              </w:rPr>
              <w:t>Justice</w:t>
            </w:r>
          </w:p>
        </w:tc>
      </w:tr>
      <w:tr w:rsidR="005879B1" w14:paraId="569981C6" w14:textId="77777777">
        <w:tc>
          <w:tcPr>
            <w:tcW w:w="28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3549194" w14:textId="77777777" w:rsidR="005879B1" w:rsidRDefault="00A97397">
            <w:pPr>
              <w:pBdr>
                <w:top w:val="none" w:sz="0" w:space="0" w:color="000000"/>
                <w:left w:val="none" w:sz="0" w:space="0" w:color="000000"/>
                <w:bottom w:val="none" w:sz="0" w:space="0" w:color="000000"/>
                <w:right w:val="none" w:sz="0" w:space="0" w:color="000000"/>
              </w:pBdr>
              <w:spacing w:before="100" w:after="100" w:line="240" w:lineRule="auto"/>
              <w:ind w:left="100" w:right="100"/>
              <w:rPr>
                <w:rFonts w:eastAsia="Verdana" w:cs="Verdana"/>
                <w:color w:val="252C65"/>
                <w:sz w:val="16"/>
                <w:szCs w:val="16"/>
              </w:rPr>
            </w:pPr>
            <w:r>
              <w:rPr>
                <w:rFonts w:eastAsia="Verdana" w:cs="Verdana"/>
                <w:color w:val="252C65"/>
                <w:sz w:val="16"/>
                <w:szCs w:val="16"/>
              </w:rPr>
              <w:t>Police offences</w:t>
            </w:r>
          </w:p>
        </w:tc>
        <w:tc>
          <w:tcPr>
            <w:tcW w:w="57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E61BCED" w14:textId="77777777" w:rsidR="005879B1" w:rsidRDefault="00A97397">
            <w:pPr>
              <w:pBdr>
                <w:top w:val="none" w:sz="0" w:space="0" w:color="000000"/>
                <w:left w:val="none" w:sz="0" w:space="0" w:color="000000"/>
                <w:bottom w:val="none" w:sz="0" w:space="0" w:color="000000"/>
                <w:right w:val="none" w:sz="0" w:space="0" w:color="000000"/>
              </w:pBdr>
              <w:spacing w:before="100" w:after="100" w:line="240" w:lineRule="auto"/>
              <w:ind w:left="100" w:right="100"/>
              <w:rPr>
                <w:rFonts w:eastAsia="Verdana" w:cs="Verdana"/>
                <w:color w:val="252C65"/>
                <w:sz w:val="16"/>
                <w:szCs w:val="16"/>
              </w:rPr>
            </w:pPr>
            <w:r>
              <w:rPr>
                <w:rFonts w:eastAsia="Verdana" w:cs="Verdana"/>
                <w:color w:val="252C65"/>
                <w:sz w:val="16"/>
                <w:szCs w:val="16"/>
              </w:rPr>
              <w:t>Includes number of offences, the time since last offence, the most serious offence and age of first arrest.</w:t>
            </w:r>
          </w:p>
        </w:tc>
      </w:tr>
      <w:tr w:rsidR="005879B1" w14:paraId="7CF9209A" w14:textId="77777777">
        <w:tc>
          <w:tcPr>
            <w:tcW w:w="28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A14732D" w14:textId="77777777" w:rsidR="005879B1" w:rsidRDefault="00A97397">
            <w:pPr>
              <w:pBdr>
                <w:top w:val="none" w:sz="0" w:space="0" w:color="000000"/>
                <w:left w:val="none" w:sz="0" w:space="0" w:color="000000"/>
                <w:bottom w:val="none" w:sz="0" w:space="0" w:color="000000"/>
                <w:right w:val="none" w:sz="0" w:space="0" w:color="000000"/>
              </w:pBdr>
              <w:spacing w:before="100" w:after="100" w:line="240" w:lineRule="auto"/>
              <w:ind w:left="100" w:right="100"/>
              <w:rPr>
                <w:rFonts w:eastAsia="Verdana" w:cs="Verdana"/>
                <w:color w:val="252C65"/>
                <w:sz w:val="16"/>
                <w:szCs w:val="16"/>
              </w:rPr>
            </w:pPr>
            <w:r>
              <w:rPr>
                <w:rFonts w:eastAsia="Verdana" w:cs="Verdana"/>
                <w:color w:val="252C65"/>
                <w:sz w:val="16"/>
                <w:szCs w:val="16"/>
              </w:rPr>
              <w:t>Corrections spells</w:t>
            </w:r>
          </w:p>
        </w:tc>
        <w:tc>
          <w:tcPr>
            <w:tcW w:w="57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D9374EA" w14:textId="77777777" w:rsidR="005879B1" w:rsidRDefault="00A97397">
            <w:pPr>
              <w:pBdr>
                <w:top w:val="none" w:sz="0" w:space="0" w:color="000000"/>
                <w:left w:val="none" w:sz="0" w:space="0" w:color="000000"/>
                <w:bottom w:val="none" w:sz="0" w:space="0" w:color="000000"/>
                <w:right w:val="none" w:sz="0" w:space="0" w:color="000000"/>
              </w:pBdr>
              <w:spacing w:before="100" w:after="100" w:line="240" w:lineRule="auto"/>
              <w:ind w:left="100" w:right="100"/>
              <w:rPr>
                <w:rFonts w:eastAsia="Verdana" w:cs="Verdana"/>
                <w:color w:val="252C65"/>
                <w:sz w:val="16"/>
                <w:szCs w:val="16"/>
              </w:rPr>
            </w:pPr>
            <w:r>
              <w:rPr>
                <w:rFonts w:eastAsia="Verdana" w:cs="Verdana"/>
                <w:color w:val="252C65"/>
                <w:sz w:val="16"/>
                <w:szCs w:val="16"/>
              </w:rPr>
              <w:t>Total time spent in different Corrections services, age of first Correction contact and time since last Correction involvement.</w:t>
            </w:r>
          </w:p>
        </w:tc>
      </w:tr>
      <w:tr w:rsidR="005879B1" w14:paraId="51282DD7" w14:textId="77777777">
        <w:tc>
          <w:tcPr>
            <w:tcW w:w="28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C64ADDA" w14:textId="77777777" w:rsidR="005879B1" w:rsidRDefault="00A97397">
            <w:pPr>
              <w:pBdr>
                <w:top w:val="none" w:sz="0" w:space="0" w:color="000000"/>
                <w:left w:val="none" w:sz="0" w:space="0" w:color="000000"/>
                <w:bottom w:val="none" w:sz="0" w:space="0" w:color="000000"/>
                <w:right w:val="none" w:sz="0" w:space="0" w:color="000000"/>
              </w:pBdr>
              <w:spacing w:before="100" w:after="100" w:line="240" w:lineRule="auto"/>
              <w:ind w:left="100" w:right="100"/>
              <w:rPr>
                <w:rFonts w:eastAsia="Verdana" w:cs="Verdana"/>
                <w:color w:val="252C65"/>
                <w:sz w:val="16"/>
                <w:szCs w:val="16"/>
              </w:rPr>
            </w:pPr>
            <w:r>
              <w:rPr>
                <w:rFonts w:eastAsia="Verdana" w:cs="Verdana"/>
                <w:color w:val="252C65"/>
                <w:sz w:val="16"/>
                <w:szCs w:val="16"/>
              </w:rPr>
              <w:t>Youth Justice</w:t>
            </w:r>
          </w:p>
        </w:tc>
        <w:tc>
          <w:tcPr>
            <w:tcW w:w="57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D6E726A" w14:textId="77777777" w:rsidR="005879B1" w:rsidRDefault="00A97397">
            <w:pPr>
              <w:pBdr>
                <w:top w:val="none" w:sz="0" w:space="0" w:color="000000"/>
                <w:left w:val="none" w:sz="0" w:space="0" w:color="000000"/>
                <w:bottom w:val="none" w:sz="0" w:space="0" w:color="000000"/>
                <w:right w:val="none" w:sz="0" w:space="0" w:color="000000"/>
              </w:pBdr>
              <w:spacing w:before="100" w:after="100" w:line="240" w:lineRule="auto"/>
              <w:ind w:left="100" w:right="100"/>
              <w:rPr>
                <w:rFonts w:eastAsia="Verdana" w:cs="Verdana"/>
                <w:color w:val="252C65"/>
                <w:sz w:val="16"/>
                <w:szCs w:val="16"/>
              </w:rPr>
            </w:pPr>
            <w:r>
              <w:rPr>
                <w:rFonts w:eastAsia="Verdana" w:cs="Verdana"/>
                <w:color w:val="252C65"/>
                <w:sz w:val="16"/>
                <w:szCs w:val="16"/>
              </w:rPr>
              <w:t>Number of youth justice referrals and time spent in youth justice placements.</w:t>
            </w:r>
          </w:p>
        </w:tc>
      </w:tr>
      <w:tr w:rsidR="005879B1" w14:paraId="5B15D79D" w14:textId="77777777">
        <w:tc>
          <w:tcPr>
            <w:tcW w:w="28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D736913" w14:textId="77777777" w:rsidR="005879B1" w:rsidRDefault="00A97397">
            <w:pPr>
              <w:pBdr>
                <w:top w:val="none" w:sz="0" w:space="0" w:color="000000"/>
                <w:left w:val="none" w:sz="0" w:space="0" w:color="000000"/>
                <w:bottom w:val="none" w:sz="0" w:space="0" w:color="000000"/>
                <w:right w:val="none" w:sz="0" w:space="0" w:color="000000"/>
              </w:pBdr>
              <w:spacing w:before="100" w:after="100" w:line="240" w:lineRule="auto"/>
              <w:ind w:left="100" w:right="100"/>
              <w:rPr>
                <w:rFonts w:eastAsia="Verdana" w:cs="Verdana"/>
                <w:color w:val="252C65"/>
                <w:sz w:val="16"/>
                <w:szCs w:val="16"/>
              </w:rPr>
            </w:pPr>
            <w:r>
              <w:rPr>
                <w:rFonts w:eastAsia="Verdana" w:cs="Verdana"/>
                <w:color w:val="252C65"/>
                <w:sz w:val="16"/>
                <w:szCs w:val="16"/>
              </w:rPr>
              <w:t>Corrections history</w:t>
            </w:r>
          </w:p>
        </w:tc>
        <w:tc>
          <w:tcPr>
            <w:tcW w:w="57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F92BAD2" w14:textId="77777777" w:rsidR="005879B1" w:rsidRDefault="00A97397">
            <w:pPr>
              <w:pBdr>
                <w:top w:val="none" w:sz="0" w:space="0" w:color="000000"/>
                <w:left w:val="none" w:sz="0" w:space="0" w:color="000000"/>
                <w:bottom w:val="none" w:sz="0" w:space="0" w:color="000000"/>
                <w:right w:val="none" w:sz="0" w:space="0" w:color="000000"/>
              </w:pBdr>
              <w:spacing w:before="100" w:after="100" w:line="240" w:lineRule="auto"/>
              <w:ind w:left="100" w:right="100"/>
              <w:rPr>
                <w:rFonts w:eastAsia="Verdana" w:cs="Verdana"/>
                <w:color w:val="252C65"/>
                <w:sz w:val="16"/>
                <w:szCs w:val="16"/>
              </w:rPr>
            </w:pPr>
            <w:r>
              <w:rPr>
                <w:rFonts w:eastAsia="Verdana" w:cs="Verdana"/>
                <w:color w:val="252C65"/>
                <w:sz w:val="16"/>
                <w:szCs w:val="16"/>
              </w:rPr>
              <w:t>If in a correction service at set months before profile date.  Correction service is split between prison and non-prison service.</w:t>
            </w:r>
          </w:p>
        </w:tc>
      </w:tr>
      <w:tr w:rsidR="005879B1" w14:paraId="6D20F40A" w14:textId="77777777">
        <w:tc>
          <w:tcPr>
            <w:tcW w:w="8640" w:type="dxa"/>
            <w:gridSpan w:val="2"/>
            <w:tcBorders>
              <w:top w:val="single" w:sz="8" w:space="0" w:color="999EC6"/>
              <w:left w:val="none" w:sz="0" w:space="0" w:color="000000"/>
              <w:bottom w:val="single" w:sz="8" w:space="0" w:color="999EC6"/>
              <w:right w:val="none" w:sz="0" w:space="0" w:color="000000"/>
            </w:tcBorders>
            <w:shd w:val="clear" w:color="auto" w:fill="252C65"/>
            <w:tcMar>
              <w:top w:w="0" w:type="dxa"/>
              <w:left w:w="0" w:type="dxa"/>
              <w:bottom w:w="0" w:type="dxa"/>
              <w:right w:w="0" w:type="dxa"/>
            </w:tcMar>
            <w:vAlign w:val="center"/>
          </w:tcPr>
          <w:p w14:paraId="6FFD8D41" w14:textId="77777777" w:rsidR="005879B1" w:rsidRDefault="00A97397">
            <w:pPr>
              <w:pBdr>
                <w:top w:val="none" w:sz="0" w:space="0" w:color="000000"/>
                <w:left w:val="none" w:sz="0" w:space="0" w:color="000000"/>
                <w:bottom w:val="none" w:sz="0" w:space="0" w:color="000000"/>
                <w:right w:val="none" w:sz="0" w:space="0" w:color="000000"/>
              </w:pBdr>
              <w:spacing w:before="100" w:after="100" w:line="240" w:lineRule="auto"/>
              <w:ind w:left="100" w:right="100"/>
              <w:rPr>
                <w:rFonts w:eastAsia="Verdana" w:cs="Verdana"/>
                <w:color w:val="FFFFFF"/>
                <w:sz w:val="16"/>
                <w:szCs w:val="16"/>
              </w:rPr>
            </w:pPr>
            <w:r>
              <w:rPr>
                <w:rFonts w:eastAsia="Verdana" w:cs="Verdana"/>
                <w:color w:val="FFFFFF"/>
                <w:sz w:val="16"/>
                <w:szCs w:val="16"/>
              </w:rPr>
              <w:t>Income</w:t>
            </w:r>
          </w:p>
        </w:tc>
      </w:tr>
      <w:tr w:rsidR="005879B1" w14:paraId="557071D5" w14:textId="77777777">
        <w:tc>
          <w:tcPr>
            <w:tcW w:w="28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43F2689" w14:textId="77777777" w:rsidR="005879B1" w:rsidRDefault="00A97397">
            <w:pPr>
              <w:pBdr>
                <w:top w:val="none" w:sz="0" w:space="0" w:color="000000"/>
                <w:left w:val="none" w:sz="0" w:space="0" w:color="000000"/>
                <w:bottom w:val="none" w:sz="0" w:space="0" w:color="000000"/>
                <w:right w:val="none" w:sz="0" w:space="0" w:color="000000"/>
              </w:pBdr>
              <w:spacing w:before="100" w:after="100" w:line="240" w:lineRule="auto"/>
              <w:ind w:left="100" w:right="100"/>
              <w:rPr>
                <w:rFonts w:eastAsia="Verdana" w:cs="Verdana"/>
                <w:color w:val="252C65"/>
                <w:sz w:val="16"/>
                <w:szCs w:val="16"/>
              </w:rPr>
            </w:pPr>
            <w:r>
              <w:rPr>
                <w:rFonts w:eastAsia="Verdana" w:cs="Verdana"/>
                <w:color w:val="252C65"/>
                <w:sz w:val="16"/>
                <w:szCs w:val="16"/>
              </w:rPr>
              <w:t>Income history</w:t>
            </w:r>
          </w:p>
        </w:tc>
        <w:tc>
          <w:tcPr>
            <w:tcW w:w="57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5B615D6" w14:textId="77777777" w:rsidR="005879B1" w:rsidRDefault="00A97397">
            <w:pPr>
              <w:pBdr>
                <w:top w:val="none" w:sz="0" w:space="0" w:color="000000"/>
                <w:left w:val="none" w:sz="0" w:space="0" w:color="000000"/>
                <w:bottom w:val="none" w:sz="0" w:space="0" w:color="000000"/>
                <w:right w:val="none" w:sz="0" w:space="0" w:color="000000"/>
              </w:pBdr>
              <w:spacing w:before="100" w:after="100" w:line="240" w:lineRule="auto"/>
              <w:ind w:left="100" w:right="100"/>
              <w:rPr>
                <w:rFonts w:eastAsia="Verdana" w:cs="Verdana"/>
                <w:color w:val="252C65"/>
                <w:sz w:val="16"/>
                <w:szCs w:val="16"/>
              </w:rPr>
            </w:pPr>
            <w:r>
              <w:rPr>
                <w:rFonts w:eastAsia="Verdana" w:cs="Verdana"/>
                <w:color w:val="252C65"/>
                <w:sz w:val="16"/>
                <w:szCs w:val="16"/>
              </w:rPr>
              <w:t>Total net income from all sources, labour market income and child support payments at set months before profile date.</w:t>
            </w:r>
          </w:p>
        </w:tc>
      </w:tr>
      <w:tr w:rsidR="005879B1" w14:paraId="06F643E6" w14:textId="77777777">
        <w:tc>
          <w:tcPr>
            <w:tcW w:w="8640" w:type="dxa"/>
            <w:gridSpan w:val="2"/>
            <w:tcBorders>
              <w:top w:val="single" w:sz="8" w:space="0" w:color="999EC6"/>
              <w:left w:val="none" w:sz="0" w:space="0" w:color="000000"/>
              <w:bottom w:val="single" w:sz="8" w:space="0" w:color="999EC6"/>
              <w:right w:val="none" w:sz="0" w:space="0" w:color="000000"/>
            </w:tcBorders>
            <w:shd w:val="clear" w:color="auto" w:fill="252C65"/>
            <w:tcMar>
              <w:top w:w="0" w:type="dxa"/>
              <w:left w:w="0" w:type="dxa"/>
              <w:bottom w:w="0" w:type="dxa"/>
              <w:right w:w="0" w:type="dxa"/>
            </w:tcMar>
            <w:vAlign w:val="center"/>
          </w:tcPr>
          <w:p w14:paraId="55CBCFF8" w14:textId="77777777" w:rsidR="005879B1" w:rsidRDefault="00A97397">
            <w:pPr>
              <w:pBdr>
                <w:top w:val="none" w:sz="0" w:space="0" w:color="000000"/>
                <w:left w:val="none" w:sz="0" w:space="0" w:color="000000"/>
                <w:bottom w:val="none" w:sz="0" w:space="0" w:color="000000"/>
                <w:right w:val="none" w:sz="0" w:space="0" w:color="000000"/>
              </w:pBdr>
              <w:spacing w:before="100" w:after="100" w:line="240" w:lineRule="auto"/>
              <w:ind w:left="100" w:right="100"/>
              <w:rPr>
                <w:rFonts w:eastAsia="Verdana" w:cs="Verdana"/>
                <w:color w:val="FFFFFF"/>
                <w:sz w:val="16"/>
                <w:szCs w:val="16"/>
              </w:rPr>
            </w:pPr>
            <w:r>
              <w:rPr>
                <w:rFonts w:eastAsia="Verdana" w:cs="Verdana"/>
                <w:color w:val="FFFFFF"/>
                <w:sz w:val="16"/>
                <w:szCs w:val="16"/>
              </w:rPr>
              <w:t>Residency</w:t>
            </w:r>
          </w:p>
        </w:tc>
      </w:tr>
      <w:tr w:rsidR="005879B1" w14:paraId="0976395A" w14:textId="77777777">
        <w:tc>
          <w:tcPr>
            <w:tcW w:w="28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0978A20" w14:textId="77777777" w:rsidR="005879B1" w:rsidRDefault="00A97397">
            <w:pPr>
              <w:pBdr>
                <w:top w:val="none" w:sz="0" w:space="0" w:color="000000"/>
                <w:left w:val="none" w:sz="0" w:space="0" w:color="000000"/>
                <w:bottom w:val="none" w:sz="0" w:space="0" w:color="000000"/>
                <w:right w:val="none" w:sz="0" w:space="0" w:color="000000"/>
              </w:pBdr>
              <w:spacing w:before="100" w:after="100" w:line="240" w:lineRule="auto"/>
              <w:ind w:left="100" w:right="100"/>
              <w:rPr>
                <w:rFonts w:eastAsia="Verdana" w:cs="Verdana"/>
                <w:color w:val="252C65"/>
                <w:sz w:val="16"/>
                <w:szCs w:val="16"/>
              </w:rPr>
            </w:pPr>
            <w:r>
              <w:rPr>
                <w:rFonts w:eastAsia="Verdana" w:cs="Verdana"/>
                <w:color w:val="252C65"/>
                <w:sz w:val="16"/>
                <w:szCs w:val="16"/>
              </w:rPr>
              <w:t>Migrant status</w:t>
            </w:r>
          </w:p>
        </w:tc>
        <w:tc>
          <w:tcPr>
            <w:tcW w:w="57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09AB09C" w14:textId="77777777" w:rsidR="005879B1" w:rsidRDefault="00A97397">
            <w:pPr>
              <w:pBdr>
                <w:top w:val="none" w:sz="0" w:space="0" w:color="000000"/>
                <w:left w:val="none" w:sz="0" w:space="0" w:color="000000"/>
                <w:bottom w:val="none" w:sz="0" w:space="0" w:color="000000"/>
                <w:right w:val="none" w:sz="0" w:space="0" w:color="000000"/>
              </w:pBdr>
              <w:spacing w:before="100" w:after="100" w:line="240" w:lineRule="auto"/>
              <w:ind w:left="100" w:right="100"/>
              <w:rPr>
                <w:rFonts w:eastAsia="Verdana" w:cs="Verdana"/>
                <w:color w:val="252C65"/>
                <w:sz w:val="16"/>
                <w:szCs w:val="16"/>
              </w:rPr>
            </w:pPr>
            <w:r>
              <w:rPr>
                <w:rFonts w:eastAsia="Verdana" w:cs="Verdana"/>
                <w:color w:val="252C65"/>
                <w:sz w:val="16"/>
                <w:szCs w:val="16"/>
              </w:rPr>
              <w:t>Identifies time spent living in New Zealand, age of first arrival in New Zealand, Migrant's first arrival visa, including if arrived as a refugee, region of origin.</w:t>
            </w:r>
          </w:p>
        </w:tc>
      </w:tr>
      <w:tr w:rsidR="005879B1" w14:paraId="12318B15" w14:textId="77777777">
        <w:tc>
          <w:tcPr>
            <w:tcW w:w="8640" w:type="dxa"/>
            <w:gridSpan w:val="2"/>
            <w:tcBorders>
              <w:top w:val="single" w:sz="8" w:space="0" w:color="999EC6"/>
              <w:left w:val="none" w:sz="0" w:space="0" w:color="000000"/>
              <w:bottom w:val="single" w:sz="8" w:space="0" w:color="999EC6"/>
              <w:right w:val="none" w:sz="0" w:space="0" w:color="000000"/>
            </w:tcBorders>
            <w:shd w:val="clear" w:color="auto" w:fill="252C65"/>
            <w:tcMar>
              <w:top w:w="0" w:type="dxa"/>
              <w:left w:w="0" w:type="dxa"/>
              <w:bottom w:w="0" w:type="dxa"/>
              <w:right w:w="0" w:type="dxa"/>
            </w:tcMar>
            <w:vAlign w:val="center"/>
          </w:tcPr>
          <w:p w14:paraId="1782DBA8" w14:textId="77777777" w:rsidR="005879B1" w:rsidRDefault="00A97397">
            <w:pPr>
              <w:pBdr>
                <w:top w:val="none" w:sz="0" w:space="0" w:color="000000"/>
                <w:left w:val="none" w:sz="0" w:space="0" w:color="000000"/>
                <w:bottom w:val="none" w:sz="0" w:space="0" w:color="000000"/>
                <w:right w:val="none" w:sz="0" w:space="0" w:color="000000"/>
              </w:pBdr>
              <w:spacing w:before="100" w:after="100" w:line="240" w:lineRule="auto"/>
              <w:ind w:left="100" w:right="100"/>
              <w:rPr>
                <w:rFonts w:eastAsia="Verdana" w:cs="Verdana"/>
                <w:color w:val="FFFFFF"/>
                <w:sz w:val="16"/>
                <w:szCs w:val="16"/>
              </w:rPr>
            </w:pPr>
            <w:r>
              <w:rPr>
                <w:rFonts w:eastAsia="Verdana" w:cs="Verdana"/>
                <w:color w:val="FFFFFF"/>
                <w:sz w:val="16"/>
                <w:szCs w:val="16"/>
              </w:rPr>
              <w:t>Overseas</w:t>
            </w:r>
          </w:p>
        </w:tc>
      </w:tr>
      <w:tr w:rsidR="005879B1" w14:paraId="0E1B43C3" w14:textId="77777777">
        <w:tc>
          <w:tcPr>
            <w:tcW w:w="28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1B1704F" w14:textId="77777777" w:rsidR="005879B1" w:rsidRDefault="00A97397">
            <w:pPr>
              <w:pBdr>
                <w:top w:val="none" w:sz="0" w:space="0" w:color="000000"/>
                <w:left w:val="none" w:sz="0" w:space="0" w:color="000000"/>
                <w:bottom w:val="none" w:sz="0" w:space="0" w:color="000000"/>
                <w:right w:val="none" w:sz="0" w:space="0" w:color="000000"/>
              </w:pBdr>
              <w:spacing w:before="100" w:after="100" w:line="240" w:lineRule="auto"/>
              <w:ind w:left="100" w:right="100"/>
              <w:rPr>
                <w:rFonts w:eastAsia="Verdana" w:cs="Verdana"/>
                <w:color w:val="252C65"/>
                <w:sz w:val="16"/>
                <w:szCs w:val="16"/>
              </w:rPr>
            </w:pPr>
            <w:r>
              <w:rPr>
                <w:rFonts w:eastAsia="Verdana" w:cs="Verdana"/>
                <w:color w:val="252C65"/>
                <w:sz w:val="16"/>
                <w:szCs w:val="16"/>
              </w:rPr>
              <w:t>Overseas history</w:t>
            </w:r>
          </w:p>
        </w:tc>
        <w:tc>
          <w:tcPr>
            <w:tcW w:w="57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F2E4BB5" w14:textId="77777777" w:rsidR="005879B1" w:rsidRDefault="00A97397">
            <w:pPr>
              <w:pBdr>
                <w:top w:val="none" w:sz="0" w:space="0" w:color="000000"/>
                <w:left w:val="none" w:sz="0" w:space="0" w:color="000000"/>
                <w:bottom w:val="none" w:sz="0" w:space="0" w:color="000000"/>
                <w:right w:val="none" w:sz="0" w:space="0" w:color="000000"/>
              </w:pBdr>
              <w:spacing w:before="100" w:after="100" w:line="240" w:lineRule="auto"/>
              <w:ind w:left="100" w:right="100"/>
              <w:rPr>
                <w:rFonts w:eastAsia="Verdana" w:cs="Verdana"/>
                <w:color w:val="252C65"/>
                <w:sz w:val="16"/>
                <w:szCs w:val="16"/>
              </w:rPr>
            </w:pPr>
            <w:r>
              <w:rPr>
                <w:rFonts w:eastAsia="Verdana" w:cs="Verdana"/>
                <w:color w:val="252C65"/>
                <w:sz w:val="16"/>
                <w:szCs w:val="16"/>
              </w:rPr>
              <w:t>Whether a person is overseas at set lapse periods before profile date.</w:t>
            </w:r>
          </w:p>
        </w:tc>
      </w:tr>
      <w:tr w:rsidR="005879B1" w14:paraId="625FD5ED" w14:textId="77777777">
        <w:tc>
          <w:tcPr>
            <w:tcW w:w="8640" w:type="dxa"/>
            <w:gridSpan w:val="2"/>
            <w:tcBorders>
              <w:top w:val="single" w:sz="8" w:space="0" w:color="999EC6"/>
              <w:left w:val="none" w:sz="0" w:space="0" w:color="000000"/>
              <w:bottom w:val="single" w:sz="8" w:space="0" w:color="999EC6"/>
              <w:right w:val="none" w:sz="0" w:space="0" w:color="000000"/>
            </w:tcBorders>
            <w:shd w:val="clear" w:color="auto" w:fill="252C65"/>
            <w:tcMar>
              <w:top w:w="0" w:type="dxa"/>
              <w:left w:w="0" w:type="dxa"/>
              <w:bottom w:w="0" w:type="dxa"/>
              <w:right w:w="0" w:type="dxa"/>
            </w:tcMar>
            <w:vAlign w:val="center"/>
          </w:tcPr>
          <w:p w14:paraId="47033D9F" w14:textId="77777777" w:rsidR="005879B1" w:rsidRDefault="00A97397">
            <w:pPr>
              <w:pBdr>
                <w:top w:val="none" w:sz="0" w:space="0" w:color="000000"/>
                <w:left w:val="none" w:sz="0" w:space="0" w:color="000000"/>
                <w:bottom w:val="none" w:sz="0" w:space="0" w:color="000000"/>
                <w:right w:val="none" w:sz="0" w:space="0" w:color="000000"/>
              </w:pBdr>
              <w:spacing w:before="100" w:after="100" w:line="240" w:lineRule="auto"/>
              <w:ind w:left="100" w:right="100"/>
              <w:rPr>
                <w:rFonts w:eastAsia="Verdana" w:cs="Verdana"/>
                <w:color w:val="FFFFFF"/>
                <w:sz w:val="16"/>
                <w:szCs w:val="16"/>
              </w:rPr>
            </w:pPr>
            <w:r>
              <w:rPr>
                <w:rFonts w:eastAsia="Verdana" w:cs="Verdana"/>
                <w:color w:val="FFFFFF"/>
                <w:sz w:val="16"/>
                <w:szCs w:val="16"/>
              </w:rPr>
              <w:t>Employment assistance</w:t>
            </w:r>
          </w:p>
        </w:tc>
      </w:tr>
      <w:tr w:rsidR="005879B1" w14:paraId="1CF3EAC9" w14:textId="77777777">
        <w:tc>
          <w:tcPr>
            <w:tcW w:w="28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19EC4C9" w14:textId="77777777" w:rsidR="005879B1" w:rsidRDefault="00A97397">
            <w:pPr>
              <w:pBdr>
                <w:top w:val="none" w:sz="0" w:space="0" w:color="000000"/>
                <w:left w:val="none" w:sz="0" w:space="0" w:color="000000"/>
                <w:bottom w:val="none" w:sz="0" w:space="0" w:color="000000"/>
                <w:right w:val="none" w:sz="0" w:space="0" w:color="000000"/>
              </w:pBdr>
              <w:spacing w:before="100" w:after="100" w:line="240" w:lineRule="auto"/>
              <w:ind w:left="100" w:right="100"/>
              <w:rPr>
                <w:rFonts w:eastAsia="Verdana" w:cs="Verdana"/>
                <w:color w:val="252C65"/>
                <w:sz w:val="16"/>
                <w:szCs w:val="16"/>
              </w:rPr>
            </w:pPr>
            <w:r>
              <w:rPr>
                <w:rFonts w:eastAsia="Verdana" w:cs="Verdana"/>
                <w:color w:val="252C65"/>
                <w:sz w:val="16"/>
                <w:szCs w:val="16"/>
              </w:rPr>
              <w:t>Participation in employment assistance</w:t>
            </w:r>
          </w:p>
        </w:tc>
        <w:tc>
          <w:tcPr>
            <w:tcW w:w="57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2F004C6" w14:textId="77777777" w:rsidR="005879B1" w:rsidRDefault="00A97397">
            <w:pPr>
              <w:pBdr>
                <w:top w:val="none" w:sz="0" w:space="0" w:color="000000"/>
                <w:left w:val="none" w:sz="0" w:space="0" w:color="000000"/>
                <w:bottom w:val="none" w:sz="0" w:space="0" w:color="000000"/>
                <w:right w:val="none" w:sz="0" w:space="0" w:color="000000"/>
              </w:pBdr>
              <w:spacing w:before="100" w:after="100" w:line="240" w:lineRule="auto"/>
              <w:ind w:left="100" w:right="100"/>
              <w:rPr>
                <w:rFonts w:eastAsia="Verdana" w:cs="Verdana"/>
                <w:color w:val="252C65"/>
                <w:sz w:val="16"/>
                <w:szCs w:val="16"/>
              </w:rPr>
            </w:pPr>
            <w:r>
              <w:rPr>
                <w:rFonts w:eastAsia="Verdana" w:cs="Verdana"/>
                <w:color w:val="252C65"/>
                <w:sz w:val="16"/>
                <w:szCs w:val="16"/>
              </w:rPr>
              <w:t>Expenditure on MSD funded employment assistance programmes and services at set months before profile date.</w:t>
            </w:r>
          </w:p>
        </w:tc>
      </w:tr>
      <w:tr w:rsidR="005879B1" w14:paraId="3CC25F6B" w14:textId="77777777">
        <w:tc>
          <w:tcPr>
            <w:tcW w:w="8640" w:type="dxa"/>
            <w:gridSpan w:val="2"/>
            <w:tcBorders>
              <w:top w:val="single" w:sz="8" w:space="0" w:color="999EC6"/>
              <w:left w:val="none" w:sz="0" w:space="0" w:color="000000"/>
              <w:bottom w:val="single" w:sz="8" w:space="0" w:color="999EC6"/>
              <w:right w:val="none" w:sz="0" w:space="0" w:color="000000"/>
            </w:tcBorders>
            <w:shd w:val="clear" w:color="auto" w:fill="252C65"/>
            <w:tcMar>
              <w:top w:w="0" w:type="dxa"/>
              <w:left w:w="0" w:type="dxa"/>
              <w:bottom w:w="0" w:type="dxa"/>
              <w:right w:w="0" w:type="dxa"/>
            </w:tcMar>
            <w:vAlign w:val="center"/>
          </w:tcPr>
          <w:p w14:paraId="5482E61A" w14:textId="77777777" w:rsidR="005879B1" w:rsidRDefault="00A97397">
            <w:pPr>
              <w:pBdr>
                <w:top w:val="none" w:sz="0" w:space="0" w:color="000000"/>
                <w:left w:val="none" w:sz="0" w:space="0" w:color="000000"/>
                <w:bottom w:val="none" w:sz="0" w:space="0" w:color="000000"/>
                <w:right w:val="none" w:sz="0" w:space="0" w:color="000000"/>
              </w:pBdr>
              <w:spacing w:before="100" w:after="100" w:line="240" w:lineRule="auto"/>
              <w:ind w:left="100" w:right="100"/>
              <w:rPr>
                <w:rFonts w:eastAsia="Verdana" w:cs="Verdana"/>
                <w:color w:val="FFFFFF"/>
                <w:sz w:val="16"/>
                <w:szCs w:val="16"/>
              </w:rPr>
            </w:pPr>
            <w:r>
              <w:rPr>
                <w:rFonts w:eastAsia="Verdana" w:cs="Verdana"/>
                <w:color w:val="FFFFFF"/>
                <w:sz w:val="16"/>
                <w:szCs w:val="16"/>
              </w:rPr>
              <w:t>Care and Protection</w:t>
            </w:r>
          </w:p>
        </w:tc>
      </w:tr>
      <w:tr w:rsidR="005879B1" w14:paraId="0FA89719" w14:textId="77777777">
        <w:tc>
          <w:tcPr>
            <w:tcW w:w="28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7D35BE6" w14:textId="77777777" w:rsidR="005879B1" w:rsidRDefault="00A97397">
            <w:pPr>
              <w:pBdr>
                <w:top w:val="none" w:sz="0" w:space="0" w:color="000000"/>
                <w:left w:val="none" w:sz="0" w:space="0" w:color="000000"/>
                <w:bottom w:val="none" w:sz="0" w:space="0" w:color="000000"/>
                <w:right w:val="none" w:sz="0" w:space="0" w:color="000000"/>
              </w:pBdr>
              <w:spacing w:before="100" w:after="100" w:line="240" w:lineRule="auto"/>
              <w:ind w:left="100" w:right="100"/>
              <w:rPr>
                <w:rFonts w:eastAsia="Verdana" w:cs="Verdana"/>
                <w:color w:val="252C65"/>
                <w:sz w:val="16"/>
                <w:szCs w:val="16"/>
              </w:rPr>
            </w:pPr>
            <w:r>
              <w:rPr>
                <w:rFonts w:eastAsia="Verdana" w:cs="Verdana"/>
                <w:color w:val="252C65"/>
                <w:sz w:val="16"/>
                <w:szCs w:val="16"/>
              </w:rPr>
              <w:t>Care notifications</w:t>
            </w:r>
          </w:p>
        </w:tc>
        <w:tc>
          <w:tcPr>
            <w:tcW w:w="57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27939BB" w14:textId="77777777" w:rsidR="005879B1" w:rsidRDefault="00A97397">
            <w:pPr>
              <w:pBdr>
                <w:top w:val="none" w:sz="0" w:space="0" w:color="000000"/>
                <w:left w:val="none" w:sz="0" w:space="0" w:color="000000"/>
                <w:bottom w:val="none" w:sz="0" w:space="0" w:color="000000"/>
                <w:right w:val="none" w:sz="0" w:space="0" w:color="000000"/>
              </w:pBdr>
              <w:spacing w:before="100" w:after="100" w:line="240" w:lineRule="auto"/>
              <w:ind w:left="100" w:right="100"/>
              <w:rPr>
                <w:rFonts w:eastAsia="Verdana" w:cs="Verdana"/>
                <w:color w:val="252C65"/>
                <w:sz w:val="16"/>
                <w:szCs w:val="16"/>
              </w:rPr>
            </w:pPr>
            <w:r>
              <w:rPr>
                <w:rFonts w:eastAsia="Verdana" w:cs="Verdana"/>
                <w:color w:val="252C65"/>
                <w:sz w:val="16"/>
                <w:szCs w:val="16"/>
              </w:rPr>
              <w:t>Notifications to child protection agencies, split by age group.</w:t>
            </w:r>
          </w:p>
        </w:tc>
      </w:tr>
      <w:tr w:rsidR="005879B1" w14:paraId="262289C1" w14:textId="77777777">
        <w:tc>
          <w:tcPr>
            <w:tcW w:w="28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1B95D97" w14:textId="77777777" w:rsidR="005879B1" w:rsidRDefault="00A97397">
            <w:pPr>
              <w:pBdr>
                <w:top w:val="none" w:sz="0" w:space="0" w:color="000000"/>
                <w:left w:val="none" w:sz="0" w:space="0" w:color="000000"/>
                <w:bottom w:val="none" w:sz="0" w:space="0" w:color="000000"/>
                <w:right w:val="none" w:sz="0" w:space="0" w:color="000000"/>
              </w:pBdr>
              <w:spacing w:before="100" w:after="100" w:line="240" w:lineRule="auto"/>
              <w:ind w:left="100" w:right="100"/>
              <w:rPr>
                <w:rFonts w:eastAsia="Verdana" w:cs="Verdana"/>
                <w:color w:val="252C65"/>
                <w:sz w:val="16"/>
                <w:szCs w:val="16"/>
              </w:rPr>
            </w:pPr>
            <w:r>
              <w:rPr>
                <w:rFonts w:eastAsia="Verdana" w:cs="Verdana"/>
                <w:color w:val="252C65"/>
                <w:sz w:val="16"/>
                <w:szCs w:val="16"/>
              </w:rPr>
              <w:t>Care placements in childhood</w:t>
            </w:r>
          </w:p>
        </w:tc>
        <w:tc>
          <w:tcPr>
            <w:tcW w:w="57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F485CF2" w14:textId="77777777" w:rsidR="005879B1" w:rsidRDefault="00A97397">
            <w:pPr>
              <w:pBdr>
                <w:top w:val="none" w:sz="0" w:space="0" w:color="000000"/>
                <w:left w:val="none" w:sz="0" w:space="0" w:color="000000"/>
                <w:bottom w:val="none" w:sz="0" w:space="0" w:color="000000"/>
                <w:right w:val="none" w:sz="0" w:space="0" w:color="000000"/>
              </w:pBdr>
              <w:spacing w:before="100" w:after="100" w:line="240" w:lineRule="auto"/>
              <w:ind w:left="100" w:right="100"/>
              <w:rPr>
                <w:rFonts w:eastAsia="Verdana" w:cs="Verdana"/>
                <w:color w:val="252C65"/>
                <w:sz w:val="16"/>
                <w:szCs w:val="16"/>
              </w:rPr>
            </w:pPr>
            <w:r>
              <w:rPr>
                <w:rFonts w:eastAsia="Verdana" w:cs="Verdana"/>
                <w:color w:val="252C65"/>
                <w:sz w:val="16"/>
                <w:szCs w:val="16"/>
              </w:rPr>
              <w:t>Time spent in child protection placements, split by age group.</w:t>
            </w:r>
          </w:p>
        </w:tc>
      </w:tr>
      <w:tr w:rsidR="005879B1" w14:paraId="52A53268" w14:textId="77777777">
        <w:tc>
          <w:tcPr>
            <w:tcW w:w="8640" w:type="dxa"/>
            <w:gridSpan w:val="2"/>
            <w:tcBorders>
              <w:top w:val="single" w:sz="8" w:space="0" w:color="999EC6"/>
              <w:left w:val="none" w:sz="0" w:space="0" w:color="000000"/>
              <w:bottom w:val="single" w:sz="8" w:space="0" w:color="999EC6"/>
              <w:right w:val="none" w:sz="0" w:space="0" w:color="000000"/>
            </w:tcBorders>
            <w:shd w:val="clear" w:color="auto" w:fill="252C65"/>
            <w:tcMar>
              <w:top w:w="0" w:type="dxa"/>
              <w:left w:w="0" w:type="dxa"/>
              <w:bottom w:w="0" w:type="dxa"/>
              <w:right w:w="0" w:type="dxa"/>
            </w:tcMar>
            <w:vAlign w:val="center"/>
          </w:tcPr>
          <w:p w14:paraId="160B82CA" w14:textId="77777777" w:rsidR="005879B1" w:rsidRDefault="00A97397">
            <w:pPr>
              <w:pBdr>
                <w:top w:val="none" w:sz="0" w:space="0" w:color="000000"/>
                <w:left w:val="none" w:sz="0" w:space="0" w:color="000000"/>
                <w:bottom w:val="none" w:sz="0" w:space="0" w:color="000000"/>
                <w:right w:val="none" w:sz="0" w:space="0" w:color="000000"/>
              </w:pBdr>
              <w:spacing w:before="100" w:after="100" w:line="240" w:lineRule="auto"/>
              <w:ind w:left="100" w:right="100"/>
              <w:rPr>
                <w:rFonts w:eastAsia="Verdana" w:cs="Verdana"/>
                <w:color w:val="FFFFFF"/>
                <w:sz w:val="16"/>
                <w:szCs w:val="16"/>
              </w:rPr>
            </w:pPr>
            <w:r>
              <w:rPr>
                <w:rFonts w:eastAsia="Verdana" w:cs="Verdana"/>
                <w:color w:val="FFFFFF"/>
                <w:sz w:val="16"/>
                <w:szCs w:val="16"/>
              </w:rPr>
              <w:t>Transport</w:t>
            </w:r>
          </w:p>
        </w:tc>
      </w:tr>
      <w:tr w:rsidR="005879B1" w14:paraId="2AAD38AF" w14:textId="77777777">
        <w:tc>
          <w:tcPr>
            <w:tcW w:w="28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68BB45F" w14:textId="77777777" w:rsidR="005879B1" w:rsidRDefault="00A97397">
            <w:pPr>
              <w:pBdr>
                <w:top w:val="none" w:sz="0" w:space="0" w:color="000000"/>
                <w:left w:val="none" w:sz="0" w:space="0" w:color="000000"/>
                <w:bottom w:val="none" w:sz="0" w:space="0" w:color="000000"/>
                <w:right w:val="none" w:sz="0" w:space="0" w:color="000000"/>
              </w:pBdr>
              <w:spacing w:before="100" w:after="100" w:line="240" w:lineRule="auto"/>
              <w:ind w:left="100" w:right="100"/>
              <w:rPr>
                <w:rFonts w:eastAsia="Verdana" w:cs="Verdana"/>
                <w:color w:val="252C65"/>
                <w:sz w:val="16"/>
                <w:szCs w:val="16"/>
              </w:rPr>
            </w:pPr>
            <w:r>
              <w:rPr>
                <w:rFonts w:eastAsia="Verdana" w:cs="Verdana"/>
                <w:color w:val="252C65"/>
                <w:sz w:val="16"/>
                <w:szCs w:val="16"/>
              </w:rPr>
              <w:lastRenderedPageBreak/>
              <w:t>Private driver licence</w:t>
            </w:r>
          </w:p>
        </w:tc>
        <w:tc>
          <w:tcPr>
            <w:tcW w:w="57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8936C43" w14:textId="77777777" w:rsidR="005879B1" w:rsidRDefault="00A97397">
            <w:pPr>
              <w:pBdr>
                <w:top w:val="none" w:sz="0" w:space="0" w:color="000000"/>
                <w:left w:val="none" w:sz="0" w:space="0" w:color="000000"/>
                <w:bottom w:val="none" w:sz="0" w:space="0" w:color="000000"/>
                <w:right w:val="none" w:sz="0" w:space="0" w:color="000000"/>
              </w:pBdr>
              <w:spacing w:before="100" w:after="100" w:line="240" w:lineRule="auto"/>
              <w:ind w:left="100" w:right="100"/>
              <w:rPr>
                <w:rFonts w:eastAsia="Verdana" w:cs="Verdana"/>
                <w:color w:val="252C65"/>
                <w:sz w:val="16"/>
                <w:szCs w:val="16"/>
              </w:rPr>
            </w:pPr>
            <w:r>
              <w:rPr>
                <w:rFonts w:eastAsia="Verdana" w:cs="Verdana"/>
                <w:color w:val="252C65"/>
                <w:sz w:val="16"/>
                <w:szCs w:val="16"/>
              </w:rPr>
              <w:t>Private motor vehicle status at set lapse periods before profile date.</w:t>
            </w:r>
          </w:p>
        </w:tc>
      </w:tr>
      <w:tr w:rsidR="005879B1" w14:paraId="51173ECD" w14:textId="77777777">
        <w:tc>
          <w:tcPr>
            <w:tcW w:w="2880" w:type="dxa"/>
            <w:tcBorders>
              <w:top w:val="single" w:sz="8" w:space="0" w:color="999EC6"/>
              <w:left w:val="none" w:sz="0" w:space="0" w:color="000000"/>
              <w:bottom w:val="single" w:sz="8" w:space="0" w:color="252C65"/>
              <w:right w:val="none" w:sz="0" w:space="0" w:color="000000"/>
            </w:tcBorders>
            <w:shd w:val="clear" w:color="auto" w:fill="FFFFFF"/>
            <w:tcMar>
              <w:top w:w="0" w:type="dxa"/>
              <w:left w:w="0" w:type="dxa"/>
              <w:bottom w:w="0" w:type="dxa"/>
              <w:right w:w="0" w:type="dxa"/>
            </w:tcMar>
            <w:vAlign w:val="center"/>
          </w:tcPr>
          <w:p w14:paraId="52644C18" w14:textId="77777777" w:rsidR="005879B1" w:rsidRDefault="00A97397">
            <w:pPr>
              <w:pBdr>
                <w:top w:val="none" w:sz="0" w:space="0" w:color="000000"/>
                <w:left w:val="none" w:sz="0" w:space="0" w:color="000000"/>
                <w:bottom w:val="none" w:sz="0" w:space="0" w:color="000000"/>
                <w:right w:val="none" w:sz="0" w:space="0" w:color="000000"/>
              </w:pBdr>
              <w:spacing w:before="100" w:after="100" w:line="240" w:lineRule="auto"/>
              <w:ind w:left="100" w:right="100"/>
              <w:rPr>
                <w:rFonts w:eastAsia="Verdana" w:cs="Verdana"/>
                <w:color w:val="252C65"/>
                <w:sz w:val="16"/>
                <w:szCs w:val="16"/>
              </w:rPr>
            </w:pPr>
            <w:r>
              <w:rPr>
                <w:rFonts w:eastAsia="Verdana" w:cs="Verdana"/>
                <w:color w:val="252C65"/>
                <w:sz w:val="16"/>
                <w:szCs w:val="16"/>
              </w:rPr>
              <w:t>Commercial driver licence</w:t>
            </w:r>
          </w:p>
        </w:tc>
        <w:tc>
          <w:tcPr>
            <w:tcW w:w="5760" w:type="dxa"/>
            <w:tcBorders>
              <w:top w:val="single" w:sz="8" w:space="0" w:color="999EC6"/>
              <w:left w:val="none" w:sz="0" w:space="0" w:color="000000"/>
              <w:bottom w:val="single" w:sz="8" w:space="0" w:color="252C65"/>
              <w:right w:val="none" w:sz="0" w:space="0" w:color="000000"/>
            </w:tcBorders>
            <w:shd w:val="clear" w:color="auto" w:fill="FFFFFF"/>
            <w:tcMar>
              <w:top w:w="0" w:type="dxa"/>
              <w:left w:w="0" w:type="dxa"/>
              <w:bottom w:w="0" w:type="dxa"/>
              <w:right w:w="0" w:type="dxa"/>
            </w:tcMar>
            <w:vAlign w:val="center"/>
          </w:tcPr>
          <w:p w14:paraId="6CC8093C" w14:textId="77777777" w:rsidR="005879B1" w:rsidRDefault="00A97397">
            <w:pPr>
              <w:pBdr>
                <w:top w:val="none" w:sz="0" w:space="0" w:color="000000"/>
                <w:left w:val="none" w:sz="0" w:space="0" w:color="000000"/>
                <w:bottom w:val="none" w:sz="0" w:space="0" w:color="000000"/>
                <w:right w:val="none" w:sz="0" w:space="0" w:color="000000"/>
              </w:pBdr>
              <w:spacing w:before="100" w:after="100" w:line="240" w:lineRule="auto"/>
              <w:ind w:left="100" w:right="100"/>
              <w:rPr>
                <w:rFonts w:eastAsia="Verdana" w:cs="Verdana"/>
                <w:color w:val="252C65"/>
                <w:sz w:val="16"/>
                <w:szCs w:val="16"/>
              </w:rPr>
            </w:pPr>
            <w:r>
              <w:rPr>
                <w:rFonts w:eastAsia="Verdana" w:cs="Verdana"/>
                <w:color w:val="252C65"/>
                <w:sz w:val="16"/>
                <w:szCs w:val="16"/>
              </w:rPr>
              <w:t>Commercial driver licence status..</w:t>
            </w:r>
          </w:p>
        </w:tc>
      </w:tr>
    </w:tbl>
    <w:p w14:paraId="40637FF1" w14:textId="77777777" w:rsidR="00435ECC" w:rsidRDefault="00435ECC">
      <w:pPr>
        <w:pStyle w:val="BodyText"/>
      </w:pPr>
    </w:p>
    <w:p w14:paraId="03D12FFE" w14:textId="70030F01" w:rsidR="005879B1" w:rsidRDefault="00A97397">
      <w:pPr>
        <w:pStyle w:val="BodyText"/>
      </w:pPr>
      <w:r>
        <w:t>One strategy to ensure participants and matched comparison group have similar expected future outcomes is to include key measures of those outcomes in the profile. In particular a number of profile variables related to outcomes such as employment and education and training are measured at set periods before the profile date. The current periods are 1 to 12, 15, 18, 21, 24, 30, 36 and 42 months before profile date. The purpose of measuring profile variables at set periods before profile date is to account for trend in outcomes leading up to participation in an intervention. For example, it is important to account for the often-observed downward trend in employment and increased benefit receipt by participants in the months before starting an intervention.</w:t>
      </w:r>
    </w:p>
    <w:p w14:paraId="0B2ADDDF" w14:textId="77777777" w:rsidR="005879B1" w:rsidRDefault="00A97397">
      <w:pPr>
        <w:pStyle w:val="Heading4"/>
      </w:pPr>
      <w:bookmarkStart w:id="86" w:name="quality-of-the-matching-the-balance-test"/>
      <w:bookmarkEnd w:id="84"/>
      <w:r>
        <w:t>Quality of the matching, the balance test</w:t>
      </w:r>
    </w:p>
    <w:p w14:paraId="068E6924" w14:textId="77777777" w:rsidR="005879B1" w:rsidRDefault="00A97397">
      <w:r>
        <w:t>While we cannot test if the conditional independence assumption (CIA) has been violated, we can check to see if the comparison group has a similar average profile to the participants. This is referred to as the balance test, with balance referring to whether the profiles of the participants and comparison group are similar to each other. The balance condition can be expressed as,</w:t>
      </w:r>
    </w:p>
    <w:p w14:paraId="2064353D" w14:textId="77777777" w:rsidR="005879B1" w:rsidRDefault="00A97397">
      <w:pPr>
        <w:pStyle w:val="BodyText"/>
      </w:pPr>
      <m:oMathPara>
        <m:oMathParaPr>
          <m:jc m:val="center"/>
        </m:oMathParaPr>
        <m:oMath>
          <m:r>
            <w:rPr>
              <w:rFonts w:ascii="Cambria Math" w:hAnsi="Cambria Math"/>
            </w:rPr>
            <m:t>P</m:t>
          </m:r>
          <m:d>
            <m:dPr>
              <m:ctrlPr>
                <w:rPr>
                  <w:rFonts w:ascii="Cambria Math" w:hAnsi="Cambria Math"/>
                </w:rPr>
              </m:ctrlPr>
            </m:dPr>
            <m:e>
              <m:r>
                <w:rPr>
                  <w:rFonts w:ascii="Cambria Math" w:hAnsi="Cambria Math"/>
                </w:rPr>
                <m:t>D</m:t>
              </m:r>
            </m:e>
          </m:d>
          <m:r>
            <m:rPr>
              <m:sty m:val="p"/>
            </m:rPr>
            <w:rPr>
              <w:rFonts w:ascii="Cambria Math" w:hAnsi="Cambria Math"/>
            </w:rPr>
            <m:t>⊥</m:t>
          </m:r>
          <m:r>
            <w:rPr>
              <w:rFonts w:ascii="Cambria Math" w:hAnsi="Cambria Math"/>
            </w:rPr>
            <m:t>X</m:t>
          </m:r>
        </m:oMath>
      </m:oMathPara>
    </w:p>
    <w:p w14:paraId="3F5B309D" w14:textId="77777777" w:rsidR="005879B1" w:rsidRDefault="00A97397">
      <w:r>
        <w:t xml:space="preserve">where </w:t>
      </w:r>
      <m:oMath>
        <m:r>
          <w:rPr>
            <w:rFonts w:ascii="Cambria Math" w:hAnsi="Cambria Math"/>
          </w:rPr>
          <m:t>P</m:t>
        </m:r>
        <m:d>
          <m:dPr>
            <m:ctrlPr>
              <w:rPr>
                <w:rFonts w:ascii="Cambria Math" w:hAnsi="Cambria Math"/>
              </w:rPr>
            </m:ctrlPr>
          </m:dPr>
          <m:e>
            <m:r>
              <w:rPr>
                <w:rFonts w:ascii="Cambria Math" w:hAnsi="Cambria Math"/>
              </w:rPr>
              <m:t>D</m:t>
            </m:r>
          </m:e>
        </m:d>
      </m:oMath>
      <w:r>
        <w:t xml:space="preserve"> is the probability of participating in the programme, </w:t>
      </w:r>
      <m:oMath>
        <m:r>
          <w:rPr>
            <w:rFonts w:ascii="Cambria Math" w:hAnsi="Cambria Math"/>
          </w:rPr>
          <m:t>X</m:t>
        </m:r>
      </m:oMath>
      <w:r>
        <w:t xml:space="preserve"> is a set of observable characteristics, the ‘</w:t>
      </w:r>
      <m:oMath>
        <m:r>
          <m:rPr>
            <m:sty m:val="p"/>
          </m:rPr>
          <w:rPr>
            <w:rFonts w:ascii="Cambria Math" w:hAnsi="Cambria Math"/>
          </w:rPr>
          <m:t>⊥</m:t>
        </m:r>
      </m:oMath>
      <w:r>
        <w:t xml:space="preserve">’ indicates that </w:t>
      </w:r>
      <m:oMath>
        <m:r>
          <w:rPr>
            <w:rFonts w:ascii="Cambria Math" w:hAnsi="Cambria Math"/>
          </w:rPr>
          <m:t>P</m:t>
        </m:r>
        <m:d>
          <m:dPr>
            <m:ctrlPr>
              <w:rPr>
                <w:rFonts w:ascii="Cambria Math" w:hAnsi="Cambria Math"/>
              </w:rPr>
            </m:ctrlPr>
          </m:dPr>
          <m:e>
            <m:r>
              <w:rPr>
                <w:rFonts w:ascii="Cambria Math" w:hAnsi="Cambria Math"/>
              </w:rPr>
              <m:t>D</m:t>
            </m:r>
          </m:e>
        </m:d>
      </m:oMath>
      <w:r>
        <w:t xml:space="preserve"> is independent of </w:t>
      </w:r>
      <m:oMath>
        <m:r>
          <w:rPr>
            <w:rFonts w:ascii="Cambria Math" w:hAnsi="Cambria Math"/>
          </w:rPr>
          <m:t>X</m:t>
        </m:r>
      </m:oMath>
      <w:r>
        <w:t xml:space="preserve">. One way to test this condition is to predict </w:t>
      </w:r>
      <m:oMath>
        <m:r>
          <w:rPr>
            <w:rFonts w:ascii="Cambria Math" w:hAnsi="Cambria Math"/>
          </w:rPr>
          <m:t>D</m:t>
        </m:r>
      </m:oMath>
      <w:r>
        <w:t xml:space="preserve"> based on </w:t>
      </w:r>
      <m:oMath>
        <m:r>
          <w:rPr>
            <w:rFonts w:ascii="Cambria Math" w:hAnsi="Cambria Math"/>
          </w:rPr>
          <m:t>X</m:t>
        </m:r>
      </m:oMath>
      <w:r>
        <w:t>, using a logistic model,</w:t>
      </w:r>
    </w:p>
    <w:p w14:paraId="2864CD81" w14:textId="77777777" w:rsidR="005879B1" w:rsidRDefault="009E099E">
      <w:pPr>
        <w:pStyle w:val="BodyText"/>
      </w:pPr>
      <m:oMathPara>
        <m:oMathParaPr>
          <m:jc m:val="center"/>
        </m:oMathParaPr>
        <m:oMath>
          <m:f>
            <m:fPr>
              <m:ctrlPr>
                <w:rPr>
                  <w:rFonts w:ascii="Cambria Math" w:hAnsi="Cambria Math"/>
                </w:rPr>
              </m:ctrlPr>
            </m:fPr>
            <m:num>
              <m:r>
                <w:rPr>
                  <w:rFonts w:ascii="Cambria Math" w:hAnsi="Cambria Math"/>
                </w:rPr>
                <m:t>D</m:t>
              </m:r>
            </m:num>
            <m:den>
              <m:r>
                <w:rPr>
                  <w:rFonts w:ascii="Cambria Math" w:hAnsi="Cambria Math"/>
                </w:rPr>
                <m:t>1</m:t>
              </m:r>
              <m:r>
                <m:rPr>
                  <m:sty m:val="p"/>
                </m:rPr>
                <w:rPr>
                  <w:rFonts w:ascii="Cambria Math" w:hAnsi="Cambria Math"/>
                </w:rPr>
                <m:t>-</m:t>
              </m:r>
              <m:r>
                <w:rPr>
                  <w:rFonts w:ascii="Cambria Math" w:hAnsi="Cambria Math"/>
                </w:rPr>
                <m:t>D</m:t>
              </m:r>
            </m:den>
          </m:f>
          <m:r>
            <m:rPr>
              <m:sty m:val="p"/>
            </m:rPr>
            <w:rPr>
              <w:rFonts w:ascii="Cambria Math" w:hAnsi="Cambria Math"/>
            </w:rPr>
            <m:t>=</m:t>
          </m:r>
          <m:r>
            <w:rPr>
              <w:rFonts w:ascii="Cambria Math" w:hAnsi="Cambria Math"/>
            </w:rPr>
            <m:t>exp</m:t>
          </m:r>
          <m:d>
            <m:dPr>
              <m:ctrlPr>
                <w:rPr>
                  <w:rFonts w:ascii="Cambria Math" w:hAnsi="Cambria Math"/>
                </w:rPr>
              </m:ctrlPr>
            </m:dPr>
            <m:e>
              <m:r>
                <w:rPr>
                  <w:rFonts w:ascii="Cambria Math" w:hAnsi="Cambria Math"/>
                </w:rPr>
                <m:t>α</m:t>
              </m:r>
              <m:r>
                <m:rPr>
                  <m:sty m:val="p"/>
                </m:rPr>
                <w:rPr>
                  <w:rFonts w:ascii="Cambria Math" w:hAnsi="Cambria Math"/>
                </w:rPr>
                <m:t>+</m:t>
              </m:r>
              <m:sSub>
                <m:sSubPr>
                  <m:ctrlPr>
                    <w:rPr>
                      <w:rFonts w:ascii="Cambria Math" w:hAnsi="Cambria Math"/>
                    </w:rPr>
                  </m:ctrlPr>
                </m:sSubPr>
                <m:e>
                  <m:r>
                    <w:rPr>
                      <w:rFonts w:ascii="Cambria Math" w:hAnsi="Cambria Math"/>
                    </w:rPr>
                    <m:t>x</m:t>
                  </m:r>
                </m:e>
                <m:sub>
                  <m:r>
                    <w:rPr>
                      <w:rFonts w:ascii="Cambria Math" w:hAnsi="Cambria Math"/>
                    </w:rPr>
                    <m:t>1</m:t>
                  </m:r>
                </m:sub>
              </m:sSub>
              <m:sSub>
                <m:sSubPr>
                  <m:ctrlPr>
                    <w:rPr>
                      <w:rFonts w:ascii="Cambria Math" w:hAnsi="Cambria Math"/>
                    </w:rPr>
                  </m:ctrlPr>
                </m:sSubPr>
                <m:e>
                  <m:r>
                    <w:rPr>
                      <w:rFonts w:ascii="Cambria Math" w:hAnsi="Cambria Math"/>
                    </w:rPr>
                    <m:t>β</m:t>
                  </m:r>
                </m:e>
                <m:sub>
                  <m:r>
                    <w:rPr>
                      <w:rFonts w:ascii="Cambria Math" w:hAnsi="Cambria Math"/>
                    </w:rPr>
                    <m:t>1</m:t>
                  </m:r>
                </m:sub>
              </m:sSub>
              <m:r>
                <m:rPr>
                  <m:sty m:val="p"/>
                </m:rPr>
                <w:rPr>
                  <w:rFonts w:ascii="Cambria Math" w:hAnsi="Cambria Math"/>
                </w:rPr>
                <m:t>+</m:t>
              </m:r>
              <m:sSub>
                <m:sSubPr>
                  <m:ctrlPr>
                    <w:rPr>
                      <w:rFonts w:ascii="Cambria Math" w:hAnsi="Cambria Math"/>
                    </w:rPr>
                  </m:ctrlPr>
                </m:sSubPr>
                <m:e>
                  <m:r>
                    <w:rPr>
                      <w:rFonts w:ascii="Cambria Math" w:hAnsi="Cambria Math"/>
                    </w:rPr>
                    <m:t>x</m:t>
                  </m:r>
                </m:e>
                <m:sub>
                  <m:r>
                    <w:rPr>
                      <w:rFonts w:ascii="Cambria Math" w:hAnsi="Cambria Math"/>
                    </w:rPr>
                    <m:t>2</m:t>
                  </m:r>
                </m:sub>
              </m:sSub>
              <m:sSub>
                <m:sSubPr>
                  <m:ctrlPr>
                    <w:rPr>
                      <w:rFonts w:ascii="Cambria Math" w:hAnsi="Cambria Math"/>
                    </w:rPr>
                  </m:ctrlPr>
                </m:sSubPr>
                <m:e>
                  <m:r>
                    <w:rPr>
                      <w:rFonts w:ascii="Cambria Math" w:hAnsi="Cambria Math"/>
                    </w:rPr>
                    <m:t>β</m:t>
                  </m:r>
                </m:e>
                <m:sub>
                  <m:r>
                    <w:rPr>
                      <w:rFonts w:ascii="Cambria Math" w:hAnsi="Cambria Math"/>
                    </w:rPr>
                    <m:t>2</m:t>
                  </m:r>
                </m:sub>
              </m:sSub>
              <m:r>
                <m:rPr>
                  <m:sty m:val="p"/>
                </m:rPr>
                <w:rPr>
                  <w:rFonts w:ascii="Cambria Math" w:hAnsi="Cambria Math"/>
                </w:rPr>
                <m:t>+⋯+</m:t>
              </m:r>
              <m:sSub>
                <m:sSubPr>
                  <m:ctrlPr>
                    <w:rPr>
                      <w:rFonts w:ascii="Cambria Math" w:hAnsi="Cambria Math"/>
                    </w:rPr>
                  </m:ctrlPr>
                </m:sSubPr>
                <m:e>
                  <m:r>
                    <w:rPr>
                      <w:rFonts w:ascii="Cambria Math" w:hAnsi="Cambria Math"/>
                    </w:rPr>
                    <m:t>x</m:t>
                  </m:r>
                </m:e>
                <m:sub>
                  <m:r>
                    <w:rPr>
                      <w:rFonts w:ascii="Cambria Math" w:hAnsi="Cambria Math"/>
                    </w:rPr>
                    <m:t>n</m:t>
                  </m:r>
                </m:sub>
              </m:sSub>
              <m:sSub>
                <m:sSubPr>
                  <m:ctrlPr>
                    <w:rPr>
                      <w:rFonts w:ascii="Cambria Math" w:hAnsi="Cambria Math"/>
                    </w:rPr>
                  </m:ctrlPr>
                </m:sSubPr>
                <m:e>
                  <m:r>
                    <w:rPr>
                      <w:rFonts w:ascii="Cambria Math" w:hAnsi="Cambria Math"/>
                    </w:rPr>
                    <m:t>β</m:t>
                  </m:r>
                </m:e>
                <m:sub>
                  <m:r>
                    <w:rPr>
                      <w:rFonts w:ascii="Cambria Math" w:hAnsi="Cambria Math"/>
                    </w:rPr>
                    <m:t>n</m:t>
                  </m:r>
                </m:sub>
              </m:sSub>
            </m:e>
          </m:d>
        </m:oMath>
      </m:oMathPara>
    </w:p>
    <w:p w14:paraId="3E2C98DE" w14:textId="77777777" w:rsidR="005879B1" w:rsidRDefault="00A97397">
      <w:r>
        <w:t>where, the target is membership of the participant group (</w:t>
      </w:r>
      <m:oMath>
        <m:r>
          <w:rPr>
            <w:rFonts w:ascii="Cambria Math" w:hAnsi="Cambria Math"/>
          </w:rPr>
          <m:t>D</m:t>
        </m:r>
      </m:oMath>
      <w:r>
        <w:t>=1) or the matched comparison group (</w:t>
      </w:r>
      <m:oMath>
        <m:r>
          <w:rPr>
            <w:rFonts w:ascii="Cambria Math" w:hAnsi="Cambria Math"/>
          </w:rPr>
          <m:t>D</m:t>
        </m:r>
      </m:oMath>
      <w:r>
        <w:t xml:space="preserve">=0), and </w:t>
      </w:r>
      <m:oMath>
        <m:r>
          <w:rPr>
            <w:rFonts w:ascii="Cambria Math" w:hAnsi="Cambria Math"/>
          </w:rPr>
          <m:t>X</m:t>
        </m:r>
      </m:oMath>
      <w:r>
        <w:t xml:space="preserve"> is the set of all the profile variables available for matching (see Table ??). Balance is achieved when the logistic model cannot predict </w:t>
      </w:r>
      <m:oMath>
        <m:r>
          <w:rPr>
            <w:rFonts w:ascii="Cambria Math" w:hAnsi="Cambria Math"/>
          </w:rPr>
          <m:t>D</m:t>
        </m:r>
      </m:oMath>
      <w:r>
        <w:t xml:space="preserve"> and the model fit is poor. In other words, the regression model cannot identify if a given individual is in the participant or matched comparison group based on the available observed characteristics.</w:t>
      </w:r>
    </w:p>
    <w:p w14:paraId="4FF14FAB" w14:textId="77777777" w:rsidR="005879B1" w:rsidRDefault="00A97397">
      <w:pPr>
        <w:pStyle w:val="BodyText"/>
      </w:pPr>
      <w:r>
        <w:t xml:space="preserve">To test model fit, we use the area under a receiver operating characteristic (ROC) curve, abbreviated as AUC. The closer the AUC is to 1 the better the model is at predicting whether a given observation is in the participant or </w:t>
      </w:r>
      <w:r>
        <w:lastRenderedPageBreak/>
        <w:t>comparison group (ie a low false prediction rate). The lower bound of the AUC scale is 0.5, where the model cannot predict whether a given observation belongs to the participant or matched comparison group.</w:t>
      </w:r>
    </w:p>
    <w:p w14:paraId="778A36D9" w14:textId="77777777" w:rsidR="005879B1" w:rsidRDefault="00A97397">
      <w:pPr>
        <w:pStyle w:val="BodyText"/>
      </w:pPr>
      <w:r>
        <w:t xml:space="preserve">The next question is determining how high an AUC would need to be before we consider the profiles are unbalanced (ie the profiles of the participant and matched comparison group are not the same). To set this cut-off, we determine the expected AUC based on randomising an equivalent set of individuals into a control and treatment group. We achieve this by combining the participant and matched comparison group into a pooled sample. From this pooled sample, we randomly allocate half to treatment and the other half to a control group. In other words, we replicate an RCT where membership to the control or treatment is, by definition, independent of </w:t>
      </w:r>
      <m:oMath>
        <m:r>
          <w:rPr>
            <w:rFonts w:ascii="Cambria Math" w:hAnsi="Cambria Math"/>
          </w:rPr>
          <m:t>X</m:t>
        </m:r>
      </m:oMath>
      <w:r>
        <w:t xml:space="preserve"> (ie </w:t>
      </w:r>
      <m:oMath>
        <m:r>
          <w:rPr>
            <w:rFonts w:ascii="Cambria Math" w:hAnsi="Cambria Math"/>
          </w:rPr>
          <m:t>P</m:t>
        </m:r>
        <m:d>
          <m:dPr>
            <m:ctrlPr>
              <w:rPr>
                <w:rFonts w:ascii="Cambria Math" w:hAnsi="Cambria Math"/>
              </w:rPr>
            </m:ctrlPr>
          </m:dPr>
          <m:e>
            <m:r>
              <w:rPr>
                <w:rFonts w:ascii="Cambria Math" w:hAnsi="Cambria Math"/>
              </w:rPr>
              <m:t>D</m:t>
            </m:r>
          </m:e>
        </m:d>
        <m:r>
          <m:rPr>
            <m:sty m:val="p"/>
          </m:rPr>
          <w:rPr>
            <w:rFonts w:ascii="Cambria Math" w:hAnsi="Cambria Math"/>
          </w:rPr>
          <m:t>⊥</m:t>
        </m:r>
        <m:r>
          <w:rPr>
            <w:rFonts w:ascii="Cambria Math" w:hAnsi="Cambria Math"/>
          </w:rPr>
          <m:t>X</m:t>
        </m:r>
      </m:oMath>
      <w:r>
        <w:t>) and then proceed to calculate the AUC.</w:t>
      </w:r>
    </w:p>
    <w:p w14:paraId="0C6719F9" w14:textId="77777777" w:rsidR="005879B1" w:rsidRDefault="00A97397">
      <w:pPr>
        <w:pStyle w:val="BodyText"/>
      </w:pPr>
      <w:r>
        <w:t>We repeated this process 100 times to generate an expected distribution of AUC for randomly allocated control and treatments drawn from the pooled matched participant and comparison group and using the same profile information. Figure 4 shows the results for randomised, matched and eligible AUC for all the individual EA interventions where PSM has been used. The Matched line shows the AUC for PSM matched, while the Randomised line shows the AUC distribution if these PSM had been randomly assigned to a treatment and control instead. The Eligible shows the AUC for participants and a sample non-participant group with a greater than zero probability of participating in the intervention.</w:t>
      </w:r>
    </w:p>
    <w:p w14:paraId="6A5C11BD" w14:textId="77777777" w:rsidR="005879B1" w:rsidRDefault="00A97397">
      <w:pPr>
        <w:pStyle w:val="BodyText"/>
      </w:pPr>
      <w:r>
        <w:t>From Figure 4 we can make the following observations:</w:t>
      </w:r>
    </w:p>
    <w:p w14:paraId="692166E9" w14:textId="77777777" w:rsidR="005879B1" w:rsidRDefault="00A97397" w:rsidP="004357B9">
      <w:pPr>
        <w:numPr>
          <w:ilvl w:val="0"/>
          <w:numId w:val="15"/>
        </w:numPr>
      </w:pPr>
      <w:r>
        <w:t>The average AUC for Eligible is 0.8, in other words, a regression model can identify to a high degree of accuracy whether a person is a participant or non-participant based on their observed characteristics. This result provides compelling evidence that participants differ in important ways from the eligible population. Such differences occur through a combination of institutional practices and guidelines, case manager preferences and assessments as well as self-selection decisions by participants themselves.</w:t>
      </w:r>
    </w:p>
    <w:p w14:paraId="4175DE06" w14:textId="77777777" w:rsidR="005879B1" w:rsidRDefault="00A97397" w:rsidP="004357B9">
      <w:pPr>
        <w:numPr>
          <w:ilvl w:val="0"/>
          <w:numId w:val="15"/>
        </w:numPr>
      </w:pPr>
      <w:r>
        <w:t xml:space="preserve">The Randomised AUC distribution, by contrast, is close to, but not centred on 0.5. Instead the AUC of the randomised simulations averages to 0.55 and 95 percentile value of 0.58. This distribution simply reflects that, for any given random draw, there will be spurious associations between </w:t>
      </w:r>
      <m:oMath>
        <m:r>
          <w:rPr>
            <w:rFonts w:ascii="Cambria Math" w:hAnsi="Cambria Math"/>
          </w:rPr>
          <m:t>X</m:t>
        </m:r>
      </m:oMath>
      <w:r>
        <w:t xml:space="preserve"> and </w:t>
      </w:r>
      <m:oMath>
        <m:r>
          <w:rPr>
            <w:rFonts w:ascii="Cambria Math" w:hAnsi="Cambria Math"/>
          </w:rPr>
          <m:t>D</m:t>
        </m:r>
      </m:oMath>
      <w:r>
        <w:t xml:space="preserve"> and therefore even when </w:t>
      </w:r>
      <m:oMath>
        <m:r>
          <w:rPr>
            <w:rFonts w:ascii="Cambria Math" w:hAnsi="Cambria Math"/>
          </w:rPr>
          <m:t>P</m:t>
        </m:r>
        <m:d>
          <m:dPr>
            <m:ctrlPr>
              <w:rPr>
                <w:rFonts w:ascii="Cambria Math" w:hAnsi="Cambria Math"/>
              </w:rPr>
            </m:ctrlPr>
          </m:dPr>
          <m:e>
            <m:r>
              <w:rPr>
                <w:rFonts w:ascii="Cambria Math" w:hAnsi="Cambria Math"/>
              </w:rPr>
              <m:t>D</m:t>
            </m:r>
          </m:e>
        </m:d>
        <m:r>
          <m:rPr>
            <m:sty m:val="p"/>
          </m:rPr>
          <w:rPr>
            <w:rFonts w:ascii="Cambria Math" w:hAnsi="Cambria Math"/>
          </w:rPr>
          <m:t>⊥</m:t>
        </m:r>
        <m:r>
          <w:rPr>
            <w:rFonts w:ascii="Cambria Math" w:hAnsi="Cambria Math"/>
          </w:rPr>
          <m:t>X</m:t>
        </m:r>
      </m:oMath>
      <w:r>
        <w:t xml:space="preserve"> is known to be true, the AUC is normally greater than 0.5.</w:t>
      </w:r>
    </w:p>
    <w:p w14:paraId="61D35CCD" w14:textId="77777777" w:rsidR="005879B1" w:rsidRDefault="00A97397" w:rsidP="004357B9">
      <w:pPr>
        <w:numPr>
          <w:ilvl w:val="0"/>
          <w:numId w:val="15"/>
        </w:numPr>
      </w:pPr>
      <w:r>
        <w:t xml:space="preserve">Of most importance is the Matched AUC that represents the performance of the PSM in selecting a comparison group that is observationally the same as the participant group. Reassuringly, the </w:t>
      </w:r>
      <w:r>
        <w:lastRenderedPageBreak/>
        <w:t xml:space="preserve">distribution of Matched AUC closely matches that of the Randomised baseline, with the Matched AUC mean being </w:t>
      </w:r>
      <w:proofErr w:type="gramStart"/>
      <w:r>
        <w:t>similar to</w:t>
      </w:r>
      <w:proofErr w:type="gramEnd"/>
      <w:r>
        <w:t xml:space="preserve"> the </w:t>
      </w:r>
      <w:proofErr w:type="spellStart"/>
      <w:r>
        <w:t>RCT</w:t>
      </w:r>
      <w:proofErr w:type="spellEnd"/>
      <w:r>
        <w:t xml:space="preserve"> AUC at 0.55.</w:t>
      </w:r>
    </w:p>
    <w:p w14:paraId="16ABA69A" w14:textId="12AEFAB7" w:rsidR="00435ECC" w:rsidRDefault="00435ECC" w:rsidP="00435ECC">
      <w:pPr>
        <w:pStyle w:val="Caption"/>
      </w:pPr>
      <w:r w:rsidRPr="00435ECC">
        <w:rPr>
          <w:b/>
          <w:bCs/>
        </w:rPr>
        <w:t>Figure 4</w:t>
      </w:r>
      <w:r>
        <w:t xml:space="preserve">: AUC distribution for randomised, matched, and eligible groups for all EA interventions with a </w:t>
      </w:r>
      <w:proofErr w:type="spellStart"/>
      <w:r>
        <w:t>PSM</w:t>
      </w:r>
      <w:proofErr w:type="spellEnd"/>
      <w:r>
        <w:t xml:space="preserve"> comparison group</w:t>
      </w:r>
    </w:p>
    <w:p w14:paraId="049C0F66" w14:textId="77777777" w:rsidR="005879B1" w:rsidRDefault="00A97397">
      <w:r>
        <w:rPr>
          <w:noProof/>
        </w:rPr>
        <w:drawing>
          <wp:inline distT="0" distB="0" distL="0" distR="0" wp14:anchorId="7F100108" wp14:editId="24049462">
            <wp:extent cx="5384800" cy="3589866"/>
            <wp:effectExtent l="0" t="0" r="0" b="0"/>
            <wp:docPr id="102" name="Picture" descr="Figure 4: AUC distribution for randomised, matched, and eligible groups for all EA interventions with a PSM comparison group"/>
            <wp:cNvGraphicFramePr/>
            <a:graphic xmlns:a="http://schemas.openxmlformats.org/drawingml/2006/main">
              <a:graphicData uri="http://schemas.openxmlformats.org/drawingml/2006/picture">
                <pic:pic xmlns:pic="http://schemas.openxmlformats.org/drawingml/2006/picture">
                  <pic:nvPicPr>
                    <pic:cNvPr id="103" name="Picture" descr="fy23_ea_effectiveness_technical_report_files/figure-docx/auc-dist-1.png"/>
                    <pic:cNvPicPr>
                      <a:picLocks noChangeAspect="1" noChangeArrowheads="1"/>
                    </pic:cNvPicPr>
                  </pic:nvPicPr>
                  <pic:blipFill>
                    <a:blip r:embed="rId13"/>
                    <a:stretch>
                      <a:fillRect/>
                    </a:stretch>
                  </pic:blipFill>
                  <pic:spPr bwMode="auto">
                    <a:xfrm>
                      <a:off x="0" y="0"/>
                      <a:ext cx="5384800" cy="3589866"/>
                    </a:xfrm>
                    <a:prstGeom prst="rect">
                      <a:avLst/>
                    </a:prstGeom>
                    <a:noFill/>
                    <a:ln w="9525">
                      <a:noFill/>
                      <a:headEnd/>
                      <a:tailEnd/>
                    </a:ln>
                  </pic:spPr>
                </pic:pic>
              </a:graphicData>
            </a:graphic>
          </wp:inline>
        </w:drawing>
      </w:r>
    </w:p>
    <w:p w14:paraId="237698C2" w14:textId="77777777" w:rsidR="005879B1" w:rsidRDefault="00A97397">
      <w:pPr>
        <w:pStyle w:val="BodyText"/>
      </w:pPr>
      <w:bookmarkStart w:id="87" w:name="fig:auc-dist"/>
      <w:bookmarkEnd w:id="87"/>
      <w:r>
        <w:t xml:space="preserve">Using a classical hypothesis testing approach. For each individual PSM cohort, we define that the balance test fails if the PSM AUC is greater than the 95th percentile of the equivalent RCT AUC distribution for each PSM cohort. In other words, if the PSM AUC is less than the 95th percentile, we conclude it lies within the expected distribution of AUC where </w:t>
      </w:r>
      <m:oMath>
        <m:r>
          <w:rPr>
            <w:rFonts w:ascii="Cambria Math" w:hAnsi="Cambria Math"/>
          </w:rPr>
          <m:t>P</m:t>
        </m:r>
        <m:d>
          <m:dPr>
            <m:ctrlPr>
              <w:rPr>
                <w:rFonts w:ascii="Cambria Math" w:hAnsi="Cambria Math"/>
              </w:rPr>
            </m:ctrlPr>
          </m:dPr>
          <m:e>
            <m:r>
              <w:rPr>
                <w:rFonts w:ascii="Cambria Math" w:hAnsi="Cambria Math"/>
              </w:rPr>
              <m:t>D</m:t>
            </m:r>
          </m:e>
        </m:d>
        <m:r>
          <m:rPr>
            <m:sty m:val="p"/>
          </m:rPr>
          <w:rPr>
            <w:rFonts w:ascii="Cambria Math" w:hAnsi="Cambria Math"/>
          </w:rPr>
          <m:t>⊥</m:t>
        </m:r>
        <m:r>
          <w:rPr>
            <w:rFonts w:ascii="Cambria Math" w:hAnsi="Cambria Math"/>
          </w:rPr>
          <m:t>X</m:t>
        </m:r>
      </m:oMath>
      <w:r>
        <w:t xml:space="preserve"> is true. In the CBA, we only include interventions that have passed this balance test.</w:t>
      </w:r>
    </w:p>
    <w:p w14:paraId="17CF2179" w14:textId="77777777" w:rsidR="005879B1" w:rsidRDefault="00A97397">
      <w:pPr>
        <w:pStyle w:val="Heading3"/>
      </w:pPr>
      <w:bookmarkStart w:id="88" w:name="X4dca2723d2b77d83f2f4bf72d8664e5743ae87e"/>
      <w:bookmarkEnd w:id="86"/>
      <w:bookmarkEnd w:id="80"/>
      <w:r>
        <w:t>Propensity score-matched historical comparison group</w:t>
      </w:r>
    </w:p>
    <w:p w14:paraId="0043CE04" w14:textId="77777777" w:rsidR="005879B1" w:rsidRDefault="00A97397">
      <w:r>
        <w:rPr>
          <w:b/>
          <w:bCs/>
        </w:rPr>
        <w:t>Interventions covered</w:t>
      </w:r>
      <w:r>
        <w:t>: Youth Service (YP), Youth Service (YPP).</w:t>
      </w:r>
    </w:p>
    <w:p w14:paraId="444325A0" w14:textId="77777777" w:rsidR="005879B1" w:rsidRDefault="00A97397">
      <w:pPr>
        <w:pStyle w:val="BodyText"/>
      </w:pPr>
      <w:r>
        <w:t>For two EA interventions (Youth Service Youth Payment and Youth Service Young Parent Payment) there was no contemporary non-participant population. Instead, the analysis constructed a propensity-matched comparison group based on a similar population who received the Independent Youth Benefit in the past (McLeod, Dixon, &amp; Crichton, 2016). The comparison group resembled the Youth Service participants on average but were exposed to different policies and labour market conditions.</w:t>
      </w:r>
    </w:p>
    <w:p w14:paraId="5F07517A" w14:textId="77777777" w:rsidR="005879B1" w:rsidRDefault="00A97397">
      <w:pPr>
        <w:pStyle w:val="Heading3"/>
      </w:pPr>
      <w:bookmarkStart w:id="89" w:name="natural-experiments"/>
      <w:bookmarkEnd w:id="88"/>
      <w:r>
        <w:lastRenderedPageBreak/>
        <w:t>Natural experiments</w:t>
      </w:r>
    </w:p>
    <w:p w14:paraId="36CDA231" w14:textId="77777777" w:rsidR="005879B1" w:rsidRDefault="00A97397">
      <w:r>
        <w:rPr>
          <w:b/>
          <w:bCs/>
        </w:rPr>
        <w:t>Interventions covered</w:t>
      </w:r>
      <w:r>
        <w:t>: Jobseeker Work Ready 52-week benefit reapplication, WRK4U.</w:t>
      </w:r>
    </w:p>
    <w:p w14:paraId="09D408B9" w14:textId="77777777" w:rsidR="005879B1" w:rsidRDefault="00A97397">
      <w:pPr>
        <w:pStyle w:val="BodyText"/>
      </w:pPr>
      <w:r>
        <w:t>Natural experiments are instances where an EA intervention is introduced in such a way that we have a natural comparison group. The key assumption of natural experiments is that the introduction of an EA intervention is unrelated to differences in future outcomes between participants and comparisons in the absence of the intervention or, if any differences do exist, they can be controlled for. For example, in the current EA report, we used a natural experiment to evaluate the impact of the 52-week reapplication process on exits from a benefit and how soon affected people returned to a benefit. We used information on the behaviour of job seekers in the years before the introduction of the 52-week reapplication process to provide a baseline comparison for those affected by the new policy. Because the policy was introduced nationally, we had to include labour market measures into the analysis to help control for changes in labour market conditions before and after the introduction of the 52-week reapplication process (MSD, 2013).</w:t>
      </w:r>
    </w:p>
    <w:p w14:paraId="265F494C" w14:textId="77777777" w:rsidR="005879B1" w:rsidRDefault="00A97397">
      <w:pPr>
        <w:pStyle w:val="BodyText"/>
      </w:pPr>
      <w:r>
        <w:t>Likewise, we evaluated the impact of the WRK4U seminar by comparing the behaviour of job seekers in three trial sites before and after the intervention as well as the behaviour of job seekers in non-trial sites before and after the intervention (de Boer, 2003).</w:t>
      </w:r>
    </w:p>
    <w:p w14:paraId="308BA2E8" w14:textId="77777777" w:rsidR="005879B1" w:rsidRDefault="00A97397">
      <w:pPr>
        <w:pStyle w:val="Heading2"/>
      </w:pPr>
      <w:bookmarkStart w:id="90" w:name="_Toc197957616"/>
      <w:bookmarkStart w:id="91" w:name="other-considerations"/>
      <w:bookmarkEnd w:id="89"/>
      <w:r>
        <w:t>Other considerations</w:t>
      </w:r>
      <w:bookmarkEnd w:id="90"/>
    </w:p>
    <w:p w14:paraId="77F55DE4" w14:textId="77777777" w:rsidR="005879B1" w:rsidRDefault="00A97397">
      <w:pPr>
        <w:pStyle w:val="Heading3"/>
      </w:pPr>
      <w:bookmarkStart w:id="92" w:name="making-multiple-statistical-inferences"/>
      <w:r>
        <w:t>Making multiple statistical inferences</w:t>
      </w:r>
    </w:p>
    <w:p w14:paraId="1B1FFC33" w14:textId="77777777" w:rsidR="005879B1" w:rsidRDefault="00A97397">
      <w:r>
        <w:t>When presenting summative statements about the effects of many EA interventions on these outcomes on different subgroups of participants, we are making hundreds of statistical inferences at a time. There is a chance that some of these inferences are incorrect. Specifically, we are worried about claiming that an impact exists when there is none.</w:t>
      </w:r>
    </w:p>
    <w:p w14:paraId="351AFA7C" w14:textId="77777777" w:rsidR="005879B1" w:rsidRDefault="00A97397">
      <w:pPr>
        <w:pStyle w:val="BodyText"/>
      </w:pPr>
      <w:r>
        <w:t>For example, imagine an EA intervention that had no impacts on any outcomes in the general population. If we took a sample of participants and comparison group members and analysed 100 impact results on different outcomes for that intervention, we would expect some of these to be statistically significant due to sampling variability. This is known in the statistical literature as the multiple comparisons problem.</w:t>
      </w:r>
    </w:p>
    <w:p w14:paraId="6708253C" w14:textId="77777777" w:rsidR="005879B1" w:rsidRDefault="00A97397">
      <w:pPr>
        <w:pStyle w:val="BodyText"/>
      </w:pPr>
      <w:r>
        <w:t>At this stage we have not made an adjustment to the impact estimates for making multiple impact estimates but plan to include this adjustment in subsequent reports.</w:t>
      </w:r>
    </w:p>
    <w:p w14:paraId="3E8965DC" w14:textId="77777777" w:rsidR="005879B1" w:rsidRDefault="00A97397">
      <w:pPr>
        <w:pStyle w:val="Heading3"/>
      </w:pPr>
      <w:bookmarkStart w:id="93" w:name="X3b078d2c5b98a2e9c62212246101b82a2f4e1d0"/>
      <w:bookmarkEnd w:id="92"/>
      <w:r>
        <w:lastRenderedPageBreak/>
        <w:t>Interpretation of EA impacts in the context of multiple interventions</w:t>
      </w:r>
    </w:p>
    <w:p w14:paraId="38157473" w14:textId="77777777" w:rsidR="005879B1" w:rsidRDefault="00A97397">
      <w:r>
        <w:t>As the analysis makes clear, Service Delivery runs many different types of employment assistance interventions. Moreover, an individual may receive one or more interventions over time. Therefore, it is important to understand what an impact estimate for an individual EA intervention is telling you.</w:t>
      </w:r>
    </w:p>
    <w:p w14:paraId="2A213D37" w14:textId="77777777" w:rsidR="005879B1" w:rsidRDefault="00A97397">
      <w:pPr>
        <w:pStyle w:val="BodyText"/>
      </w:pPr>
      <w:r>
        <w:t>We are estimating the impact of participating in an EA intervention at a point in time. Participations in EA interventions occur over time, and a person may participate in only one or a series of either the same or different interventions. When we estimate the impact of an EA intervention, we are looking at a single event, namely the date a person starts an EA intervention. We are comparing this to a similar person who did not participate in the intervention on that date. Anything that happens after this date is regarded as an outcome, including subsequent participation in EA interventions. For example, an EA intervention may well increase the probability of participants receiving additional assistance relative to the comparison group. This is interpreted as an impact of the initial EA intervention. But this also means that the impact on longer-term outcomes, such as employment or income is a combination of the initial EA intervention as well as subsequent assistance. Currently, we do not have reliable techniques to try and disentangle these effects.</w:t>
      </w:r>
    </w:p>
    <w:p w14:paraId="58362DDD" w14:textId="77777777" w:rsidR="005879B1" w:rsidRDefault="00A97397">
      <w:pPr>
        <w:pStyle w:val="BodyText"/>
      </w:pPr>
      <w:r>
        <w:t>A further point to make about the comparison group, other than the participation selection period, is that we do not exclude any comparison group member who subsequently goes on to receive the EA intervention being evaluated after the selection period.</w:t>
      </w:r>
      <w:r>
        <w:rPr>
          <w:rStyle w:val="FootnoteReference"/>
        </w:rPr>
        <w:footnoteReference w:id="5"/>
      </w:r>
      <w:r>
        <w:t xml:space="preserve"> More generally, the comparison group will also receive other types of EA assistance over the outcome period. Therefore, when we report an impact, it is the marginal effect of the EA intervention relative to the average level of assistance received by the comparison group. This is an important point to keep in mind, as in some instances, a specific intervention may appear to have no impact because the comparison group is receiving similar levels of assistance or near proxies. These issues point to the need to carefully examine the relative experience of the comparison group against the participants to properly interpret the observed impacts.</w:t>
      </w:r>
    </w:p>
    <w:p w14:paraId="318A4AAE" w14:textId="77777777" w:rsidR="005879B1" w:rsidRDefault="00A97397">
      <w:pPr>
        <w:pStyle w:val="Heading1"/>
      </w:pPr>
      <w:bookmarkStart w:id="94" w:name="_Toc197957617"/>
      <w:bookmarkStart w:id="95" w:name="Xaba82d9557a5306d305e5259c463bf34a9af8b7"/>
      <w:bookmarkEnd w:id="93"/>
      <w:bookmarkEnd w:id="91"/>
      <w:bookmarkEnd w:id="78"/>
      <w:r>
        <w:lastRenderedPageBreak/>
        <w:t>Estimating future impact from observed impact</w:t>
      </w:r>
      <w:bookmarkEnd w:id="94"/>
    </w:p>
    <w:p w14:paraId="215FD56C" w14:textId="77777777" w:rsidR="005879B1" w:rsidRDefault="00A97397">
      <w:r>
        <w:t>In general, the period that we can observe outcomes over is shorter than the period that an intervention has an impact on participants’ outcomes. Also, EA interventions often have negative short-term impacts, such as lock-in effects,</w:t>
      </w:r>
      <w:r>
        <w:rPr>
          <w:rStyle w:val="FootnoteReference"/>
        </w:rPr>
        <w:footnoteReference w:id="6"/>
      </w:r>
      <w:r>
        <w:t xml:space="preserve"> while positive impacts tend to occur over the medium to long term. Taken together, if we judge EA intervention effectiveness over a too short follow-up period, we are more likely to rate the intervention as ineffective by including short-term negative impacts and failing to include potential long-term positive impacts.</w:t>
      </w:r>
    </w:p>
    <w:p w14:paraId="5B60E449" w14:textId="629CED7E" w:rsidR="00DB6E70" w:rsidRDefault="00DB6E70" w:rsidP="00DB6E70">
      <w:pPr>
        <w:pStyle w:val="Caption"/>
      </w:pPr>
      <w:r w:rsidRPr="00A3645B">
        <w:rPr>
          <w:b/>
          <w:bCs/>
        </w:rPr>
        <w:t>Figure 5</w:t>
      </w:r>
      <w:r>
        <w:t xml:space="preserve">: Observed outcomes for participants of Flexi-wage 2018 and the matched comparison </w:t>
      </w:r>
      <w:proofErr w:type="gramStart"/>
      <w:r>
        <w:t>group</w:t>
      </w:r>
      <w:proofErr w:type="gramEnd"/>
    </w:p>
    <w:p w14:paraId="748B4C66" w14:textId="77777777" w:rsidR="005879B1" w:rsidRDefault="00A97397">
      <w:r>
        <w:rPr>
          <w:noProof/>
        </w:rPr>
        <w:drawing>
          <wp:inline distT="0" distB="0" distL="0" distR="0" wp14:anchorId="5EBD2C78" wp14:editId="1A5FF2A1">
            <wp:extent cx="5384800" cy="3589866"/>
            <wp:effectExtent l="0" t="0" r="0" b="0"/>
            <wp:docPr id="116" name="Picture" descr="Figure 5: Observed outcomes for participants of Flexi-wage 2018 and the matched comparison group"/>
            <wp:cNvGraphicFramePr/>
            <a:graphic xmlns:a="http://schemas.openxmlformats.org/drawingml/2006/main">
              <a:graphicData uri="http://schemas.openxmlformats.org/drawingml/2006/picture">
                <pic:pic xmlns:pic="http://schemas.openxmlformats.org/drawingml/2006/picture">
                  <pic:nvPicPr>
                    <pic:cNvPr id="117" name="Picture" descr="fy23_ea_effectiveness_technical_report_files/figure-docx/pioboutcomes1-1.png"/>
                    <pic:cNvPicPr>
                      <a:picLocks noChangeAspect="1" noChangeArrowheads="1"/>
                    </pic:cNvPicPr>
                  </pic:nvPicPr>
                  <pic:blipFill>
                    <a:blip r:embed="rId14"/>
                    <a:stretch>
                      <a:fillRect/>
                    </a:stretch>
                  </pic:blipFill>
                  <pic:spPr bwMode="auto">
                    <a:xfrm>
                      <a:off x="0" y="0"/>
                      <a:ext cx="5384800" cy="3589866"/>
                    </a:xfrm>
                    <a:prstGeom prst="rect">
                      <a:avLst/>
                    </a:prstGeom>
                    <a:noFill/>
                    <a:ln w="9525">
                      <a:noFill/>
                      <a:headEnd/>
                      <a:tailEnd/>
                    </a:ln>
                  </pic:spPr>
                </pic:pic>
              </a:graphicData>
            </a:graphic>
          </wp:inline>
        </w:drawing>
      </w:r>
    </w:p>
    <w:p w14:paraId="10A9BCFF" w14:textId="77777777" w:rsidR="00DB6E70" w:rsidRPr="00A3645B" w:rsidRDefault="00DB6E70" w:rsidP="00C11598">
      <w:pPr>
        <w:pStyle w:val="Tablenormal0"/>
        <w:numPr>
          <w:ilvl w:val="0"/>
          <w:numId w:val="26"/>
        </w:numPr>
        <w:jc w:val="left"/>
        <w:rPr>
          <w:sz w:val="18"/>
          <w:szCs w:val="18"/>
        </w:rPr>
      </w:pPr>
      <w:bookmarkStart w:id="96" w:name="fig:pioboutcomes1"/>
      <w:bookmarkEnd w:id="96"/>
      <w:r w:rsidRPr="00A3645B">
        <w:rPr>
          <w:sz w:val="18"/>
          <w:szCs w:val="18"/>
        </w:rPr>
        <w:t>T</w:t>
      </w:r>
      <w:r w:rsidR="00A97397" w:rsidRPr="00A3645B">
        <w:rPr>
          <w:sz w:val="18"/>
          <w:szCs w:val="18"/>
        </w:rPr>
        <w:t>he shaded area around the line indicates the 95% confidence interval of the outcome estimate.</w:t>
      </w:r>
    </w:p>
    <w:p w14:paraId="2D4BBBDF" w14:textId="77777777" w:rsidR="00DB6E70" w:rsidRPr="00A3645B" w:rsidRDefault="00A97397" w:rsidP="00DB6E70">
      <w:pPr>
        <w:pStyle w:val="Tablenormal0"/>
        <w:numPr>
          <w:ilvl w:val="0"/>
          <w:numId w:val="26"/>
        </w:numPr>
        <w:jc w:val="left"/>
        <w:rPr>
          <w:sz w:val="18"/>
          <w:szCs w:val="18"/>
        </w:rPr>
      </w:pPr>
      <w:r w:rsidRPr="00A3645B">
        <w:rPr>
          <w:sz w:val="18"/>
          <w:szCs w:val="18"/>
        </w:rPr>
        <w:t>In any employment: Employment is based on tax data (PAYE and annual tax returns). Periods with less than $100 of real (at report year) employment income per month are excluded. Annual returns are left censored to lapse period 0 if they start before the lapse period 0 calendar date.</w:t>
      </w:r>
    </w:p>
    <w:p w14:paraId="4757344D" w14:textId="73F58712" w:rsidR="00DB6E70" w:rsidRPr="00A3645B" w:rsidRDefault="00A97397" w:rsidP="00DB6E70">
      <w:pPr>
        <w:pStyle w:val="Tablenormal0"/>
        <w:numPr>
          <w:ilvl w:val="0"/>
          <w:numId w:val="26"/>
        </w:numPr>
        <w:jc w:val="left"/>
        <w:rPr>
          <w:sz w:val="18"/>
          <w:szCs w:val="18"/>
        </w:rPr>
      </w:pPr>
      <w:r w:rsidRPr="00A3645B">
        <w:rPr>
          <w:sz w:val="18"/>
          <w:szCs w:val="18"/>
        </w:rPr>
        <w:lastRenderedPageBreak/>
        <w:t xml:space="preserve">Dollar values are CPI adjusted to June 2024 values. </w:t>
      </w:r>
    </w:p>
    <w:p w14:paraId="0D733ADF" w14:textId="394FD97C" w:rsidR="005879B1" w:rsidRDefault="00A97397" w:rsidP="00DB6E70">
      <w:pPr>
        <w:pStyle w:val="Tablenormal0"/>
        <w:jc w:val="left"/>
        <w:rPr>
          <w:sz w:val="18"/>
          <w:szCs w:val="18"/>
        </w:rPr>
      </w:pPr>
      <w:r w:rsidRPr="00A3645B">
        <w:rPr>
          <w:b/>
          <w:bCs/>
          <w:sz w:val="18"/>
          <w:szCs w:val="18"/>
        </w:rPr>
        <w:t>Source</w:t>
      </w:r>
      <w:r w:rsidRPr="00A3645B">
        <w:rPr>
          <w:sz w:val="18"/>
          <w:szCs w:val="18"/>
        </w:rPr>
        <w:t>: Statistics New Zealand, Integrated Data Infrastructure, June 2024.</w:t>
      </w:r>
    </w:p>
    <w:p w14:paraId="47335A76" w14:textId="77777777" w:rsidR="00435ECC" w:rsidRPr="00A3645B" w:rsidRDefault="00435ECC" w:rsidP="00DB6E70">
      <w:pPr>
        <w:pStyle w:val="Tablenormal0"/>
        <w:jc w:val="left"/>
        <w:rPr>
          <w:sz w:val="18"/>
          <w:szCs w:val="18"/>
        </w:rPr>
      </w:pPr>
    </w:p>
    <w:p w14:paraId="18A63E0D" w14:textId="77777777" w:rsidR="005879B1" w:rsidRDefault="00A97397">
      <w:r>
        <w:t>Figure 5 shows this problem of unobserved future impacts for a hiring wage subsidy programme called Flexi-wage on the time spent in any employment. In Figure 5 we can see that nearly all participants are in employment at one month after starting Flexi-wage. But over time this proportion begins to fall. At the same time, we can see the proportion of comparison group members in employment increase over the follow up period. The difference between the two groups’ outcomes is the estimated impact of Flexi-wage 2018 on participants’ outcomes and is shown in Figure 6.</w:t>
      </w:r>
    </w:p>
    <w:p w14:paraId="0E13D240" w14:textId="20950133" w:rsidR="00A3645B" w:rsidRDefault="00A3645B" w:rsidP="00A3645B">
      <w:pPr>
        <w:pStyle w:val="Caption"/>
      </w:pPr>
      <w:r w:rsidRPr="00A3645B">
        <w:rPr>
          <w:b/>
          <w:bCs/>
        </w:rPr>
        <w:t>Figure 6</w:t>
      </w:r>
      <w:r>
        <w:t>: Observed impact of Flexi-wage 2018</w:t>
      </w:r>
    </w:p>
    <w:p w14:paraId="3CA745AD" w14:textId="77777777" w:rsidR="005879B1" w:rsidRDefault="00A97397">
      <w:r>
        <w:rPr>
          <w:noProof/>
        </w:rPr>
        <w:drawing>
          <wp:inline distT="0" distB="0" distL="0" distR="0" wp14:anchorId="6DEBC7B4" wp14:editId="09592D98">
            <wp:extent cx="5384800" cy="3589866"/>
            <wp:effectExtent l="0" t="0" r="0" b="0"/>
            <wp:docPr id="120" name="Picture" descr="Figure 6: Observed impact of Flexi-wage 2018"/>
            <wp:cNvGraphicFramePr/>
            <a:graphic xmlns:a="http://schemas.openxmlformats.org/drawingml/2006/main">
              <a:graphicData uri="http://schemas.openxmlformats.org/drawingml/2006/picture">
                <pic:pic xmlns:pic="http://schemas.openxmlformats.org/drawingml/2006/picture">
                  <pic:nvPicPr>
                    <pic:cNvPr id="121" name="Picture" descr="fy23_ea_effectiveness_technical_report_files/figure-docx/projectedimpact1-1.png"/>
                    <pic:cNvPicPr>
                      <a:picLocks noChangeAspect="1" noChangeArrowheads="1"/>
                    </pic:cNvPicPr>
                  </pic:nvPicPr>
                  <pic:blipFill>
                    <a:blip r:embed="rId15"/>
                    <a:stretch>
                      <a:fillRect/>
                    </a:stretch>
                  </pic:blipFill>
                  <pic:spPr bwMode="auto">
                    <a:xfrm>
                      <a:off x="0" y="0"/>
                      <a:ext cx="5384800" cy="3589866"/>
                    </a:xfrm>
                    <a:prstGeom prst="rect">
                      <a:avLst/>
                    </a:prstGeom>
                    <a:noFill/>
                    <a:ln w="9525">
                      <a:noFill/>
                      <a:headEnd/>
                      <a:tailEnd/>
                    </a:ln>
                  </pic:spPr>
                </pic:pic>
              </a:graphicData>
            </a:graphic>
          </wp:inline>
        </w:drawing>
      </w:r>
    </w:p>
    <w:p w14:paraId="4F498ABE" w14:textId="77777777" w:rsidR="005879B1" w:rsidRPr="00A3645B" w:rsidRDefault="00A97397" w:rsidP="00A3645B">
      <w:pPr>
        <w:pStyle w:val="Tablenormal0"/>
        <w:numPr>
          <w:ilvl w:val="0"/>
          <w:numId w:val="27"/>
        </w:numPr>
        <w:jc w:val="left"/>
        <w:rPr>
          <w:sz w:val="18"/>
          <w:szCs w:val="18"/>
        </w:rPr>
      </w:pPr>
      <w:bookmarkStart w:id="97" w:name="fig:projectedimpact1"/>
      <w:bookmarkEnd w:id="97"/>
      <w:r w:rsidRPr="00A3645B">
        <w:rPr>
          <w:sz w:val="18"/>
          <w:szCs w:val="18"/>
        </w:rPr>
        <w:t>impact is the difference in outcomes between the participant and comparison group.</w:t>
      </w:r>
    </w:p>
    <w:p w14:paraId="535C759C" w14:textId="77777777" w:rsidR="005879B1" w:rsidRPr="00A3645B" w:rsidRDefault="00A97397" w:rsidP="00A3645B">
      <w:pPr>
        <w:pStyle w:val="Tablenormal0"/>
        <w:numPr>
          <w:ilvl w:val="0"/>
          <w:numId w:val="27"/>
        </w:numPr>
        <w:jc w:val="left"/>
        <w:rPr>
          <w:sz w:val="18"/>
          <w:szCs w:val="18"/>
        </w:rPr>
      </w:pPr>
      <w:r w:rsidRPr="00A3645B">
        <w:rPr>
          <w:sz w:val="18"/>
          <w:szCs w:val="18"/>
        </w:rPr>
        <w:t>the shaded area around the line indicates the 95% confidence interval of the impact estimate.</w:t>
      </w:r>
    </w:p>
    <w:p w14:paraId="1D18D2AB" w14:textId="77777777" w:rsidR="005879B1" w:rsidRPr="00A3645B" w:rsidRDefault="00A97397" w:rsidP="00A3645B">
      <w:pPr>
        <w:pStyle w:val="Tablenormal0"/>
        <w:numPr>
          <w:ilvl w:val="0"/>
          <w:numId w:val="27"/>
        </w:numPr>
        <w:jc w:val="left"/>
        <w:rPr>
          <w:sz w:val="18"/>
          <w:szCs w:val="18"/>
        </w:rPr>
      </w:pPr>
      <w:r w:rsidRPr="00A3645B">
        <w:rPr>
          <w:sz w:val="18"/>
          <w:szCs w:val="18"/>
        </w:rPr>
        <w:t>In any employment: Employment is based on tax data (PAYE and annual tax returns). Periods with less than $100 of real (at report year) employment income per month are excluded. Annual returns are left censored to lapse period 0 if they start before the lapse period 0 calendar date.</w:t>
      </w:r>
    </w:p>
    <w:p w14:paraId="13CAD0EC" w14:textId="77777777" w:rsidR="00A3645B" w:rsidRPr="00A3645B" w:rsidRDefault="00A97397" w:rsidP="00A3645B">
      <w:pPr>
        <w:pStyle w:val="Tablenormal0"/>
        <w:numPr>
          <w:ilvl w:val="0"/>
          <w:numId w:val="27"/>
        </w:numPr>
        <w:jc w:val="left"/>
        <w:rPr>
          <w:sz w:val="18"/>
          <w:szCs w:val="18"/>
        </w:rPr>
      </w:pPr>
      <w:r w:rsidRPr="00A3645B">
        <w:rPr>
          <w:sz w:val="18"/>
          <w:szCs w:val="18"/>
        </w:rPr>
        <w:t xml:space="preserve">Dollar values are CPI adjusted to June 2024 values. </w:t>
      </w:r>
    </w:p>
    <w:p w14:paraId="5C569A4C" w14:textId="064803EA" w:rsidR="005879B1" w:rsidRPr="00A3645B" w:rsidRDefault="00A97397" w:rsidP="00A3645B">
      <w:pPr>
        <w:pStyle w:val="Tablenormal0"/>
        <w:ind w:left="360"/>
        <w:jc w:val="left"/>
        <w:rPr>
          <w:sz w:val="18"/>
          <w:szCs w:val="18"/>
        </w:rPr>
      </w:pPr>
      <w:r w:rsidRPr="00A3645B">
        <w:rPr>
          <w:b/>
          <w:bCs/>
          <w:sz w:val="18"/>
          <w:szCs w:val="18"/>
        </w:rPr>
        <w:t>Source</w:t>
      </w:r>
      <w:r w:rsidRPr="00A3645B">
        <w:rPr>
          <w:sz w:val="18"/>
          <w:szCs w:val="18"/>
        </w:rPr>
        <w:t>: Statistics New Zealand, Integrated Data Infrastructure, June 2024.</w:t>
      </w:r>
    </w:p>
    <w:p w14:paraId="016A4DF3" w14:textId="77777777" w:rsidR="005879B1" w:rsidRDefault="00A97397">
      <w:r>
        <w:t xml:space="preserve">Looking at the last data point in Figure 6 (4.5 years), we can see that the interval impact remains greater than zero (impact: 11±2.0 ppt). What this tells us is that we have not seen the full impact of the intervention on time </w:t>
      </w:r>
      <w:r>
        <w:lastRenderedPageBreak/>
        <w:t>spent in any employment. The full impact of the programme will not occur until the interval impact converges to zero and remains at zero indefinitely. In other words, when the proportion of participants and matched comparison group in employment is the same.</w:t>
      </w:r>
    </w:p>
    <w:p w14:paraId="663D0BD0" w14:textId="77777777" w:rsidR="005879B1" w:rsidRDefault="00A97397">
      <w:pPr>
        <w:pStyle w:val="BodyText"/>
      </w:pPr>
      <w:r>
        <w:t>The challenge in this analysis is to estimate the unobserved interval impact to be able to get an estimate of the full cumulative impact on participants’ outcomes. We do this using a three-step process:</w:t>
      </w:r>
    </w:p>
    <w:p w14:paraId="4EFB0EAB" w14:textId="77777777" w:rsidR="005879B1" w:rsidRDefault="00A97397" w:rsidP="004357B9">
      <w:pPr>
        <w:numPr>
          <w:ilvl w:val="0"/>
          <w:numId w:val="18"/>
        </w:numPr>
      </w:pPr>
      <w:r>
        <w:t>Based on the earliest cohort for the intervention, we project the interval impact until it converges on zero. If the natural trend is away from zero or constant, we force the trend towards zero over the long term.</w:t>
      </w:r>
      <w:r>
        <w:rPr>
          <w:rStyle w:val="FootnoteReference"/>
        </w:rPr>
        <w:footnoteReference w:id="7"/>
      </w:r>
      <w:r>
        <w:t xml:space="preserve"> This is referred to as the archetype impact projection.</w:t>
      </w:r>
    </w:p>
    <w:p w14:paraId="106E8ED7" w14:textId="77777777" w:rsidR="005879B1" w:rsidRDefault="00A97397" w:rsidP="004357B9">
      <w:pPr>
        <w:numPr>
          <w:ilvl w:val="0"/>
          <w:numId w:val="18"/>
        </w:numPr>
      </w:pPr>
      <w:r>
        <w:t>Using the archetype impact projection, we estimate the expected future interval impact for later cohorts by adjusting for any differences between the later cohorts’ interval impact and that of the archetype.</w:t>
      </w:r>
    </w:p>
    <w:p w14:paraId="7C6A83FA" w14:textId="77777777" w:rsidR="005879B1" w:rsidRDefault="00A97397" w:rsidP="004357B9">
      <w:pPr>
        <w:numPr>
          <w:ilvl w:val="0"/>
          <w:numId w:val="18"/>
        </w:numPr>
      </w:pPr>
      <w:r>
        <w:t>Using the observed and projected interval impacts (calculated in step 2), we accumulate the interval impacts to arrive at our total cumulative impact estimates.</w:t>
      </w:r>
    </w:p>
    <w:p w14:paraId="1D55FEAA" w14:textId="77777777" w:rsidR="005879B1" w:rsidRDefault="00A97397">
      <w:r>
        <w:t>Below is a more detailed outline of each of the above steps.</w:t>
      </w:r>
    </w:p>
    <w:p w14:paraId="07178884" w14:textId="77777777" w:rsidR="005879B1" w:rsidRDefault="00A97397">
      <w:pPr>
        <w:pStyle w:val="Heading3"/>
      </w:pPr>
      <w:bookmarkStart w:id="98" w:name="step-1-archetype-interval-impact"/>
      <w:r>
        <w:t>Step 1: Archetype interval impact</w:t>
      </w:r>
    </w:p>
    <w:p w14:paraId="2CDCF1BE" w14:textId="77777777" w:rsidR="005879B1" w:rsidRDefault="00A97397">
      <w:r>
        <w:t>The first step is to estimate the trend in the interval impact for the earliest cohort available and for whom we can observe the longest outcome period. This cohort is usually the first cohort for a given intervention. In the case of Flexi-wage, the intervention started in 2012 so we can follow the impact on participants for 10.5 years (Figure 7). [Could consider a weighted average for all cohorts, but this can produce odd shifts in the trend as earlier cohorts drop out at longer lapse periods]</w:t>
      </w:r>
    </w:p>
    <w:p w14:paraId="4CAD2A0F" w14:textId="127DD250" w:rsidR="00A3645B" w:rsidRDefault="00A3645B" w:rsidP="00A3645B">
      <w:pPr>
        <w:pStyle w:val="Caption"/>
      </w:pPr>
      <w:r w:rsidRPr="00A3645B">
        <w:rPr>
          <w:b/>
          <w:bCs/>
        </w:rPr>
        <w:lastRenderedPageBreak/>
        <w:t>Figure 7</w:t>
      </w:r>
      <w:r>
        <w:t>: Observed interval impact of Flexi-wage (Basic/Plus) 2012 and 2017</w:t>
      </w:r>
    </w:p>
    <w:p w14:paraId="3332CBEF" w14:textId="77777777" w:rsidR="005879B1" w:rsidRDefault="00A97397">
      <w:r>
        <w:rPr>
          <w:noProof/>
        </w:rPr>
        <w:drawing>
          <wp:inline distT="0" distB="0" distL="0" distR="0" wp14:anchorId="3D36D498" wp14:editId="7B86A3C8">
            <wp:extent cx="5384800" cy="3589866"/>
            <wp:effectExtent l="0" t="0" r="0" b="0"/>
            <wp:docPr id="125" name="Picture" descr="Figure 7: Observed interval impact of Flexi-wage (Basic/Plus) 2012 and 2017"/>
            <wp:cNvGraphicFramePr/>
            <a:graphic xmlns:a="http://schemas.openxmlformats.org/drawingml/2006/main">
              <a:graphicData uri="http://schemas.openxmlformats.org/drawingml/2006/picture">
                <pic:pic xmlns:pic="http://schemas.openxmlformats.org/drawingml/2006/picture">
                  <pic:nvPicPr>
                    <pic:cNvPr id="126" name="Picture" descr="fy23_ea_effectiveness_technical_report_files/figure-docx/archtypeimpact1-1.png"/>
                    <pic:cNvPicPr>
                      <a:picLocks noChangeAspect="1" noChangeArrowheads="1"/>
                    </pic:cNvPicPr>
                  </pic:nvPicPr>
                  <pic:blipFill>
                    <a:blip r:embed="rId16"/>
                    <a:stretch>
                      <a:fillRect/>
                    </a:stretch>
                  </pic:blipFill>
                  <pic:spPr bwMode="auto">
                    <a:xfrm>
                      <a:off x="0" y="0"/>
                      <a:ext cx="5384800" cy="3589866"/>
                    </a:xfrm>
                    <a:prstGeom prst="rect">
                      <a:avLst/>
                    </a:prstGeom>
                    <a:noFill/>
                    <a:ln w="9525">
                      <a:noFill/>
                      <a:headEnd/>
                      <a:tailEnd/>
                    </a:ln>
                  </pic:spPr>
                </pic:pic>
              </a:graphicData>
            </a:graphic>
          </wp:inline>
        </w:drawing>
      </w:r>
    </w:p>
    <w:p w14:paraId="59C5737A" w14:textId="77777777" w:rsidR="005879B1" w:rsidRPr="00A3645B" w:rsidRDefault="00A97397" w:rsidP="00A3645B">
      <w:pPr>
        <w:pStyle w:val="Tablenormal0"/>
        <w:numPr>
          <w:ilvl w:val="0"/>
          <w:numId w:val="28"/>
        </w:numPr>
        <w:jc w:val="left"/>
        <w:rPr>
          <w:sz w:val="18"/>
          <w:szCs w:val="18"/>
        </w:rPr>
      </w:pPr>
      <w:bookmarkStart w:id="99" w:name="fig:archtypeimpact1"/>
      <w:bookmarkEnd w:id="99"/>
      <w:r w:rsidRPr="00A3645B">
        <w:rPr>
          <w:sz w:val="18"/>
          <w:szCs w:val="18"/>
        </w:rPr>
        <w:t>The shaded area around the line indicates the 95% confidence interval of the impact estimate.</w:t>
      </w:r>
    </w:p>
    <w:p w14:paraId="06EBECFC" w14:textId="77777777" w:rsidR="005879B1" w:rsidRPr="00A3645B" w:rsidRDefault="00A97397" w:rsidP="00A3645B">
      <w:pPr>
        <w:pStyle w:val="Tablenormal0"/>
        <w:numPr>
          <w:ilvl w:val="0"/>
          <w:numId w:val="28"/>
        </w:numPr>
        <w:jc w:val="left"/>
        <w:rPr>
          <w:sz w:val="18"/>
          <w:szCs w:val="18"/>
        </w:rPr>
      </w:pPr>
      <w:r w:rsidRPr="00A3645B">
        <w:rPr>
          <w:sz w:val="18"/>
          <w:szCs w:val="18"/>
        </w:rPr>
        <w:t>In any employment: Employment is based on tax data (PAYE and annual tax returns). Periods with less than $100 of real (at report year) employment income per month are excluded. Annual returns are left censored to lapse period 0 if they start before the lapse period 0 calendar date.</w:t>
      </w:r>
    </w:p>
    <w:p w14:paraId="23EF34F9" w14:textId="77777777" w:rsidR="005879B1" w:rsidRPr="00A3645B" w:rsidRDefault="00A97397" w:rsidP="00A3645B">
      <w:pPr>
        <w:pStyle w:val="Tablenormal0"/>
        <w:ind w:left="360"/>
        <w:jc w:val="left"/>
        <w:rPr>
          <w:sz w:val="18"/>
          <w:szCs w:val="18"/>
        </w:rPr>
      </w:pPr>
      <w:r w:rsidRPr="00A3645B">
        <w:rPr>
          <w:b/>
          <w:bCs/>
          <w:sz w:val="18"/>
          <w:szCs w:val="18"/>
        </w:rPr>
        <w:t>Source</w:t>
      </w:r>
      <w:r w:rsidRPr="00A3645B">
        <w:rPr>
          <w:sz w:val="18"/>
          <w:szCs w:val="18"/>
        </w:rPr>
        <w:t>: Statistics New Zealand, Integrated Data Infrastructure, June 2024.</w:t>
      </w:r>
    </w:p>
    <w:p w14:paraId="2ACFFB7E" w14:textId="77777777" w:rsidR="005879B1" w:rsidRDefault="00A97397">
      <w:pPr>
        <w:pStyle w:val="BodyText"/>
      </w:pPr>
      <w:r>
        <w:t>However, even using earlier cohorts as a guide to future impact trend does not resolve the problem of unobserved impacts for these earlier cohorts. In the case of Flexi-wage, there continues to be a residual interval impact at the end of the observation period of 10.5 years. Here we need to project the expected trend in interval impacts beyond the observed window. We make this projection based on the trend in the interval impact over the previous 12 observations using an Ordinary Least Squares (OLS) regression model:</w:t>
      </w:r>
    </w:p>
    <w:p w14:paraId="07EFCBBF" w14:textId="77777777" w:rsidR="005879B1" w:rsidRDefault="009E099E">
      <w:pPr>
        <w:pStyle w:val="BodyText"/>
      </w:pPr>
      <m:oMathPara>
        <m:oMathParaPr>
          <m:jc m:val="center"/>
        </m:oMathParaPr>
        <m:oMath>
          <m:sSub>
            <m:sSubPr>
              <m:ctrlPr>
                <w:rPr>
                  <w:rFonts w:ascii="Cambria Math" w:hAnsi="Cambria Math"/>
                </w:rPr>
              </m:ctrlPr>
            </m:sSubPr>
            <m:e>
              <m:r>
                <w:rPr>
                  <w:rFonts w:ascii="Cambria Math" w:hAnsi="Cambria Math"/>
                </w:rPr>
                <m:t>I</m:t>
              </m:r>
            </m:e>
            <m:sub>
              <m:r>
                <w:rPr>
                  <w:rFonts w:ascii="Cambria Math" w:hAnsi="Cambria Math"/>
                </w:rPr>
                <m:t>t</m:t>
              </m:r>
            </m:sub>
          </m:sSub>
          <m:r>
            <m:rPr>
              <m:sty m:val="p"/>
            </m:rPr>
            <w:rPr>
              <w:rFonts w:ascii="Cambria Math" w:hAnsi="Cambria Math"/>
            </w:rPr>
            <m:t>=</m:t>
          </m:r>
          <m:r>
            <w:rPr>
              <w:rFonts w:ascii="Cambria Math" w:hAnsi="Cambria Math"/>
            </w:rPr>
            <m:t>α</m:t>
          </m:r>
          <m:r>
            <m:rPr>
              <m:sty m:val="p"/>
            </m:rPr>
            <w:rPr>
              <w:rFonts w:ascii="Cambria Math" w:hAnsi="Cambria Math"/>
            </w:rPr>
            <m:t>+</m:t>
          </m:r>
          <m:r>
            <w:rPr>
              <w:rFonts w:ascii="Cambria Math" w:hAnsi="Cambria Math"/>
            </w:rPr>
            <m:t>β t</m:t>
          </m:r>
          <m:r>
            <m:rPr>
              <m:sty m:val="p"/>
            </m:rPr>
            <w:rPr>
              <w:rFonts w:ascii="Cambria Math" w:hAnsi="Cambria Math"/>
            </w:rPr>
            <m:t>+</m:t>
          </m:r>
          <m:r>
            <w:rPr>
              <w:rFonts w:ascii="Cambria Math" w:hAnsi="Cambria Math"/>
            </w:rPr>
            <m:t>ε</m:t>
          </m:r>
        </m:oMath>
      </m:oMathPara>
    </w:p>
    <w:p w14:paraId="15680FFE" w14:textId="77777777" w:rsidR="005879B1" w:rsidRDefault="00A97397">
      <w:r>
        <w:t xml:space="preserve">Where </w:t>
      </w:r>
      <m:oMath>
        <m:sSub>
          <m:sSubPr>
            <m:ctrlPr>
              <w:rPr>
                <w:rFonts w:ascii="Cambria Math" w:hAnsi="Cambria Math"/>
              </w:rPr>
            </m:ctrlPr>
          </m:sSubPr>
          <m:e>
            <m:r>
              <w:rPr>
                <w:rFonts w:ascii="Cambria Math" w:hAnsi="Cambria Math"/>
              </w:rPr>
              <m:t>I</m:t>
            </m:r>
          </m:e>
          <m:sub>
            <m:r>
              <w:rPr>
                <w:rFonts w:ascii="Cambria Math" w:hAnsi="Cambria Math"/>
              </w:rPr>
              <m:t>t</m:t>
            </m:r>
          </m:sub>
        </m:sSub>
      </m:oMath>
      <w:r>
        <w:t xml:space="preserve"> is the interval impact at a given lapse period (</w:t>
      </w:r>
      <m:oMath>
        <m:r>
          <w:rPr>
            <w:rFonts w:ascii="Cambria Math" w:hAnsi="Cambria Math"/>
          </w:rPr>
          <m:t>t</m:t>
        </m:r>
      </m:oMath>
      <w:r>
        <w:t xml:space="preserve">), usually measured in months. The </w:t>
      </w:r>
      <m:oMath>
        <m:r>
          <w:rPr>
            <w:rFonts w:ascii="Cambria Math" w:hAnsi="Cambria Math"/>
          </w:rPr>
          <m:t>β</m:t>
        </m:r>
        <m:r>
          <m:rPr>
            <m:sty m:val="p"/>
          </m:rPr>
          <w:rPr>
            <w:rFonts w:ascii="Cambria Math" w:hAnsi="Cambria Math"/>
          </w:rPr>
          <m:t>.</m:t>
        </m:r>
        <m:r>
          <w:rPr>
            <w:rFonts w:ascii="Cambria Math" w:hAnsi="Cambria Math"/>
          </w:rPr>
          <m:t>t</m:t>
        </m:r>
      </m:oMath>
      <w:r>
        <w:t xml:space="preserve"> provides the linear trend of the interval impact and </w:t>
      </w:r>
      <m:oMath>
        <m:r>
          <w:rPr>
            <w:rFonts w:ascii="Cambria Math" w:hAnsi="Cambria Math"/>
          </w:rPr>
          <m:t>α</m:t>
        </m:r>
      </m:oMath>
      <w:r>
        <w:t xml:space="preserve"> is the intercept term. If the trend (</w:t>
      </w:r>
      <m:oMath>
        <m:r>
          <w:rPr>
            <w:rFonts w:ascii="Cambria Math" w:hAnsi="Cambria Math"/>
          </w:rPr>
          <m:t>β</m:t>
        </m:r>
        <m:r>
          <m:rPr>
            <m:sty m:val="p"/>
          </m:rPr>
          <w:rPr>
            <w:rFonts w:ascii="Cambria Math" w:hAnsi="Cambria Math"/>
          </w:rPr>
          <m:t>.</m:t>
        </m:r>
        <m:r>
          <w:rPr>
            <w:rFonts w:ascii="Cambria Math" w:hAnsi="Cambria Math"/>
          </w:rPr>
          <m:t>t</m:t>
        </m:r>
      </m:oMath>
      <w:r>
        <w:t>) is towards zero then the linear trend is allowed to reach zero and the projection ends at this lapse period. If the trend is away from zero an arbitrary decelerator is applied to force the trend to zero over time. The decelerator is applied as follows:</w:t>
      </w:r>
    </w:p>
    <w:p w14:paraId="543A4030" w14:textId="77777777" w:rsidR="005879B1" w:rsidRDefault="009E099E">
      <w:pPr>
        <w:pStyle w:val="BodyText"/>
      </w:pPr>
      <m:oMathPara>
        <m:oMathParaPr>
          <m:jc m:val="center"/>
        </m:oMathParaPr>
        <m:oMath>
          <m:sSub>
            <m:sSubPr>
              <m:ctrlPr>
                <w:rPr>
                  <w:rFonts w:ascii="Cambria Math" w:hAnsi="Cambria Math"/>
                </w:rPr>
              </m:ctrlPr>
            </m:sSubPr>
            <m:e>
              <m:acc>
                <m:accPr>
                  <m:ctrlPr>
                    <w:rPr>
                      <w:rFonts w:ascii="Cambria Math" w:hAnsi="Cambria Math"/>
                    </w:rPr>
                  </m:ctrlPr>
                </m:accPr>
                <m:e>
                  <m:r>
                    <w:rPr>
                      <w:rFonts w:ascii="Cambria Math" w:hAnsi="Cambria Math"/>
                    </w:rPr>
                    <m:t>I</m:t>
                  </m:r>
                </m:e>
              </m:acc>
            </m:e>
            <m:sub>
              <m:r>
                <w:rPr>
                  <w:rFonts w:ascii="Cambria Math" w:hAnsi="Cambria Math"/>
                </w:rPr>
                <m:t>t</m:t>
              </m:r>
            </m:sub>
          </m:sSub>
          <m:r>
            <m:rPr>
              <m:sty m:val="p"/>
            </m:rPr>
            <w:rPr>
              <w:rFonts w:ascii="Cambria Math" w:hAnsi="Cambria Math"/>
            </w:rPr>
            <m:t>=</m:t>
          </m:r>
          <m:d>
            <m:dPr>
              <m:ctrlPr>
                <w:rPr>
                  <w:rFonts w:ascii="Cambria Math" w:hAnsi="Cambria Math"/>
                </w:rPr>
              </m:ctrlPr>
            </m:dPr>
            <m:e>
              <m:acc>
                <m:accPr>
                  <m:ctrlPr>
                    <w:rPr>
                      <w:rFonts w:ascii="Cambria Math" w:hAnsi="Cambria Math"/>
                    </w:rPr>
                  </m:ctrlPr>
                </m:accPr>
                <m:e>
                  <m:r>
                    <w:rPr>
                      <w:rFonts w:ascii="Cambria Math" w:hAnsi="Cambria Math"/>
                    </w:rPr>
                    <m:t>α</m:t>
                  </m:r>
                </m:e>
              </m:acc>
              <m:r>
                <m:rPr>
                  <m:sty m:val="p"/>
                </m:rPr>
                <w:rPr>
                  <w:rFonts w:ascii="Cambria Math" w:hAnsi="Cambria Math"/>
                </w:rPr>
                <m:t>+</m:t>
              </m:r>
              <m:acc>
                <m:accPr>
                  <m:ctrlPr>
                    <w:rPr>
                      <w:rFonts w:ascii="Cambria Math" w:hAnsi="Cambria Math"/>
                    </w:rPr>
                  </m:ctrlPr>
                </m:accPr>
                <m:e>
                  <m:r>
                    <w:rPr>
                      <w:rFonts w:ascii="Cambria Math" w:hAnsi="Cambria Math"/>
                    </w:rPr>
                    <m:t>β</m:t>
                  </m:r>
                </m:e>
              </m:acc>
              <m:r>
                <m:rPr>
                  <m:sty m:val="p"/>
                </m:rPr>
                <w:rPr>
                  <w:rFonts w:ascii="Cambria Math" w:hAnsi="Cambria Math"/>
                </w:rPr>
                <m:t>.</m:t>
              </m:r>
              <m:r>
                <w:rPr>
                  <w:rFonts w:ascii="Cambria Math" w:hAnsi="Cambria Math"/>
                </w:rPr>
                <m:t>t</m:t>
              </m:r>
            </m:e>
          </m:d>
          <m:r>
            <w:rPr>
              <w:rFonts w:ascii="Cambria Math" w:hAnsi="Cambria Math"/>
            </w:rPr>
            <m:t> </m:t>
          </m:r>
          <m:r>
            <m:rPr>
              <m:sty m:val="p"/>
            </m:rPr>
            <w:rPr>
              <w:rFonts w:ascii="Cambria Math" w:hAnsi="Cambria Math"/>
            </w:rPr>
            <m:t>(</m:t>
          </m:r>
          <m:r>
            <w:rPr>
              <w:rFonts w:ascii="Cambria Math" w:hAnsi="Cambria Math"/>
            </w:rPr>
            <m:t>max</m:t>
          </m:r>
          <m:r>
            <m:rPr>
              <m:sty m:val="p"/>
            </m:rPr>
            <w:rPr>
              <w:rFonts w:ascii="Cambria Math" w:hAnsi="Cambria Math"/>
            </w:rPr>
            <m:t>(</m:t>
          </m:r>
          <m:r>
            <w:rPr>
              <w:rFonts w:ascii="Cambria Math" w:hAnsi="Cambria Math"/>
            </w:rPr>
            <m:t>0</m:t>
          </m:r>
          <m:r>
            <m:rPr>
              <m:sty m:val="p"/>
            </m:rPr>
            <w:rPr>
              <w:rFonts w:ascii="Cambria Math" w:hAnsi="Cambria Math"/>
            </w:rPr>
            <m:t>,</m:t>
          </m:r>
          <m:d>
            <m:dPr>
              <m:ctrlPr>
                <w:rPr>
                  <w:rFonts w:ascii="Cambria Math" w:hAnsi="Cambria Math"/>
                </w:rPr>
              </m:ctrlPr>
            </m:dPr>
            <m:e>
              <m:r>
                <w:rPr>
                  <w:rFonts w:ascii="Cambria Math" w:hAnsi="Cambria Math"/>
                </w:rPr>
                <m:t>1</m:t>
              </m:r>
              <m:r>
                <m:rPr>
                  <m:sty m:val="p"/>
                </m:rPr>
                <w:rPr>
                  <w:rFonts w:ascii="Cambria Math" w:hAnsi="Cambria Math"/>
                </w:rPr>
                <m:t>-</m:t>
              </m:r>
              <m:r>
                <w:rPr>
                  <w:rFonts w:ascii="Cambria Math" w:hAnsi="Cambria Math"/>
                </w:rPr>
                <m:t>0.005</m:t>
              </m:r>
              <m:r>
                <m:rPr>
                  <m:sty m:val="p"/>
                </m:rPr>
                <w:rPr>
                  <w:rFonts w:ascii="Cambria Math" w:hAnsi="Cambria Math"/>
                </w:rPr>
                <m:t>.</m:t>
              </m:r>
              <m:sSub>
                <m:sSubPr>
                  <m:ctrlPr>
                    <w:rPr>
                      <w:rFonts w:ascii="Cambria Math" w:hAnsi="Cambria Math"/>
                    </w:rPr>
                  </m:ctrlPr>
                </m:sSubPr>
                <m:e>
                  <m:r>
                    <w:rPr>
                      <w:rFonts w:ascii="Cambria Math" w:hAnsi="Cambria Math"/>
                    </w:rPr>
                    <m:t>t</m:t>
                  </m:r>
                </m:e>
                <m:sub>
                  <m:r>
                    <w:rPr>
                      <w:rFonts w:ascii="Cambria Math" w:hAnsi="Cambria Math"/>
                    </w:rPr>
                    <m:t>projection</m:t>
                  </m:r>
                </m:sub>
              </m:sSub>
            </m:e>
          </m:d>
        </m:oMath>
      </m:oMathPara>
    </w:p>
    <w:p w14:paraId="59BD6520" w14:textId="77777777" w:rsidR="005879B1" w:rsidRDefault="00A97397">
      <w:r>
        <w:t xml:space="preserve">Where </w:t>
      </w:r>
      <m:oMath>
        <m:sSub>
          <m:sSubPr>
            <m:ctrlPr>
              <w:rPr>
                <w:rFonts w:ascii="Cambria Math" w:hAnsi="Cambria Math"/>
              </w:rPr>
            </m:ctrlPr>
          </m:sSubPr>
          <m:e>
            <m:acc>
              <m:accPr>
                <m:ctrlPr>
                  <w:rPr>
                    <w:rFonts w:ascii="Cambria Math" w:hAnsi="Cambria Math"/>
                  </w:rPr>
                </m:ctrlPr>
              </m:accPr>
              <m:e>
                <m:r>
                  <w:rPr>
                    <w:rFonts w:ascii="Cambria Math" w:hAnsi="Cambria Math"/>
                  </w:rPr>
                  <m:t>I</m:t>
                </m:r>
              </m:e>
            </m:acc>
          </m:e>
          <m:sub>
            <m:r>
              <w:rPr>
                <w:rFonts w:ascii="Cambria Math" w:hAnsi="Cambria Math"/>
              </w:rPr>
              <m:t>t</m:t>
            </m:r>
          </m:sub>
        </m:sSub>
      </m:oMath>
      <w:r>
        <w:t xml:space="preserve"> is the projected interval impact based on the fitted parameter estimates (</w:t>
      </w:r>
      <m:oMath>
        <m:acc>
          <m:accPr>
            <m:ctrlPr>
              <w:rPr>
                <w:rFonts w:ascii="Cambria Math" w:hAnsi="Cambria Math"/>
              </w:rPr>
            </m:ctrlPr>
          </m:accPr>
          <m:e>
            <m:r>
              <w:rPr>
                <w:rFonts w:ascii="Cambria Math" w:hAnsi="Cambria Math"/>
              </w:rPr>
              <m:t>α</m:t>
            </m:r>
          </m:e>
        </m:acc>
        <m:r>
          <m:rPr>
            <m:sty m:val="p"/>
          </m:rPr>
          <w:rPr>
            <w:rFonts w:ascii="Cambria Math" w:hAnsi="Cambria Math"/>
          </w:rPr>
          <m:t>,</m:t>
        </m:r>
        <m:acc>
          <m:accPr>
            <m:ctrlPr>
              <w:rPr>
                <w:rFonts w:ascii="Cambria Math" w:hAnsi="Cambria Math"/>
              </w:rPr>
            </m:ctrlPr>
          </m:accPr>
          <m:e>
            <m:r>
              <w:rPr>
                <w:rFonts w:ascii="Cambria Math" w:hAnsi="Cambria Math"/>
              </w:rPr>
              <m:t>β</m:t>
            </m:r>
          </m:e>
        </m:acc>
      </m:oMath>
      <w:r>
        <w:t>) from the OLS regression model, the decelerator is the duration of the projection period (</w:t>
      </w:r>
      <m:oMath>
        <m:sSub>
          <m:sSubPr>
            <m:ctrlPr>
              <w:rPr>
                <w:rFonts w:ascii="Cambria Math" w:hAnsi="Cambria Math"/>
              </w:rPr>
            </m:ctrlPr>
          </m:sSubPr>
          <m:e>
            <m:r>
              <w:rPr>
                <w:rFonts w:ascii="Cambria Math" w:hAnsi="Cambria Math"/>
              </w:rPr>
              <m:t>t</m:t>
            </m:r>
          </m:e>
          <m:sub>
            <m:r>
              <w:rPr>
                <w:rFonts w:ascii="Cambria Math" w:hAnsi="Cambria Math"/>
              </w:rPr>
              <m:t>projection</m:t>
            </m:r>
          </m:sub>
        </m:sSub>
      </m:oMath>
      <w:r>
        <w:t>) multiplied by a constant of 0.005. This constant is a judgement of ensuring that the projected interval impact does not overwhelm the observed interval impacts, balanced with the decelerator not being so strong that the projection period becomes too short to be meaningful.</w:t>
      </w:r>
    </w:p>
    <w:p w14:paraId="51DD67D9" w14:textId="77777777" w:rsidR="005879B1" w:rsidRDefault="00A97397">
      <w:pPr>
        <w:pStyle w:val="BodyText"/>
      </w:pPr>
      <w:r>
        <w:t>Using an arbitrary constant is not ideal and it would be preferable to use an empirically based value. We plan to look at alternative approaches in later updates to this framework.</w:t>
      </w:r>
    </w:p>
    <w:p w14:paraId="35E5C6E6" w14:textId="77777777" w:rsidR="005879B1" w:rsidRDefault="00A97397">
      <w:pPr>
        <w:pStyle w:val="BodyText"/>
      </w:pPr>
      <w:r>
        <w:t>In the case of Flexi-wage the linear trend in the interval impact was negative (Figure 8), and therefore the projected impact is simply a linear trend to zero.</w:t>
      </w:r>
    </w:p>
    <w:p w14:paraId="6059DC99" w14:textId="69C53AB6" w:rsidR="00A3645B" w:rsidRDefault="00A3645B" w:rsidP="00A3645B">
      <w:pPr>
        <w:pStyle w:val="Caption"/>
      </w:pPr>
      <w:r w:rsidRPr="00A3645B">
        <w:rPr>
          <w:b/>
          <w:bCs/>
        </w:rPr>
        <w:t>Figure 8</w:t>
      </w:r>
      <w:r>
        <w:t>: Projected impact for Flexi-wage (Basic/Plus) on time in employment</w:t>
      </w:r>
    </w:p>
    <w:p w14:paraId="4B0C41F1" w14:textId="77777777" w:rsidR="005879B1" w:rsidRDefault="00A97397">
      <w:r>
        <w:rPr>
          <w:noProof/>
        </w:rPr>
        <w:drawing>
          <wp:inline distT="0" distB="0" distL="0" distR="0" wp14:anchorId="77462451" wp14:editId="58EC3095">
            <wp:extent cx="5384800" cy="3589866"/>
            <wp:effectExtent l="0" t="0" r="0" b="0"/>
            <wp:docPr id="129" name="Picture" descr="Figure 8: Projected impact for Flexi-wage (Basic/Plus) on time in employment"/>
            <wp:cNvGraphicFramePr/>
            <a:graphic xmlns:a="http://schemas.openxmlformats.org/drawingml/2006/main">
              <a:graphicData uri="http://schemas.openxmlformats.org/drawingml/2006/picture">
                <pic:pic xmlns:pic="http://schemas.openxmlformats.org/drawingml/2006/picture">
                  <pic:nvPicPr>
                    <pic:cNvPr id="130" name="Picture" descr="fy23_ea_effectiveness_technical_report_files/figure-docx/archtypeimpact2-1.png"/>
                    <pic:cNvPicPr>
                      <a:picLocks noChangeAspect="1" noChangeArrowheads="1"/>
                    </pic:cNvPicPr>
                  </pic:nvPicPr>
                  <pic:blipFill>
                    <a:blip r:embed="rId17"/>
                    <a:stretch>
                      <a:fillRect/>
                    </a:stretch>
                  </pic:blipFill>
                  <pic:spPr bwMode="auto">
                    <a:xfrm>
                      <a:off x="0" y="0"/>
                      <a:ext cx="5384800" cy="3589866"/>
                    </a:xfrm>
                    <a:prstGeom prst="rect">
                      <a:avLst/>
                    </a:prstGeom>
                    <a:noFill/>
                    <a:ln w="9525">
                      <a:noFill/>
                      <a:headEnd/>
                      <a:tailEnd/>
                    </a:ln>
                  </pic:spPr>
                </pic:pic>
              </a:graphicData>
            </a:graphic>
          </wp:inline>
        </w:drawing>
      </w:r>
    </w:p>
    <w:p w14:paraId="37F4F475" w14:textId="77777777" w:rsidR="005879B1" w:rsidRPr="00A3645B" w:rsidRDefault="00A97397" w:rsidP="00A3645B">
      <w:pPr>
        <w:pStyle w:val="Tablenormal0"/>
        <w:numPr>
          <w:ilvl w:val="0"/>
          <w:numId w:val="29"/>
        </w:numPr>
        <w:jc w:val="left"/>
        <w:rPr>
          <w:sz w:val="18"/>
          <w:szCs w:val="18"/>
        </w:rPr>
      </w:pPr>
      <w:bookmarkStart w:id="100" w:name="fig:archtypeimpact2"/>
      <w:bookmarkEnd w:id="100"/>
      <w:r w:rsidRPr="00A3645B">
        <w:rPr>
          <w:sz w:val="18"/>
          <w:szCs w:val="18"/>
        </w:rPr>
        <w:t>The interval impacts have been converted into daily rates.</w:t>
      </w:r>
    </w:p>
    <w:p w14:paraId="4B530777" w14:textId="77777777" w:rsidR="005879B1" w:rsidRPr="00A3645B" w:rsidRDefault="00A97397" w:rsidP="00A3645B">
      <w:pPr>
        <w:pStyle w:val="Tablenormal0"/>
        <w:numPr>
          <w:ilvl w:val="0"/>
          <w:numId w:val="29"/>
        </w:numPr>
        <w:jc w:val="left"/>
        <w:rPr>
          <w:sz w:val="18"/>
          <w:szCs w:val="18"/>
        </w:rPr>
      </w:pPr>
      <w:r w:rsidRPr="00A3645B">
        <w:rPr>
          <w:sz w:val="18"/>
          <w:szCs w:val="18"/>
        </w:rPr>
        <w:t>In any employment: Employment is based on tax data (PAYE and annual tax returns). Periods with less than $100 of real (at report year) employment income per month are excluded. Annual returns are left censored to lapse period 0 if they start before the lapse period 0 calendar date.</w:t>
      </w:r>
    </w:p>
    <w:p w14:paraId="4B524DB3" w14:textId="77777777" w:rsidR="005879B1" w:rsidRDefault="00A97397" w:rsidP="00A3645B">
      <w:pPr>
        <w:pStyle w:val="Tablenormal0"/>
        <w:ind w:left="360"/>
        <w:jc w:val="left"/>
      </w:pPr>
      <w:r w:rsidRPr="00A3645B">
        <w:rPr>
          <w:b/>
          <w:bCs/>
          <w:sz w:val="18"/>
          <w:szCs w:val="18"/>
        </w:rPr>
        <w:t>Source</w:t>
      </w:r>
      <w:r w:rsidRPr="00A3645B">
        <w:rPr>
          <w:sz w:val="18"/>
          <w:szCs w:val="18"/>
        </w:rPr>
        <w:t>: Statistics New Zealand, Integrated Data Infrastructure, June 2024.</w:t>
      </w:r>
    </w:p>
    <w:p w14:paraId="2F7BB454" w14:textId="77777777" w:rsidR="005879B1" w:rsidRDefault="00A97397">
      <w:pPr>
        <w:pStyle w:val="Heading3"/>
      </w:pPr>
      <w:bookmarkStart w:id="101" w:name="step-2-project-observed-interval-impact"/>
      <w:bookmarkEnd w:id="98"/>
      <w:r>
        <w:lastRenderedPageBreak/>
        <w:t xml:space="preserve">Step 2: Project observed interval </w:t>
      </w:r>
      <w:proofErr w:type="gramStart"/>
      <w:r>
        <w:t>impact</w:t>
      </w:r>
      <w:proofErr w:type="gramEnd"/>
    </w:p>
    <w:p w14:paraId="37C1CE5C" w14:textId="77777777" w:rsidR="005879B1" w:rsidRDefault="00A97397">
      <w:r>
        <w:t>Based on the archetype impact described in the previous step, the next stage is to use the archetype impact as the basis for projecting the impact of each of the more recent cohorts for the intervention. Figure 9 shows the observed and projected impact for Flexi-wage 2017 and the archetype impact based on the impact for the 2012 participants as shown in Figure 7.</w:t>
      </w:r>
    </w:p>
    <w:p w14:paraId="21168314" w14:textId="77777777" w:rsidR="005879B1" w:rsidRDefault="00A97397">
      <w:pPr>
        <w:pStyle w:val="Heading4"/>
      </w:pPr>
      <w:bookmarkStart w:id="102" w:name="scaling-interval-impacts"/>
      <w:r>
        <w:t>Scaling interval impacts</w:t>
      </w:r>
    </w:p>
    <w:p w14:paraId="77AF6011" w14:textId="77777777" w:rsidR="005879B1" w:rsidRDefault="00A97397">
      <w:r>
        <w:t>For each EA intervention cohort, we compare the last 12 observed interval impacts to archetype interval impacts, calculate the difference between the two and adjust the archetype impact accordingly. For example, if a particular EA intervention cohort is showing lower observed impacts than the archetype then the adjustment would be negative as shown in Figure 9. Currently the adjustment is a simple mean of the difference between the observed impact and the archetype impact for last 12 observed lapse intervals. The adjustment value is added to the archetype impact to shift the archetype higher or lower to match the observed impact over the last 12 lapse periods.</w:t>
      </w:r>
    </w:p>
    <w:p w14:paraId="2A1868C8" w14:textId="28B80D14" w:rsidR="00A3645B" w:rsidRDefault="00A3645B" w:rsidP="00A3645B">
      <w:pPr>
        <w:pStyle w:val="Caption"/>
      </w:pPr>
      <w:r w:rsidRPr="00A3645B">
        <w:rPr>
          <w:b/>
          <w:bCs/>
        </w:rPr>
        <w:t>Figure 9</w:t>
      </w:r>
      <w:r>
        <w:t>: Observed and projected interval impact of Flexi-wage 2012</w:t>
      </w:r>
    </w:p>
    <w:p w14:paraId="1E056929" w14:textId="77777777" w:rsidR="005879B1" w:rsidRDefault="00A97397">
      <w:r>
        <w:rPr>
          <w:noProof/>
        </w:rPr>
        <w:drawing>
          <wp:inline distT="0" distB="0" distL="0" distR="0" wp14:anchorId="7810B963" wp14:editId="34A5156F">
            <wp:extent cx="5384800" cy="3589866"/>
            <wp:effectExtent l="0" t="0" r="0" b="0"/>
            <wp:docPr id="134" name="Picture" descr="Figure 9: Observed and projected interval impact of Flexi-wage 2012"/>
            <wp:cNvGraphicFramePr/>
            <a:graphic xmlns:a="http://schemas.openxmlformats.org/drawingml/2006/main">
              <a:graphicData uri="http://schemas.openxmlformats.org/drawingml/2006/picture">
                <pic:pic xmlns:pic="http://schemas.openxmlformats.org/drawingml/2006/picture">
                  <pic:nvPicPr>
                    <pic:cNvPr id="135" name="Picture" descr="fy23_ea_effectiveness_technical_report_files/figure-docx/projectedimpact2-1.png"/>
                    <pic:cNvPicPr>
                      <a:picLocks noChangeAspect="1" noChangeArrowheads="1"/>
                    </pic:cNvPicPr>
                  </pic:nvPicPr>
                  <pic:blipFill>
                    <a:blip r:embed="rId18"/>
                    <a:stretch>
                      <a:fillRect/>
                    </a:stretch>
                  </pic:blipFill>
                  <pic:spPr bwMode="auto">
                    <a:xfrm>
                      <a:off x="0" y="0"/>
                      <a:ext cx="5384800" cy="3589866"/>
                    </a:xfrm>
                    <a:prstGeom prst="rect">
                      <a:avLst/>
                    </a:prstGeom>
                    <a:noFill/>
                    <a:ln w="9525">
                      <a:noFill/>
                      <a:headEnd/>
                      <a:tailEnd/>
                    </a:ln>
                  </pic:spPr>
                </pic:pic>
              </a:graphicData>
            </a:graphic>
          </wp:inline>
        </w:drawing>
      </w:r>
    </w:p>
    <w:p w14:paraId="24A578BD" w14:textId="77777777" w:rsidR="005879B1" w:rsidRPr="00A3645B" w:rsidRDefault="00A97397" w:rsidP="00A3645B">
      <w:pPr>
        <w:pStyle w:val="Tablenormal0"/>
        <w:numPr>
          <w:ilvl w:val="0"/>
          <w:numId w:val="30"/>
        </w:numPr>
        <w:jc w:val="left"/>
        <w:rPr>
          <w:sz w:val="18"/>
          <w:szCs w:val="18"/>
        </w:rPr>
      </w:pPr>
      <w:bookmarkStart w:id="103" w:name="fig:projectedimpact2"/>
      <w:bookmarkEnd w:id="103"/>
      <w:r w:rsidRPr="00A3645B">
        <w:rPr>
          <w:sz w:val="18"/>
          <w:szCs w:val="18"/>
        </w:rPr>
        <w:t>The shaded area around the line indicates the 95% confidence interval of the impact estimate.</w:t>
      </w:r>
    </w:p>
    <w:p w14:paraId="7B15A8C6" w14:textId="77777777" w:rsidR="005879B1" w:rsidRPr="00A3645B" w:rsidRDefault="00A97397" w:rsidP="00A3645B">
      <w:pPr>
        <w:pStyle w:val="Tablenormal0"/>
        <w:numPr>
          <w:ilvl w:val="0"/>
          <w:numId w:val="30"/>
        </w:numPr>
        <w:jc w:val="left"/>
        <w:rPr>
          <w:sz w:val="18"/>
          <w:szCs w:val="18"/>
        </w:rPr>
      </w:pPr>
      <w:r w:rsidRPr="00A3645B">
        <w:rPr>
          <w:sz w:val="18"/>
          <w:szCs w:val="18"/>
        </w:rPr>
        <w:t xml:space="preserve">In any employment: Employment is based on tax data (PAYE and annual tax returns). Periods with less than $100 of real (at report year) employment income per month are excluded. Annual returns are left censored to lapse period 0 if they start </w:t>
      </w:r>
      <w:r w:rsidRPr="00A3645B">
        <w:rPr>
          <w:sz w:val="18"/>
          <w:szCs w:val="18"/>
        </w:rPr>
        <w:lastRenderedPageBreak/>
        <w:t>before the lapse period 0 calendar date.</w:t>
      </w:r>
    </w:p>
    <w:p w14:paraId="08F8A407" w14:textId="77777777" w:rsidR="005879B1" w:rsidRPr="00A3645B" w:rsidRDefault="00A97397" w:rsidP="00A3645B">
      <w:pPr>
        <w:pStyle w:val="Tablenormal0"/>
        <w:ind w:left="360"/>
        <w:jc w:val="left"/>
        <w:rPr>
          <w:sz w:val="18"/>
          <w:szCs w:val="18"/>
        </w:rPr>
      </w:pPr>
      <w:r w:rsidRPr="00A3645B">
        <w:rPr>
          <w:b/>
          <w:bCs/>
          <w:sz w:val="18"/>
          <w:szCs w:val="18"/>
        </w:rPr>
        <w:t>Source</w:t>
      </w:r>
      <w:r w:rsidRPr="00A3645B">
        <w:rPr>
          <w:sz w:val="18"/>
          <w:szCs w:val="18"/>
        </w:rPr>
        <w:t>: Statistics New Zealand, Integrated Data Infrastructure, June 2024.</w:t>
      </w:r>
    </w:p>
    <w:p w14:paraId="45B949D4" w14:textId="77777777" w:rsidR="005879B1" w:rsidRDefault="00A97397">
      <w:pPr>
        <w:pStyle w:val="Heading3"/>
      </w:pPr>
      <w:bookmarkStart w:id="104" w:name="Xcedbabefef9a455146246701eedd812ee68f27c"/>
      <w:bookmarkEnd w:id="102"/>
      <w:bookmarkEnd w:id="101"/>
      <w:r>
        <w:t>The confidence interval for projected impact</w:t>
      </w:r>
    </w:p>
    <w:p w14:paraId="70522713" w14:textId="77777777" w:rsidR="005879B1" w:rsidRDefault="00A97397">
      <w:r>
        <w:t>To provide an estimate of the confidence interval for the projected cumulative impact requires accounting for two sources of uncertainty:</w:t>
      </w:r>
    </w:p>
    <w:p w14:paraId="1AB1F4AC" w14:textId="77777777" w:rsidR="005879B1" w:rsidRDefault="00A97397" w:rsidP="004357B9">
      <w:pPr>
        <w:numPr>
          <w:ilvl w:val="0"/>
          <w:numId w:val="22"/>
        </w:numPr>
      </w:pPr>
      <w:r>
        <w:t>the observed impact has a given intrinsic level of uncertainty</w:t>
      </w:r>
    </w:p>
    <w:p w14:paraId="38042C33" w14:textId="77777777" w:rsidR="005879B1" w:rsidRDefault="00A97397" w:rsidP="004357B9">
      <w:pPr>
        <w:numPr>
          <w:ilvl w:val="0"/>
          <w:numId w:val="22"/>
        </w:numPr>
      </w:pPr>
      <w:r>
        <w:t>the projected interval impact is itself also an estimate with some level of uncertainty.</w:t>
      </w:r>
    </w:p>
    <w:p w14:paraId="13205F78" w14:textId="77777777" w:rsidR="005879B1" w:rsidRDefault="00A97397">
      <w:r>
        <w:t>In the current analysis, we only include the uncertainty from the first source. We plan to look at including the uncertainty introduced through the projection process itself in later updates. Therefore, the confidence intervals for the projected impact currently understate the true uncertainty for these estimates.</w:t>
      </w:r>
    </w:p>
    <w:p w14:paraId="5BFB483F" w14:textId="77777777" w:rsidR="005879B1" w:rsidRDefault="00A97397">
      <w:pPr>
        <w:pStyle w:val="BodyText"/>
      </w:pPr>
      <w:r>
        <w:t>To reflect the confidence intervals for the observed impact on the projected impact we used Monte Carlo simulations by taking random draws from the observed impact distribution and running the projected impact calculation for each draw. We repeated these simulations 1,000 times and took the 2.5 and 97.5 percentiles as the 95th confidence interval for the projected impacts.</w:t>
      </w:r>
    </w:p>
    <w:p w14:paraId="520F87EE" w14:textId="77777777" w:rsidR="005879B1" w:rsidRDefault="00A97397">
      <w:pPr>
        <w:pStyle w:val="Heading1"/>
      </w:pPr>
      <w:bookmarkStart w:id="105" w:name="_Toc197957618"/>
      <w:bookmarkStart w:id="106" w:name="X5f36018adfae2456371f439d4abe3d259cccff4"/>
      <w:bookmarkEnd w:id="104"/>
      <w:bookmarkEnd w:id="95"/>
      <w:r>
        <w:lastRenderedPageBreak/>
        <w:t>Rating the effectiveness of interventions</w:t>
      </w:r>
      <w:bookmarkEnd w:id="105"/>
    </w:p>
    <w:p w14:paraId="38DE96A5" w14:textId="77777777" w:rsidR="005879B1" w:rsidRDefault="00A97397">
      <w:r>
        <w:t>This section outlines how we systematically rate the effectiveness of interventions based on their impacts on outcomes. The aim of providing a rating is to qualitatively summarise the effectiveness of an EA intervention separately from its quantitative impacts. The goal here is to ensure that all EA interventions are rated in the same way and that the rating process is transparent.</w:t>
      </w:r>
    </w:p>
    <w:p w14:paraId="4E4601F8" w14:textId="77777777" w:rsidR="005879B1" w:rsidRDefault="00A97397">
      <w:pPr>
        <w:pStyle w:val="Heading2"/>
      </w:pPr>
      <w:bookmarkStart w:id="107" w:name="_Toc197957619"/>
      <w:bookmarkStart w:id="108" w:name="rating-by-outcome-domain"/>
      <w:r>
        <w:t>Rating by outcome domain</w:t>
      </w:r>
      <w:bookmarkEnd w:id="107"/>
    </w:p>
    <w:p w14:paraId="6EC6729D" w14:textId="77777777" w:rsidR="005879B1" w:rsidRDefault="00A97397">
      <w:r>
        <w:t>For each EA intervention, we have one outcome measure grouped under each broad outcome domain. In the current effectiveness report, we focus on five outcome domains: income, employment, justice, educational qualifications, and independence from welfare.</w:t>
      </w:r>
    </w:p>
    <w:p w14:paraId="4E27E3FA" w14:textId="77777777" w:rsidR="005879B1" w:rsidRDefault="00A97397">
      <w:pPr>
        <w:pStyle w:val="BodyText"/>
      </w:pPr>
      <w:r>
        <w:t>At present, we select one outcome measure to provide the summative assessment for the impact of each EA intervention on that domain. In the current analysis:</w:t>
      </w:r>
    </w:p>
    <w:p w14:paraId="6B61B9DF" w14:textId="77777777" w:rsidR="005879B1" w:rsidRDefault="00A97397" w:rsidP="004357B9">
      <w:pPr>
        <w:numPr>
          <w:ilvl w:val="0"/>
          <w:numId w:val="23"/>
        </w:numPr>
      </w:pPr>
      <w:r>
        <w:t>income effectiveness is based on the EA intervention’s impact on net income from all sources</w:t>
      </w:r>
    </w:p>
    <w:p w14:paraId="1F2487DD" w14:textId="77777777" w:rsidR="005879B1" w:rsidRDefault="00A97397" w:rsidP="004357B9">
      <w:pPr>
        <w:numPr>
          <w:ilvl w:val="0"/>
          <w:numId w:val="23"/>
        </w:numPr>
      </w:pPr>
      <w:r>
        <w:t>employment effectiveness is based on the impact on any time in employment</w:t>
      </w:r>
    </w:p>
    <w:p w14:paraId="577CF9D5" w14:textId="77777777" w:rsidR="005879B1" w:rsidRDefault="00A97397" w:rsidP="004357B9">
      <w:pPr>
        <w:numPr>
          <w:ilvl w:val="0"/>
          <w:numId w:val="23"/>
        </w:numPr>
      </w:pPr>
      <w:r>
        <w:t>justice is the time that participants spend in correctional services</w:t>
      </w:r>
    </w:p>
    <w:p w14:paraId="70894455" w14:textId="77777777" w:rsidR="005879B1" w:rsidRDefault="00A97397" w:rsidP="004357B9">
      <w:pPr>
        <w:numPr>
          <w:ilvl w:val="0"/>
          <w:numId w:val="23"/>
        </w:numPr>
      </w:pPr>
      <w:r>
        <w:t>qualifications is the increase in average NQF level</w:t>
      </w:r>
    </w:p>
    <w:p w14:paraId="5D0F568E" w14:textId="77777777" w:rsidR="005879B1" w:rsidRDefault="00A97397" w:rsidP="004357B9">
      <w:pPr>
        <w:numPr>
          <w:ilvl w:val="0"/>
          <w:numId w:val="23"/>
        </w:numPr>
      </w:pPr>
      <w:r>
        <w:t>independence from welfare assistance is based on time spent independent from Work and Income Assistance (ie not on main benefit or participating in EA interventions).</w:t>
      </w:r>
    </w:p>
    <w:p w14:paraId="30787229" w14:textId="77777777" w:rsidR="005879B1" w:rsidRDefault="00A97397">
      <w:pPr>
        <w:pStyle w:val="Heading2"/>
      </w:pPr>
      <w:bookmarkStart w:id="109" w:name="_Toc197957620"/>
      <w:bookmarkStart w:id="110" w:name="X435e462874cb66b01004407576df7ccea6fb5af"/>
      <w:bookmarkEnd w:id="108"/>
      <w:r>
        <w:t>Translating impact to an effectiveness rating</w:t>
      </w:r>
      <w:bookmarkEnd w:id="109"/>
    </w:p>
    <w:p w14:paraId="17C049F1" w14:textId="77777777" w:rsidR="005879B1" w:rsidRDefault="00A97397">
      <w:r>
        <w:t xml:space="preserve">For each outcome, we examine the observed and projected cumulative impact and categorise intervention effectiveness as shown in Table 6. In our analysis, we start with an initial assessment based on the observed impact and then adjust this assessment based on the projected impact. The higher weight given to the observed period is because it has an empirical basis, while the projected impact is sensitive to the most recent trend in the observed impact. The projected impact serves to moderate the observed impact in those instances where the two differ (ie in the off-diagonal cells in </w:t>
      </w:r>
      <w:r>
        <w:lastRenderedPageBreak/>
        <w:t>Table 6). For example, if an intervention has a significant negative observed impact and a significant positive projected impact, we only increase the rating from negative to likely negative, rather than to promising. In practice, the majority of observed and projected impacts are consistent with each other in terms of sign (ie they are either both positive or both negative).</w:t>
      </w:r>
    </w:p>
    <w:p w14:paraId="46E15B1F" w14:textId="77777777" w:rsidR="005879B1" w:rsidRDefault="00A97397" w:rsidP="00A3645B">
      <w:pPr>
        <w:pStyle w:val="Caption"/>
      </w:pPr>
      <w:bookmarkStart w:id="111" w:name="tab:effectrating1"/>
      <w:bookmarkEnd w:id="111"/>
      <w:r w:rsidRPr="00A3645B">
        <w:rPr>
          <w:b/>
          <w:bCs/>
        </w:rPr>
        <w:t>Table 6</w:t>
      </w:r>
      <w:r>
        <w:t>: Rating of outcome domain by the impact on outcomes</w:t>
      </w:r>
    </w:p>
    <w:tbl>
      <w:tblPr>
        <w:tblW w:w="0" w:type="auto"/>
        <w:jc w:val="center"/>
        <w:tblLayout w:type="fixed"/>
        <w:tblLook w:val="0420" w:firstRow="1" w:lastRow="0" w:firstColumn="0" w:lastColumn="0" w:noHBand="0" w:noVBand="1"/>
      </w:tblPr>
      <w:tblGrid>
        <w:gridCol w:w="1872"/>
        <w:gridCol w:w="1440"/>
        <w:gridCol w:w="1440"/>
        <w:gridCol w:w="1440"/>
        <w:gridCol w:w="1440"/>
      </w:tblGrid>
      <w:tr w:rsidR="005879B1" w14:paraId="763163EF" w14:textId="77777777">
        <w:trPr>
          <w:tblHeader/>
          <w:jc w:val="center"/>
        </w:trPr>
        <w:tc>
          <w:tcPr>
            <w:tcW w:w="7632" w:type="dxa"/>
            <w:gridSpan w:val="5"/>
            <w:tcBorders>
              <w:top w:val="single" w:sz="8" w:space="0" w:color="252C65"/>
              <w:left w:val="none" w:sz="0" w:space="0" w:color="000000"/>
              <w:bottom w:val="none" w:sz="0" w:space="0" w:color="000000"/>
              <w:right w:val="none" w:sz="0" w:space="0" w:color="000000"/>
            </w:tcBorders>
            <w:shd w:val="clear" w:color="auto" w:fill="252C65"/>
            <w:tcMar>
              <w:top w:w="0" w:type="dxa"/>
              <w:left w:w="0" w:type="dxa"/>
              <w:bottom w:w="0" w:type="dxa"/>
              <w:right w:w="0" w:type="dxa"/>
            </w:tcMar>
            <w:vAlign w:val="center"/>
          </w:tcPr>
          <w:p w14:paraId="4E71936C" w14:textId="77777777" w:rsidR="005879B1" w:rsidRDefault="00A97397">
            <w:pPr>
              <w:pBdr>
                <w:top w:val="none" w:sz="0" w:space="0" w:color="000000"/>
                <w:left w:val="none" w:sz="0" w:space="0" w:color="000000"/>
                <w:bottom w:val="none" w:sz="0" w:space="0" w:color="000000"/>
                <w:right w:val="none" w:sz="0" w:space="0" w:color="000000"/>
              </w:pBdr>
              <w:spacing w:before="100" w:after="100" w:line="240" w:lineRule="auto"/>
              <w:ind w:left="100" w:right="100"/>
              <w:jc w:val="center"/>
              <w:rPr>
                <w:rFonts w:ascii="Arial" w:eastAsia="Arial" w:hAnsi="Arial" w:cs="Arial"/>
                <w:color w:val="FFFFFF"/>
                <w:sz w:val="20"/>
                <w:szCs w:val="20"/>
              </w:rPr>
            </w:pPr>
            <w:r>
              <w:rPr>
                <w:rFonts w:ascii="Arial" w:eastAsia="Arial" w:hAnsi="Arial" w:cs="Arial"/>
                <w:color w:val="FFFFFF"/>
                <w:sz w:val="20"/>
                <w:szCs w:val="20"/>
              </w:rPr>
              <w:t>Projected impact</w:t>
            </w:r>
          </w:p>
        </w:tc>
      </w:tr>
      <w:tr w:rsidR="005879B1" w14:paraId="5C76B0F3" w14:textId="77777777">
        <w:trPr>
          <w:tblHeader/>
          <w:jc w:val="center"/>
        </w:trPr>
        <w:tc>
          <w:tcPr>
            <w:tcW w:w="187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FD3AF86" w14:textId="77777777" w:rsidR="005879B1" w:rsidRDefault="005879B1">
            <w:pPr>
              <w:pBdr>
                <w:top w:val="none" w:sz="0" w:space="0" w:color="000000"/>
                <w:left w:val="none" w:sz="0" w:space="0" w:color="000000"/>
                <w:bottom w:val="none" w:sz="0" w:space="0" w:color="000000"/>
                <w:right w:val="none" w:sz="0" w:space="0" w:color="000000"/>
              </w:pBdr>
              <w:spacing w:before="100" w:after="100" w:line="240" w:lineRule="auto"/>
              <w:ind w:left="100" w:right="100"/>
              <w:rPr>
                <w:rFonts w:ascii="Arial" w:eastAsia="Arial" w:hAnsi="Arial" w:cs="Arial"/>
                <w:color w:val="252C65"/>
                <w:sz w:val="20"/>
                <w:szCs w:val="20"/>
              </w:rPr>
            </w:pPr>
          </w:p>
        </w:tc>
        <w:tc>
          <w:tcPr>
            <w:tcW w:w="144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7019081" w14:textId="77777777" w:rsidR="005879B1" w:rsidRDefault="005879B1">
            <w:pPr>
              <w:pBdr>
                <w:top w:val="none" w:sz="0" w:space="0" w:color="000000"/>
                <w:left w:val="none" w:sz="0" w:space="0" w:color="000000"/>
                <w:bottom w:val="none" w:sz="0" w:space="0" w:color="000000"/>
                <w:right w:val="none" w:sz="0" w:space="0" w:color="000000"/>
              </w:pBdr>
              <w:spacing w:before="100" w:after="100" w:line="240" w:lineRule="auto"/>
              <w:ind w:left="100" w:right="100"/>
              <w:rPr>
                <w:rFonts w:ascii="Arial" w:eastAsia="Arial" w:hAnsi="Arial" w:cs="Arial"/>
                <w:color w:val="252C65"/>
                <w:sz w:val="20"/>
                <w:szCs w:val="20"/>
              </w:rPr>
            </w:pPr>
          </w:p>
        </w:tc>
        <w:tc>
          <w:tcPr>
            <w:tcW w:w="144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211831F" w14:textId="77777777" w:rsidR="005879B1" w:rsidRDefault="00A97397">
            <w:pPr>
              <w:pBdr>
                <w:top w:val="none" w:sz="0" w:space="0" w:color="000000"/>
                <w:left w:val="none" w:sz="0" w:space="0" w:color="000000"/>
                <w:bottom w:val="none" w:sz="0" w:space="0" w:color="000000"/>
                <w:right w:val="none" w:sz="0" w:space="0" w:color="000000"/>
              </w:pBdr>
              <w:spacing w:before="100" w:after="100" w:line="240" w:lineRule="auto"/>
              <w:ind w:left="100" w:right="100"/>
              <w:rPr>
                <w:rFonts w:ascii="Arial" w:eastAsia="Arial" w:hAnsi="Arial" w:cs="Arial"/>
                <w:b/>
                <w:color w:val="252C65"/>
                <w:sz w:val="20"/>
                <w:szCs w:val="20"/>
              </w:rPr>
            </w:pPr>
            <w:r>
              <w:rPr>
                <w:rFonts w:ascii="Arial" w:eastAsia="Arial" w:hAnsi="Arial" w:cs="Arial"/>
                <w:b/>
                <w:color w:val="252C65"/>
                <w:sz w:val="20"/>
                <w:szCs w:val="20"/>
              </w:rPr>
              <w:t>Significant positive</w:t>
            </w:r>
          </w:p>
        </w:tc>
        <w:tc>
          <w:tcPr>
            <w:tcW w:w="144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4E0296F" w14:textId="77777777" w:rsidR="005879B1" w:rsidRDefault="00A97397">
            <w:pPr>
              <w:pBdr>
                <w:top w:val="none" w:sz="0" w:space="0" w:color="000000"/>
                <w:left w:val="none" w:sz="0" w:space="0" w:color="000000"/>
                <w:bottom w:val="none" w:sz="0" w:space="0" w:color="000000"/>
                <w:right w:val="none" w:sz="0" w:space="0" w:color="000000"/>
              </w:pBdr>
              <w:spacing w:before="100" w:after="100" w:line="240" w:lineRule="auto"/>
              <w:ind w:left="100" w:right="100"/>
              <w:rPr>
                <w:rFonts w:ascii="Arial" w:eastAsia="Arial" w:hAnsi="Arial" w:cs="Arial"/>
                <w:b/>
                <w:color w:val="252C65"/>
                <w:sz w:val="20"/>
                <w:szCs w:val="20"/>
              </w:rPr>
            </w:pPr>
            <w:r>
              <w:rPr>
                <w:rFonts w:ascii="Arial" w:eastAsia="Arial" w:hAnsi="Arial" w:cs="Arial"/>
                <w:b/>
                <w:color w:val="252C65"/>
                <w:sz w:val="20"/>
                <w:szCs w:val="20"/>
              </w:rPr>
              <w:t>Zero</w:t>
            </w:r>
          </w:p>
        </w:tc>
        <w:tc>
          <w:tcPr>
            <w:tcW w:w="144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6A253D3" w14:textId="77777777" w:rsidR="005879B1" w:rsidRDefault="00A97397">
            <w:pPr>
              <w:pBdr>
                <w:top w:val="none" w:sz="0" w:space="0" w:color="000000"/>
                <w:left w:val="none" w:sz="0" w:space="0" w:color="000000"/>
                <w:bottom w:val="none" w:sz="0" w:space="0" w:color="000000"/>
                <w:right w:val="none" w:sz="0" w:space="0" w:color="000000"/>
              </w:pBdr>
              <w:spacing w:before="100" w:after="100" w:line="240" w:lineRule="auto"/>
              <w:ind w:left="100" w:right="100"/>
              <w:rPr>
                <w:rFonts w:ascii="Arial" w:eastAsia="Arial" w:hAnsi="Arial" w:cs="Arial"/>
                <w:b/>
                <w:color w:val="252C65"/>
                <w:sz w:val="20"/>
                <w:szCs w:val="20"/>
              </w:rPr>
            </w:pPr>
            <w:r>
              <w:rPr>
                <w:rFonts w:ascii="Arial" w:eastAsia="Arial" w:hAnsi="Arial" w:cs="Arial"/>
                <w:b/>
                <w:color w:val="252C65"/>
                <w:sz w:val="20"/>
                <w:szCs w:val="20"/>
              </w:rPr>
              <w:t>Significant negative</w:t>
            </w:r>
          </w:p>
        </w:tc>
      </w:tr>
      <w:tr w:rsidR="005879B1" w14:paraId="5F57DF8A" w14:textId="77777777">
        <w:trPr>
          <w:jc w:val="center"/>
        </w:trPr>
        <w:tc>
          <w:tcPr>
            <w:tcW w:w="1872" w:type="dxa"/>
            <w:vMerge w:val="restart"/>
            <w:tcBorders>
              <w:top w:val="none" w:sz="0" w:space="0" w:color="000000"/>
              <w:left w:val="none" w:sz="0" w:space="0" w:color="000000"/>
              <w:bottom w:val="single" w:sz="8" w:space="0" w:color="252C65"/>
              <w:right w:val="none" w:sz="0" w:space="0" w:color="000000"/>
            </w:tcBorders>
            <w:shd w:val="clear" w:color="auto" w:fill="252C65"/>
            <w:tcMar>
              <w:top w:w="0" w:type="dxa"/>
              <w:left w:w="0" w:type="dxa"/>
              <w:bottom w:w="0" w:type="dxa"/>
              <w:right w:w="0" w:type="dxa"/>
            </w:tcMar>
            <w:vAlign w:val="center"/>
          </w:tcPr>
          <w:p w14:paraId="506F3850" w14:textId="77777777" w:rsidR="005879B1" w:rsidRDefault="00A97397">
            <w:pPr>
              <w:pBdr>
                <w:top w:val="none" w:sz="0" w:space="0" w:color="000000"/>
                <w:left w:val="none" w:sz="0" w:space="0" w:color="000000"/>
                <w:bottom w:val="none" w:sz="0" w:space="0" w:color="000000"/>
                <w:right w:val="none" w:sz="0" w:space="0" w:color="000000"/>
              </w:pBdr>
              <w:spacing w:before="100" w:after="100" w:line="240" w:lineRule="auto"/>
              <w:ind w:left="100" w:right="100"/>
              <w:rPr>
                <w:rFonts w:eastAsia="Verdana" w:cs="Verdana"/>
                <w:color w:val="FFFFFF"/>
                <w:sz w:val="20"/>
                <w:szCs w:val="20"/>
              </w:rPr>
            </w:pPr>
            <w:r>
              <w:rPr>
                <w:rFonts w:eastAsia="Verdana" w:cs="Verdana"/>
                <w:color w:val="FFFFFF"/>
                <w:sz w:val="20"/>
                <w:szCs w:val="20"/>
              </w:rPr>
              <w:t>Observed impact</w:t>
            </w:r>
          </w:p>
        </w:tc>
        <w:tc>
          <w:tcPr>
            <w:tcW w:w="144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5D02D54" w14:textId="77777777" w:rsidR="005879B1" w:rsidRDefault="00A97397">
            <w:pPr>
              <w:pBdr>
                <w:top w:val="none" w:sz="0" w:space="0" w:color="000000"/>
                <w:left w:val="none" w:sz="0" w:space="0" w:color="000000"/>
                <w:bottom w:val="none" w:sz="0" w:space="0" w:color="000000"/>
                <w:right w:val="none" w:sz="0" w:space="0" w:color="000000"/>
              </w:pBdr>
              <w:spacing w:before="100" w:after="100" w:line="240" w:lineRule="auto"/>
              <w:ind w:left="100" w:right="100"/>
              <w:rPr>
                <w:rFonts w:eastAsia="Verdana" w:cs="Verdana"/>
                <w:b/>
                <w:color w:val="252C65"/>
                <w:sz w:val="20"/>
                <w:szCs w:val="20"/>
              </w:rPr>
            </w:pPr>
            <w:r>
              <w:rPr>
                <w:rFonts w:eastAsia="Verdana" w:cs="Verdana"/>
                <w:b/>
                <w:color w:val="252C65"/>
                <w:sz w:val="20"/>
                <w:szCs w:val="20"/>
              </w:rPr>
              <w:t>Significant positive</w:t>
            </w:r>
          </w:p>
        </w:tc>
        <w:tc>
          <w:tcPr>
            <w:tcW w:w="144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E67C84F" w14:textId="77777777" w:rsidR="005879B1" w:rsidRDefault="00A97397">
            <w:pPr>
              <w:pBdr>
                <w:top w:val="none" w:sz="0" w:space="0" w:color="000000"/>
                <w:left w:val="none" w:sz="0" w:space="0" w:color="000000"/>
                <w:bottom w:val="none" w:sz="0" w:space="0" w:color="000000"/>
                <w:right w:val="none" w:sz="0" w:space="0" w:color="000000"/>
              </w:pBdr>
              <w:spacing w:before="100" w:after="100" w:line="240" w:lineRule="auto"/>
              <w:ind w:left="100" w:right="100"/>
              <w:rPr>
                <w:rFonts w:eastAsia="Verdana" w:cs="Verdana"/>
                <w:color w:val="252C65"/>
                <w:sz w:val="20"/>
                <w:szCs w:val="20"/>
              </w:rPr>
            </w:pPr>
            <w:r>
              <w:rPr>
                <w:rFonts w:eastAsia="Verdana" w:cs="Verdana"/>
                <w:color w:val="252C65"/>
                <w:sz w:val="20"/>
                <w:szCs w:val="20"/>
              </w:rPr>
              <w:t>Effective</w:t>
            </w:r>
          </w:p>
        </w:tc>
        <w:tc>
          <w:tcPr>
            <w:tcW w:w="144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E7C3B8A" w14:textId="77777777" w:rsidR="005879B1" w:rsidRDefault="00A97397">
            <w:pPr>
              <w:pBdr>
                <w:top w:val="none" w:sz="0" w:space="0" w:color="000000"/>
                <w:left w:val="none" w:sz="0" w:space="0" w:color="000000"/>
                <w:bottom w:val="none" w:sz="0" w:space="0" w:color="000000"/>
                <w:right w:val="none" w:sz="0" w:space="0" w:color="000000"/>
              </w:pBdr>
              <w:spacing w:before="100" w:after="100" w:line="240" w:lineRule="auto"/>
              <w:ind w:left="100" w:right="100"/>
              <w:rPr>
                <w:rFonts w:eastAsia="Verdana" w:cs="Verdana"/>
                <w:color w:val="252C65"/>
                <w:sz w:val="20"/>
                <w:szCs w:val="20"/>
              </w:rPr>
            </w:pPr>
            <w:r>
              <w:rPr>
                <w:rFonts w:eastAsia="Verdana" w:cs="Verdana"/>
                <w:color w:val="252C65"/>
                <w:sz w:val="20"/>
                <w:szCs w:val="20"/>
              </w:rPr>
              <w:t>Effective</w:t>
            </w:r>
          </w:p>
        </w:tc>
        <w:tc>
          <w:tcPr>
            <w:tcW w:w="144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F0509DA" w14:textId="77777777" w:rsidR="005879B1" w:rsidRDefault="00A97397">
            <w:pPr>
              <w:pBdr>
                <w:top w:val="none" w:sz="0" w:space="0" w:color="000000"/>
                <w:left w:val="none" w:sz="0" w:space="0" w:color="000000"/>
                <w:bottom w:val="none" w:sz="0" w:space="0" w:color="000000"/>
                <w:right w:val="none" w:sz="0" w:space="0" w:color="000000"/>
              </w:pBdr>
              <w:spacing w:before="100" w:after="100" w:line="240" w:lineRule="auto"/>
              <w:ind w:left="100" w:right="100"/>
              <w:rPr>
                <w:rFonts w:eastAsia="Verdana" w:cs="Verdana"/>
                <w:color w:val="252C65"/>
                <w:sz w:val="20"/>
                <w:szCs w:val="20"/>
              </w:rPr>
            </w:pPr>
            <w:r>
              <w:rPr>
                <w:rFonts w:eastAsia="Verdana" w:cs="Verdana"/>
                <w:color w:val="252C65"/>
                <w:sz w:val="20"/>
                <w:szCs w:val="20"/>
              </w:rPr>
              <w:t>Promising</w:t>
            </w:r>
          </w:p>
        </w:tc>
      </w:tr>
      <w:tr w:rsidR="005879B1" w14:paraId="6E833F31" w14:textId="77777777">
        <w:trPr>
          <w:jc w:val="center"/>
        </w:trPr>
        <w:tc>
          <w:tcPr>
            <w:tcW w:w="1872" w:type="dxa"/>
            <w:vMerge/>
            <w:tcBorders>
              <w:top w:val="single" w:sz="8" w:space="0" w:color="252C65"/>
              <w:left w:val="none" w:sz="0" w:space="0" w:color="000000"/>
              <w:bottom w:val="none" w:sz="0" w:space="0" w:color="000000"/>
              <w:right w:val="none" w:sz="0" w:space="0" w:color="000000"/>
            </w:tcBorders>
            <w:shd w:val="clear" w:color="auto" w:fill="252C65"/>
            <w:tcMar>
              <w:top w:w="0" w:type="dxa"/>
              <w:left w:w="0" w:type="dxa"/>
              <w:bottom w:w="0" w:type="dxa"/>
              <w:right w:w="0" w:type="dxa"/>
            </w:tcMar>
            <w:vAlign w:val="center"/>
          </w:tcPr>
          <w:p w14:paraId="492787D3" w14:textId="77777777" w:rsidR="005879B1" w:rsidRDefault="005879B1">
            <w:pPr>
              <w:pBdr>
                <w:top w:val="none" w:sz="0" w:space="0" w:color="000000"/>
                <w:left w:val="none" w:sz="0" w:space="0" w:color="000000"/>
                <w:bottom w:val="none" w:sz="0" w:space="0" w:color="000000"/>
                <w:right w:val="none" w:sz="0" w:space="0" w:color="000000"/>
              </w:pBdr>
              <w:spacing w:before="100" w:after="100" w:line="240" w:lineRule="auto"/>
              <w:ind w:left="100" w:right="100"/>
              <w:rPr>
                <w:rFonts w:eastAsia="Verdana" w:cs="Verdana"/>
                <w:color w:val="FFFFFF"/>
                <w:sz w:val="20"/>
                <w:szCs w:val="20"/>
              </w:rPr>
            </w:pPr>
          </w:p>
        </w:tc>
        <w:tc>
          <w:tcPr>
            <w:tcW w:w="144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C928990" w14:textId="77777777" w:rsidR="005879B1" w:rsidRDefault="00A97397">
            <w:pPr>
              <w:pBdr>
                <w:top w:val="none" w:sz="0" w:space="0" w:color="000000"/>
                <w:left w:val="none" w:sz="0" w:space="0" w:color="000000"/>
                <w:bottom w:val="none" w:sz="0" w:space="0" w:color="000000"/>
                <w:right w:val="none" w:sz="0" w:space="0" w:color="000000"/>
              </w:pBdr>
              <w:spacing w:before="100" w:after="100" w:line="240" w:lineRule="auto"/>
              <w:ind w:left="100" w:right="100"/>
              <w:rPr>
                <w:rFonts w:eastAsia="Verdana" w:cs="Verdana"/>
                <w:b/>
                <w:color w:val="252C65"/>
                <w:sz w:val="20"/>
                <w:szCs w:val="20"/>
              </w:rPr>
            </w:pPr>
            <w:r>
              <w:rPr>
                <w:rFonts w:eastAsia="Verdana" w:cs="Verdana"/>
                <w:b/>
                <w:color w:val="252C65"/>
                <w:sz w:val="20"/>
                <w:szCs w:val="20"/>
              </w:rPr>
              <w:t>Zero</w:t>
            </w:r>
          </w:p>
        </w:tc>
        <w:tc>
          <w:tcPr>
            <w:tcW w:w="144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CB41FF8" w14:textId="77777777" w:rsidR="005879B1" w:rsidRDefault="00A97397">
            <w:pPr>
              <w:pBdr>
                <w:top w:val="none" w:sz="0" w:space="0" w:color="000000"/>
                <w:left w:val="none" w:sz="0" w:space="0" w:color="000000"/>
                <w:bottom w:val="none" w:sz="0" w:space="0" w:color="000000"/>
                <w:right w:val="none" w:sz="0" w:space="0" w:color="000000"/>
              </w:pBdr>
              <w:spacing w:before="100" w:after="100" w:line="240" w:lineRule="auto"/>
              <w:ind w:left="100" w:right="100"/>
              <w:rPr>
                <w:rFonts w:eastAsia="Verdana" w:cs="Verdana"/>
                <w:color w:val="252C65"/>
                <w:sz w:val="20"/>
                <w:szCs w:val="20"/>
              </w:rPr>
            </w:pPr>
            <w:r>
              <w:rPr>
                <w:rFonts w:eastAsia="Verdana" w:cs="Verdana"/>
                <w:color w:val="252C65"/>
                <w:sz w:val="20"/>
                <w:szCs w:val="20"/>
              </w:rPr>
              <w:t>Promising</w:t>
            </w:r>
          </w:p>
        </w:tc>
        <w:tc>
          <w:tcPr>
            <w:tcW w:w="144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53B51F2" w14:textId="77777777" w:rsidR="005879B1" w:rsidRDefault="00A97397">
            <w:pPr>
              <w:pBdr>
                <w:top w:val="none" w:sz="0" w:space="0" w:color="000000"/>
                <w:left w:val="none" w:sz="0" w:space="0" w:color="000000"/>
                <w:bottom w:val="none" w:sz="0" w:space="0" w:color="000000"/>
                <w:right w:val="none" w:sz="0" w:space="0" w:color="000000"/>
              </w:pBdr>
              <w:spacing w:before="100" w:after="100" w:line="240" w:lineRule="auto"/>
              <w:ind w:left="100" w:right="100"/>
              <w:rPr>
                <w:rFonts w:eastAsia="Verdana" w:cs="Verdana"/>
                <w:color w:val="252C65"/>
                <w:sz w:val="20"/>
                <w:szCs w:val="20"/>
              </w:rPr>
            </w:pPr>
            <w:r>
              <w:rPr>
                <w:rFonts w:eastAsia="Verdana" w:cs="Verdana"/>
                <w:color w:val="252C65"/>
                <w:sz w:val="20"/>
                <w:szCs w:val="20"/>
              </w:rPr>
              <w:t>No difference</w:t>
            </w:r>
          </w:p>
        </w:tc>
        <w:tc>
          <w:tcPr>
            <w:tcW w:w="144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FC39DA2" w14:textId="77777777" w:rsidR="005879B1" w:rsidRDefault="00A97397">
            <w:pPr>
              <w:pBdr>
                <w:top w:val="none" w:sz="0" w:space="0" w:color="000000"/>
                <w:left w:val="none" w:sz="0" w:space="0" w:color="000000"/>
                <w:bottom w:val="none" w:sz="0" w:space="0" w:color="000000"/>
                <w:right w:val="none" w:sz="0" w:space="0" w:color="000000"/>
              </w:pBdr>
              <w:spacing w:before="100" w:after="100" w:line="240" w:lineRule="auto"/>
              <w:ind w:left="100" w:right="100"/>
              <w:rPr>
                <w:rFonts w:eastAsia="Verdana" w:cs="Verdana"/>
                <w:color w:val="252C65"/>
                <w:sz w:val="20"/>
                <w:szCs w:val="20"/>
              </w:rPr>
            </w:pPr>
            <w:r>
              <w:rPr>
                <w:rFonts w:eastAsia="Verdana" w:cs="Verdana"/>
                <w:color w:val="252C65"/>
                <w:sz w:val="20"/>
                <w:szCs w:val="20"/>
              </w:rPr>
              <w:t>Likely negative</w:t>
            </w:r>
          </w:p>
        </w:tc>
      </w:tr>
      <w:tr w:rsidR="005879B1" w14:paraId="405B2E3B" w14:textId="77777777">
        <w:trPr>
          <w:jc w:val="center"/>
        </w:trPr>
        <w:tc>
          <w:tcPr>
            <w:tcW w:w="1872" w:type="dxa"/>
            <w:vMerge/>
            <w:tcBorders>
              <w:top w:val="none" w:sz="0" w:space="0" w:color="000000"/>
              <w:left w:val="none" w:sz="0" w:space="0" w:color="000000"/>
              <w:bottom w:val="single" w:sz="8" w:space="0" w:color="252C65"/>
              <w:right w:val="none" w:sz="0" w:space="0" w:color="000000"/>
            </w:tcBorders>
            <w:shd w:val="clear" w:color="auto" w:fill="252C65"/>
            <w:tcMar>
              <w:top w:w="0" w:type="dxa"/>
              <w:left w:w="0" w:type="dxa"/>
              <w:bottom w:w="0" w:type="dxa"/>
              <w:right w:w="0" w:type="dxa"/>
            </w:tcMar>
            <w:vAlign w:val="center"/>
          </w:tcPr>
          <w:p w14:paraId="3C1C37DB" w14:textId="77777777" w:rsidR="005879B1" w:rsidRDefault="005879B1">
            <w:pPr>
              <w:pBdr>
                <w:top w:val="none" w:sz="0" w:space="0" w:color="000000"/>
                <w:left w:val="none" w:sz="0" w:space="0" w:color="000000"/>
                <w:bottom w:val="none" w:sz="0" w:space="0" w:color="000000"/>
                <w:right w:val="none" w:sz="0" w:space="0" w:color="000000"/>
              </w:pBdr>
              <w:spacing w:before="100" w:after="100" w:line="240" w:lineRule="auto"/>
              <w:ind w:left="100" w:right="100"/>
              <w:rPr>
                <w:rFonts w:eastAsia="Verdana" w:cs="Verdana"/>
                <w:color w:val="FFFFFF"/>
                <w:sz w:val="20"/>
                <w:szCs w:val="20"/>
              </w:rPr>
            </w:pPr>
          </w:p>
        </w:tc>
        <w:tc>
          <w:tcPr>
            <w:tcW w:w="1440" w:type="dxa"/>
            <w:tcBorders>
              <w:top w:val="none" w:sz="0" w:space="0" w:color="000000"/>
              <w:left w:val="none" w:sz="0" w:space="0" w:color="000000"/>
              <w:bottom w:val="single" w:sz="8" w:space="0" w:color="252C65"/>
              <w:right w:val="none" w:sz="0" w:space="0" w:color="000000"/>
            </w:tcBorders>
            <w:shd w:val="clear" w:color="auto" w:fill="FFFFFF"/>
            <w:tcMar>
              <w:top w:w="0" w:type="dxa"/>
              <w:left w:w="0" w:type="dxa"/>
              <w:bottom w:w="0" w:type="dxa"/>
              <w:right w:w="0" w:type="dxa"/>
            </w:tcMar>
            <w:vAlign w:val="center"/>
          </w:tcPr>
          <w:p w14:paraId="2197AC8B" w14:textId="77777777" w:rsidR="005879B1" w:rsidRDefault="00A97397">
            <w:pPr>
              <w:pBdr>
                <w:top w:val="none" w:sz="0" w:space="0" w:color="000000"/>
                <w:left w:val="none" w:sz="0" w:space="0" w:color="000000"/>
                <w:bottom w:val="none" w:sz="0" w:space="0" w:color="000000"/>
                <w:right w:val="none" w:sz="0" w:space="0" w:color="000000"/>
              </w:pBdr>
              <w:spacing w:before="100" w:after="100" w:line="240" w:lineRule="auto"/>
              <w:ind w:left="100" w:right="100"/>
              <w:rPr>
                <w:rFonts w:eastAsia="Verdana" w:cs="Verdana"/>
                <w:b/>
                <w:color w:val="252C65"/>
                <w:sz w:val="20"/>
                <w:szCs w:val="20"/>
              </w:rPr>
            </w:pPr>
            <w:r>
              <w:rPr>
                <w:rFonts w:eastAsia="Verdana" w:cs="Verdana"/>
                <w:b/>
                <w:color w:val="252C65"/>
                <w:sz w:val="20"/>
                <w:szCs w:val="20"/>
              </w:rPr>
              <w:t>Significant negative</w:t>
            </w:r>
          </w:p>
        </w:tc>
        <w:tc>
          <w:tcPr>
            <w:tcW w:w="1440" w:type="dxa"/>
            <w:tcBorders>
              <w:top w:val="none" w:sz="0" w:space="0" w:color="000000"/>
              <w:left w:val="none" w:sz="0" w:space="0" w:color="000000"/>
              <w:bottom w:val="single" w:sz="8" w:space="0" w:color="252C65"/>
              <w:right w:val="none" w:sz="0" w:space="0" w:color="000000"/>
            </w:tcBorders>
            <w:shd w:val="clear" w:color="auto" w:fill="FFFFFF"/>
            <w:tcMar>
              <w:top w:w="0" w:type="dxa"/>
              <w:left w:w="0" w:type="dxa"/>
              <w:bottom w:w="0" w:type="dxa"/>
              <w:right w:w="0" w:type="dxa"/>
            </w:tcMar>
            <w:vAlign w:val="center"/>
          </w:tcPr>
          <w:p w14:paraId="52C31E1F" w14:textId="77777777" w:rsidR="005879B1" w:rsidRDefault="00A97397">
            <w:pPr>
              <w:pBdr>
                <w:top w:val="none" w:sz="0" w:space="0" w:color="000000"/>
                <w:left w:val="none" w:sz="0" w:space="0" w:color="000000"/>
                <w:bottom w:val="none" w:sz="0" w:space="0" w:color="000000"/>
                <w:right w:val="none" w:sz="0" w:space="0" w:color="000000"/>
              </w:pBdr>
              <w:spacing w:before="100" w:after="100" w:line="240" w:lineRule="auto"/>
              <w:ind w:left="100" w:right="100"/>
              <w:rPr>
                <w:rFonts w:eastAsia="Verdana" w:cs="Verdana"/>
                <w:color w:val="252C65"/>
                <w:sz w:val="20"/>
                <w:szCs w:val="20"/>
              </w:rPr>
            </w:pPr>
            <w:r>
              <w:rPr>
                <w:rFonts w:eastAsia="Verdana" w:cs="Verdana"/>
                <w:color w:val="252C65"/>
                <w:sz w:val="20"/>
                <w:szCs w:val="20"/>
              </w:rPr>
              <w:t>Likely negative</w:t>
            </w:r>
          </w:p>
        </w:tc>
        <w:tc>
          <w:tcPr>
            <w:tcW w:w="1440" w:type="dxa"/>
            <w:tcBorders>
              <w:top w:val="none" w:sz="0" w:space="0" w:color="000000"/>
              <w:left w:val="none" w:sz="0" w:space="0" w:color="000000"/>
              <w:bottom w:val="single" w:sz="8" w:space="0" w:color="252C65"/>
              <w:right w:val="none" w:sz="0" w:space="0" w:color="000000"/>
            </w:tcBorders>
            <w:shd w:val="clear" w:color="auto" w:fill="FFFFFF"/>
            <w:tcMar>
              <w:top w:w="0" w:type="dxa"/>
              <w:left w:w="0" w:type="dxa"/>
              <w:bottom w:w="0" w:type="dxa"/>
              <w:right w:w="0" w:type="dxa"/>
            </w:tcMar>
            <w:vAlign w:val="center"/>
          </w:tcPr>
          <w:p w14:paraId="22676BFF" w14:textId="77777777" w:rsidR="005879B1" w:rsidRDefault="00A97397">
            <w:pPr>
              <w:pBdr>
                <w:top w:val="none" w:sz="0" w:space="0" w:color="000000"/>
                <w:left w:val="none" w:sz="0" w:space="0" w:color="000000"/>
                <w:bottom w:val="none" w:sz="0" w:space="0" w:color="000000"/>
                <w:right w:val="none" w:sz="0" w:space="0" w:color="000000"/>
              </w:pBdr>
              <w:spacing w:before="100" w:after="100" w:line="240" w:lineRule="auto"/>
              <w:ind w:left="100" w:right="100"/>
              <w:rPr>
                <w:rFonts w:eastAsia="Verdana" w:cs="Verdana"/>
                <w:color w:val="252C65"/>
                <w:sz w:val="20"/>
                <w:szCs w:val="20"/>
              </w:rPr>
            </w:pPr>
            <w:r>
              <w:rPr>
                <w:rFonts w:eastAsia="Verdana" w:cs="Verdana"/>
                <w:color w:val="252C65"/>
                <w:sz w:val="20"/>
                <w:szCs w:val="20"/>
              </w:rPr>
              <w:t>Negative</w:t>
            </w:r>
          </w:p>
        </w:tc>
        <w:tc>
          <w:tcPr>
            <w:tcW w:w="1440" w:type="dxa"/>
            <w:tcBorders>
              <w:top w:val="none" w:sz="0" w:space="0" w:color="000000"/>
              <w:left w:val="none" w:sz="0" w:space="0" w:color="000000"/>
              <w:bottom w:val="single" w:sz="8" w:space="0" w:color="252C65"/>
              <w:right w:val="none" w:sz="0" w:space="0" w:color="000000"/>
            </w:tcBorders>
            <w:shd w:val="clear" w:color="auto" w:fill="FFFFFF"/>
            <w:tcMar>
              <w:top w:w="0" w:type="dxa"/>
              <w:left w:w="0" w:type="dxa"/>
              <w:bottom w:w="0" w:type="dxa"/>
              <w:right w:w="0" w:type="dxa"/>
            </w:tcMar>
            <w:vAlign w:val="center"/>
          </w:tcPr>
          <w:p w14:paraId="74A6DC37" w14:textId="77777777" w:rsidR="005879B1" w:rsidRDefault="00A97397">
            <w:pPr>
              <w:pBdr>
                <w:top w:val="none" w:sz="0" w:space="0" w:color="000000"/>
                <w:left w:val="none" w:sz="0" w:space="0" w:color="000000"/>
                <w:bottom w:val="none" w:sz="0" w:space="0" w:color="000000"/>
                <w:right w:val="none" w:sz="0" w:space="0" w:color="000000"/>
              </w:pBdr>
              <w:spacing w:before="100" w:after="100" w:line="240" w:lineRule="auto"/>
              <w:ind w:left="100" w:right="100"/>
              <w:rPr>
                <w:rFonts w:eastAsia="Verdana" w:cs="Verdana"/>
                <w:color w:val="252C65"/>
                <w:sz w:val="20"/>
                <w:szCs w:val="20"/>
              </w:rPr>
            </w:pPr>
            <w:r>
              <w:rPr>
                <w:rFonts w:eastAsia="Verdana" w:cs="Verdana"/>
                <w:color w:val="252C65"/>
                <w:sz w:val="20"/>
                <w:szCs w:val="20"/>
              </w:rPr>
              <w:t>Negative</w:t>
            </w:r>
          </w:p>
        </w:tc>
      </w:tr>
    </w:tbl>
    <w:p w14:paraId="050957D7" w14:textId="77777777" w:rsidR="005879B1" w:rsidRDefault="00A97397">
      <w:pPr>
        <w:pStyle w:val="Heading2"/>
      </w:pPr>
      <w:bookmarkStart w:id="112" w:name="_Toc197957621"/>
      <w:bookmarkStart w:id="113" w:name="X5b6ae0b43b1c5393bf7c04e4cd901cba5a9c518"/>
      <w:bookmarkEnd w:id="110"/>
      <w:r>
        <w:t>Rating the overall effectiveness of an intervention</w:t>
      </w:r>
      <w:bookmarkEnd w:id="112"/>
    </w:p>
    <w:p w14:paraId="527B94BE" w14:textId="77777777" w:rsidR="005879B1" w:rsidRDefault="00A97397">
      <w:r>
        <w:t>Once we have an effectiveness rating for each outcome domain we then combine these ratings to arrive at an overall rating of a programme. Because we are combining five outcome domains, the number of combinations of results becomes much greater. We use the following steps to determine an intervention’s overall effectiveness.</w:t>
      </w:r>
    </w:p>
    <w:p w14:paraId="6A061B5B" w14:textId="77777777" w:rsidR="005879B1" w:rsidRDefault="00A97397" w:rsidP="004357B9">
      <w:pPr>
        <w:numPr>
          <w:ilvl w:val="0"/>
          <w:numId w:val="24"/>
        </w:numPr>
      </w:pPr>
      <w:r>
        <w:t>Convert outcome domain impacts into numerical values: positive = 1, likely positive = 0.5, no difference = 0, likely negative = 0.5 and negative = 1.</w:t>
      </w:r>
    </w:p>
    <w:p w14:paraId="07546634" w14:textId="77777777" w:rsidR="005879B1" w:rsidRDefault="00A97397" w:rsidP="004357B9">
      <w:pPr>
        <w:numPr>
          <w:ilvl w:val="0"/>
          <w:numId w:val="24"/>
        </w:numPr>
      </w:pPr>
      <w:r>
        <w:t>Sum positive and negative impacts separately. If sum of negative effects equals zero then rate effective if sum of positive effects is greater or equal to 1, else if equal to 0.5 then promising. Conversely if sum of positive effects equals zero then rate negative if sum of negative effects is greater or equal to 1, else if equal to 0.5 then likely negative. If both sum to zero, then the rating is ‘no difference’.</w:t>
      </w:r>
    </w:p>
    <w:p w14:paraId="4BE17AD5" w14:textId="77777777" w:rsidR="005879B1" w:rsidRDefault="00A97397" w:rsidP="004357B9">
      <w:pPr>
        <w:numPr>
          <w:ilvl w:val="0"/>
          <w:numId w:val="24"/>
        </w:numPr>
      </w:pPr>
      <w:r>
        <w:t>If sum of positive and negative effects both exceed zero, then assigned mixed if both negative and positive effect sums exceed one. Else adjust to promising if sum of negative equals 0.5 or likely negative if sum of positive equals 0.5.</w:t>
      </w:r>
    </w:p>
    <w:p w14:paraId="24322216" w14:textId="77777777" w:rsidR="005879B1" w:rsidRDefault="00A97397" w:rsidP="004357B9">
      <w:pPr>
        <w:numPr>
          <w:ilvl w:val="0"/>
          <w:numId w:val="24"/>
        </w:numPr>
      </w:pPr>
      <w:r>
        <w:lastRenderedPageBreak/>
        <w:t>If the rating is negative, likely negative or mixed and the outcome period is less than two years, then the rating is ‘Too soon to rate’. If the outcome period is less than one year, then the rating is always ‘Too soon to rate’.</w:t>
      </w:r>
    </w:p>
    <w:p w14:paraId="32525E44" w14:textId="77777777" w:rsidR="005879B1" w:rsidRDefault="00A97397" w:rsidP="004357B9">
      <w:pPr>
        <w:numPr>
          <w:ilvl w:val="0"/>
          <w:numId w:val="24"/>
        </w:numPr>
      </w:pPr>
      <w:r>
        <w:t>Not feasible is a manual override where the assessment is that the current method is not sufficiently robust to rate the intervention’s effectiveness.</w:t>
      </w:r>
    </w:p>
    <w:p w14:paraId="1CF719FE" w14:textId="77777777" w:rsidR="005879B1" w:rsidRDefault="00A97397">
      <w:r>
        <w:t>Based on these rules, the definition of each of the effectiveness ratings is as follows.</w:t>
      </w:r>
    </w:p>
    <w:p w14:paraId="4EACDD18" w14:textId="77777777" w:rsidR="005879B1" w:rsidRDefault="00A97397" w:rsidP="004357B9">
      <w:pPr>
        <w:numPr>
          <w:ilvl w:val="0"/>
          <w:numId w:val="25"/>
        </w:numPr>
      </w:pPr>
      <w:r>
        <w:rPr>
          <w:b/>
          <w:bCs/>
        </w:rPr>
        <w:t>Effective</w:t>
      </w:r>
      <w:r>
        <w:t>: EA interventions are rated effective only if they are effective against the majority of outcome domains and they show no sign of having a negative impact on any other outcome domain. We do not wait two years before rating a programme as effective.</w:t>
      </w:r>
    </w:p>
    <w:p w14:paraId="58AAC7EB" w14:textId="77777777" w:rsidR="005879B1" w:rsidRDefault="00A97397" w:rsidP="004357B9">
      <w:pPr>
        <w:numPr>
          <w:ilvl w:val="0"/>
          <w:numId w:val="25"/>
        </w:numPr>
      </w:pPr>
      <w:r>
        <w:rPr>
          <w:b/>
          <w:bCs/>
        </w:rPr>
        <w:t>Promising</w:t>
      </w:r>
      <w:r>
        <w:t>: promising interventions are those that are effective or likely effective for at least one outcome and show no negative effects.</w:t>
      </w:r>
    </w:p>
    <w:p w14:paraId="2AC47949" w14:textId="77777777" w:rsidR="005879B1" w:rsidRDefault="00A97397" w:rsidP="004357B9">
      <w:pPr>
        <w:numPr>
          <w:ilvl w:val="0"/>
          <w:numId w:val="25"/>
        </w:numPr>
      </w:pPr>
      <w:r>
        <w:rPr>
          <w:b/>
          <w:bCs/>
        </w:rPr>
        <w:t>Mixed</w:t>
      </w:r>
      <w:r>
        <w:t>: mixed covers interventions that show both positive and negative effects across outcome domains. We wait until we have two years of outcome data before rating a programme as mixed.</w:t>
      </w:r>
    </w:p>
    <w:p w14:paraId="4E6DA31C" w14:textId="77777777" w:rsidR="005879B1" w:rsidRDefault="00A97397" w:rsidP="004357B9">
      <w:pPr>
        <w:numPr>
          <w:ilvl w:val="0"/>
          <w:numId w:val="25"/>
        </w:numPr>
      </w:pPr>
      <w:r>
        <w:rPr>
          <w:b/>
          <w:bCs/>
        </w:rPr>
        <w:t>Makes no difference</w:t>
      </w:r>
      <w:r>
        <w:t>: includes all EA interventions that have no effect on any outcome domain. We wait until we have two years of outcome data before rating an intervention as making no difference.</w:t>
      </w:r>
    </w:p>
    <w:p w14:paraId="5F174ED9" w14:textId="77777777" w:rsidR="005879B1" w:rsidRDefault="00A97397" w:rsidP="004357B9">
      <w:pPr>
        <w:numPr>
          <w:ilvl w:val="0"/>
          <w:numId w:val="25"/>
        </w:numPr>
      </w:pPr>
      <w:r>
        <w:rPr>
          <w:b/>
          <w:bCs/>
        </w:rPr>
        <w:t>Likely negative</w:t>
      </w:r>
      <w:r>
        <w:t>: interventions are in this group because either a minority of outcome domains are rated as negative with the remainder having no impact. Or, the majority are negative, with a minority having the possibility of being positive. We wait until we have two years of outcome data before rating an intervention as likely negative.</w:t>
      </w:r>
    </w:p>
    <w:p w14:paraId="1C38C755" w14:textId="77777777" w:rsidR="005879B1" w:rsidRDefault="00A97397" w:rsidP="004357B9">
      <w:pPr>
        <w:numPr>
          <w:ilvl w:val="0"/>
          <w:numId w:val="25"/>
        </w:numPr>
      </w:pPr>
      <w:r>
        <w:rPr>
          <w:b/>
          <w:bCs/>
        </w:rPr>
        <w:t>Negative</w:t>
      </w:r>
      <w:r>
        <w:t>: interventions where most outcome domains are rated as negative. We wait until we have two years of outcome data before rating an intervention negatively.</w:t>
      </w:r>
    </w:p>
    <w:p w14:paraId="4943BBF4" w14:textId="77777777" w:rsidR="005879B1" w:rsidRDefault="00A97397" w:rsidP="004357B9">
      <w:pPr>
        <w:numPr>
          <w:ilvl w:val="0"/>
          <w:numId w:val="25"/>
        </w:numPr>
      </w:pPr>
      <w:r>
        <w:rPr>
          <w:b/>
          <w:bCs/>
        </w:rPr>
        <w:t>Too soon to rate</w:t>
      </w:r>
      <w:r>
        <w:t>: except for interventions rated as effective or promising, interventions with less than two years of observed impacts are rated as too soon to rate. The reason for waiting at least two years is that most EA interventions have negative effects in the short-term (eg lock-in effects) and it is necessary to wait sometime after commencement before positive effects are potentially observed.</w:t>
      </w:r>
    </w:p>
    <w:p w14:paraId="468E62B2" w14:textId="77777777" w:rsidR="005879B1" w:rsidRDefault="00A97397" w:rsidP="004357B9">
      <w:pPr>
        <w:numPr>
          <w:ilvl w:val="0"/>
          <w:numId w:val="25"/>
        </w:numPr>
      </w:pPr>
      <w:r>
        <w:rPr>
          <w:b/>
          <w:bCs/>
        </w:rPr>
        <w:t>Not feasible</w:t>
      </w:r>
      <w:r>
        <w:t>: several interventions have been identified as not currently feasible to estimate their effectiveness.</w:t>
      </w:r>
    </w:p>
    <w:p w14:paraId="5F6D2572" w14:textId="77777777" w:rsidR="005879B1" w:rsidRDefault="00A97397">
      <w:pPr>
        <w:pStyle w:val="Heading1"/>
      </w:pPr>
      <w:bookmarkStart w:id="114" w:name="_Toc197957622"/>
      <w:bookmarkStart w:id="115" w:name="references"/>
      <w:bookmarkEnd w:id="113"/>
      <w:bookmarkEnd w:id="106"/>
      <w:r>
        <w:lastRenderedPageBreak/>
        <w:t>References</w:t>
      </w:r>
      <w:bookmarkEnd w:id="114"/>
    </w:p>
    <w:p w14:paraId="79427DFF" w14:textId="77777777" w:rsidR="005879B1" w:rsidRDefault="00A97397">
      <w:r>
        <w:t>Crichton, S. (2013) The Impact of Further Education on the Employment Outcomes of Beneficiaries, Ministry of Business, Innovation &amp; Employment, Wellington (File ref:A7337408)</w:t>
      </w:r>
      <w:hyperlink r:id="rId19">
        <w:r>
          <w:rPr>
            <w:rStyle w:val="Hyperlink"/>
          </w:rPr>
          <w:t>link</w:t>
        </w:r>
      </w:hyperlink>
    </w:p>
    <w:p w14:paraId="06E89BF2" w14:textId="77777777" w:rsidR="005879B1" w:rsidRDefault="00A97397">
      <w:pPr>
        <w:pStyle w:val="BodyText"/>
      </w:pPr>
      <w:r>
        <w:t>Dixon, S. &amp; Crichton, S. (2016) Evaluation of the Impact of the Youth Service: NEET programme, The Treasury, Wellington (File ref:A9299141)</w:t>
      </w:r>
      <w:hyperlink r:id="rId20">
        <w:r>
          <w:rPr>
            <w:rStyle w:val="Hyperlink"/>
          </w:rPr>
          <w:t>link</w:t>
        </w:r>
      </w:hyperlink>
    </w:p>
    <w:p w14:paraId="24B35394" w14:textId="77777777" w:rsidR="005879B1" w:rsidRDefault="00A97397">
      <w:pPr>
        <w:pStyle w:val="BodyText"/>
      </w:pPr>
      <w:r>
        <w:t>Fyfe, C., Mare D., and Taptiklis, P. (2023) COVID-19 Wage Subsidy: Outcome Evaluation - Value for Money, Motu Working Paper 23-04, Motu, Wellington</w:t>
      </w:r>
      <w:hyperlink r:id="rId21">
        <w:r>
          <w:rPr>
            <w:rStyle w:val="Hyperlink"/>
          </w:rPr>
          <w:t>link</w:t>
        </w:r>
      </w:hyperlink>
    </w:p>
    <w:p w14:paraId="0E9A253E" w14:textId="77777777" w:rsidR="005879B1" w:rsidRDefault="00A97397">
      <w:pPr>
        <w:pStyle w:val="BodyText"/>
      </w:pPr>
      <w:r>
        <w:t>MSD (2013) Impact of the 52-week Unemployment Benefit Reapplication Process Update 2: Technical Report, Ministry of Social Development, Wellington (File ref:A6516526)</w:t>
      </w:r>
      <w:hyperlink r:id="rId22">
        <w:r>
          <w:rPr>
            <w:rStyle w:val="Hyperlink"/>
          </w:rPr>
          <w:t>link</w:t>
        </w:r>
      </w:hyperlink>
    </w:p>
    <w:p w14:paraId="4A937225" w14:textId="77777777" w:rsidR="005879B1" w:rsidRDefault="00A97397">
      <w:pPr>
        <w:pStyle w:val="BodyText"/>
      </w:pPr>
      <w:r>
        <w:t>MSD (2018) In-work Support service and In-Work Payment trial, Ministry of Social Development, Wellington (File ref:A10173601)</w:t>
      </w:r>
      <w:hyperlink>
        <w:r>
          <w:rPr>
            <w:rStyle w:val="Hyperlink"/>
          </w:rPr>
          <w:t>link</w:t>
        </w:r>
      </w:hyperlink>
    </w:p>
    <w:p w14:paraId="158EDF3E" w14:textId="77777777" w:rsidR="005879B1" w:rsidRDefault="00A97397">
      <w:pPr>
        <w:pStyle w:val="BodyText"/>
      </w:pPr>
      <w:r>
        <w:t>McLeod, K., Dixon, S. &amp; Crichton, S. (2016) Evaluation of the Impact of the Youth Service: Youth Payment and Young Parent Payment, The Treasury, Wellington (File ref:A9299143)</w:t>
      </w:r>
      <w:hyperlink r:id="rId23">
        <w:r>
          <w:rPr>
            <w:rStyle w:val="Hyperlink"/>
          </w:rPr>
          <w:t>link</w:t>
        </w:r>
      </w:hyperlink>
    </w:p>
    <w:p w14:paraId="25171349" w14:textId="77777777" w:rsidR="005879B1" w:rsidRDefault="00A97397">
      <w:pPr>
        <w:pStyle w:val="BodyText"/>
      </w:pPr>
      <w:r>
        <w:t>de Boer, M. &amp; Ku, B. (2018) Effectiveness of the Limited Service Volunteer programme: Financial Year 2014/2015, Ministry of Social Development, Wellington (File ref:A8915021)</w:t>
      </w:r>
      <w:hyperlink r:id="rId24">
        <w:r>
          <w:rPr>
            <w:rStyle w:val="Hyperlink"/>
          </w:rPr>
          <w:t>link</w:t>
        </w:r>
      </w:hyperlink>
    </w:p>
    <w:p w14:paraId="014B8F1F" w14:textId="77777777" w:rsidR="005879B1" w:rsidRDefault="00A97397">
      <w:pPr>
        <w:pStyle w:val="BodyText"/>
      </w:pPr>
      <w:r>
        <w:t>de Boer, M. &amp; Ku, B. (2019) Cost-effectiveness of intensive case management services (from October 2012 to July 2017): Evaluation report, Ministry of Social Development, Wellington</w:t>
      </w:r>
      <w:hyperlink r:id="rId25">
        <w:r>
          <w:rPr>
            <w:rStyle w:val="Hyperlink"/>
          </w:rPr>
          <w:t>link</w:t>
        </w:r>
      </w:hyperlink>
    </w:p>
    <w:p w14:paraId="4ABE4332" w14:textId="77777777" w:rsidR="005879B1" w:rsidRDefault="00A97397">
      <w:pPr>
        <w:pStyle w:val="BodyText"/>
      </w:pPr>
      <w:r>
        <w:t>de Boer, M. &amp; Ku, B., (2017) Service Delivery Cost Allocation Model for Individual Outputs: 2017 version, Ministry of Social Development, Wellington (File ref:A9317887)</w:t>
      </w:r>
      <w:hyperlink>
        <w:r>
          <w:rPr>
            <w:rStyle w:val="Hyperlink"/>
          </w:rPr>
          <w:t>link</w:t>
        </w:r>
      </w:hyperlink>
    </w:p>
    <w:p w14:paraId="0024B215" w14:textId="77777777" w:rsidR="005879B1" w:rsidRDefault="00A97397">
      <w:pPr>
        <w:pStyle w:val="BodyText"/>
      </w:pPr>
      <w:r>
        <w:t>de Boer, M. &amp; Robertson, O. (2025) Effectiveness of MSD employment assistance: Technical report for 2022/2023 financial year, Ministry of Social Development, Wellington</w:t>
      </w:r>
      <w:hyperlink>
        <w:r>
          <w:rPr>
            <w:rStyle w:val="Hyperlink"/>
          </w:rPr>
          <w:t>link</w:t>
        </w:r>
      </w:hyperlink>
    </w:p>
    <w:p w14:paraId="1AD07133" w14:textId="77777777" w:rsidR="005879B1" w:rsidRDefault="00A97397">
      <w:pPr>
        <w:pStyle w:val="BodyText"/>
      </w:pPr>
      <w:r>
        <w:t>de Boer, M. (2003) Impact of Jump Start seminar on uptake of the unemployment benefit, Ministry of Social Development, Wellington (File ref:A177933)</w:t>
      </w:r>
      <w:hyperlink>
        <w:r>
          <w:rPr>
            <w:rStyle w:val="Hyperlink"/>
          </w:rPr>
          <w:t>link</w:t>
        </w:r>
      </w:hyperlink>
    </w:p>
    <w:bookmarkEnd w:id="115"/>
    <w:sectPr w:rsidR="005879B1" w:rsidSect="005F0906">
      <w:headerReference w:type="even" r:id="rId26"/>
      <w:headerReference w:type="default" r:id="rId27"/>
      <w:footerReference w:type="even" r:id="rId28"/>
      <w:footerReference w:type="default" r:id="rId29"/>
      <w:headerReference w:type="first" r:id="rId30"/>
      <w:pgSz w:w="11900" w:h="16840"/>
      <w:pgMar w:top="1134" w:right="1701" w:bottom="1701" w:left="1701" w:header="709"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4EAE00" w14:textId="77777777" w:rsidR="00A97397" w:rsidRDefault="00A97397">
      <w:pPr>
        <w:spacing w:before="0" w:after="0" w:line="240" w:lineRule="auto"/>
      </w:pPr>
      <w:r>
        <w:separator/>
      </w:r>
    </w:p>
  </w:endnote>
  <w:endnote w:type="continuationSeparator" w:id="0">
    <w:p w14:paraId="3DCFE766" w14:textId="77777777" w:rsidR="00A97397" w:rsidRDefault="00A97397">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imes New Roman (Body CS)">
    <w:altName w:val="Times New Roman"/>
    <w:charset w:val="00"/>
    <w:family w:val="roman"/>
    <w:pitch w:val="default"/>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5663078"/>
      <w:docPartObj>
        <w:docPartGallery w:val="Page Numbers (Bottom of Page)"/>
        <w:docPartUnique/>
      </w:docPartObj>
    </w:sdtPr>
    <w:sdtEndPr>
      <w:rPr>
        <w:rStyle w:val="PageNumber"/>
      </w:rPr>
    </w:sdtEndPr>
    <w:sdtContent>
      <w:p w14:paraId="3C0B4AD2" w14:textId="77777777" w:rsidR="002E0570" w:rsidRDefault="00D2300C" w:rsidP="005F090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2088599042"/>
      <w:docPartObj>
        <w:docPartGallery w:val="Page Numbers (Bottom of Page)"/>
        <w:docPartUnique/>
      </w:docPartObj>
    </w:sdtPr>
    <w:sdtEndPr>
      <w:rPr>
        <w:rStyle w:val="PageNumber"/>
      </w:rPr>
    </w:sdtEndPr>
    <w:sdtContent>
      <w:p w14:paraId="1842248C" w14:textId="77777777" w:rsidR="002E0570" w:rsidRDefault="00D2300C" w:rsidP="005F0906">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C80C28F" w14:textId="77777777" w:rsidR="002E0570" w:rsidRDefault="002E0570" w:rsidP="005F090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Georgia" w:hAnsi="Georgia"/>
        <w:b/>
        <w:bCs/>
        <w:color w:val="252C65" w:themeColor="text2"/>
      </w:rPr>
      <w:id w:val="1535928435"/>
      <w:docPartObj>
        <w:docPartGallery w:val="Page Numbers (Bottom of Page)"/>
        <w:docPartUnique/>
      </w:docPartObj>
    </w:sdtPr>
    <w:sdtEndPr>
      <w:rPr>
        <w:rStyle w:val="PageNumber"/>
      </w:rPr>
    </w:sdtEndPr>
    <w:sdtContent>
      <w:p w14:paraId="5D63DE11" w14:textId="77777777" w:rsidR="002E0570" w:rsidRPr="00A97F77" w:rsidRDefault="00D2300C" w:rsidP="005F0906">
        <w:pPr>
          <w:pStyle w:val="Footer"/>
          <w:framePr w:wrap="none" w:vAnchor="text" w:hAnchor="margin" w:xAlign="right" w:y="1"/>
          <w:rPr>
            <w:rStyle w:val="PageNumber"/>
            <w:rFonts w:ascii="Georgia" w:hAnsi="Georgia"/>
            <w:b/>
            <w:bCs/>
            <w:color w:val="252C65" w:themeColor="text2"/>
          </w:rPr>
        </w:pPr>
        <w:r>
          <w:rPr>
            <w:rStyle w:val="PageNumber"/>
            <w:rFonts w:ascii="Georgia" w:hAnsi="Georgia"/>
            <w:b/>
            <w:bCs/>
            <w:color w:val="252C65" w:themeColor="text2"/>
          </w:rPr>
          <w:t xml:space="preserve">Page </w:t>
        </w:r>
        <w:r w:rsidRPr="00A97F77">
          <w:rPr>
            <w:rStyle w:val="PageNumber"/>
            <w:rFonts w:ascii="Georgia" w:hAnsi="Georgia"/>
            <w:b/>
            <w:bCs/>
            <w:color w:val="252C65" w:themeColor="text2"/>
          </w:rPr>
          <w:fldChar w:fldCharType="begin"/>
        </w:r>
        <w:r w:rsidRPr="00A97F77">
          <w:rPr>
            <w:rStyle w:val="PageNumber"/>
            <w:rFonts w:ascii="Georgia" w:hAnsi="Georgia"/>
            <w:b/>
            <w:bCs/>
            <w:color w:val="252C65" w:themeColor="text2"/>
          </w:rPr>
          <w:instrText xml:space="preserve"> PAGE </w:instrText>
        </w:r>
        <w:r w:rsidRPr="00A97F77">
          <w:rPr>
            <w:rStyle w:val="PageNumber"/>
            <w:rFonts w:ascii="Georgia" w:hAnsi="Georgia"/>
            <w:b/>
            <w:bCs/>
            <w:color w:val="252C65" w:themeColor="text2"/>
          </w:rPr>
          <w:fldChar w:fldCharType="separate"/>
        </w:r>
        <w:r w:rsidRPr="00A97F77">
          <w:rPr>
            <w:rStyle w:val="PageNumber"/>
            <w:rFonts w:ascii="Georgia" w:hAnsi="Georgia"/>
            <w:b/>
            <w:bCs/>
            <w:noProof/>
            <w:color w:val="252C65" w:themeColor="text2"/>
          </w:rPr>
          <w:t>1</w:t>
        </w:r>
        <w:r w:rsidRPr="00A97F77">
          <w:rPr>
            <w:rStyle w:val="PageNumber"/>
            <w:rFonts w:ascii="Georgia" w:hAnsi="Georgia"/>
            <w:b/>
            <w:bCs/>
            <w:color w:val="252C65" w:themeColor="text2"/>
          </w:rPr>
          <w:fldChar w:fldCharType="end"/>
        </w:r>
      </w:p>
    </w:sdtContent>
  </w:sdt>
  <w:p w14:paraId="5B4B27E3" w14:textId="0D6A0510" w:rsidR="002E0570" w:rsidRPr="00A97F77" w:rsidRDefault="002E0570" w:rsidP="005F0906">
    <w:pPr>
      <w:pStyle w:val="Footer"/>
      <w:ind w:right="360"/>
      <w:rPr>
        <w:rFonts w:ascii="Georgia" w:hAnsi="Georgia"/>
        <w:b/>
        <w:bCs/>
        <w:color w:val="252C65" w:themeColor="text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341093" w14:textId="77777777" w:rsidR="00A97397" w:rsidRDefault="00A97397">
      <w:pPr>
        <w:spacing w:before="0" w:after="0" w:line="240" w:lineRule="auto"/>
      </w:pPr>
      <w:r>
        <w:separator/>
      </w:r>
    </w:p>
  </w:footnote>
  <w:footnote w:type="continuationSeparator" w:id="0">
    <w:p w14:paraId="4A67F738" w14:textId="77777777" w:rsidR="00A97397" w:rsidRDefault="00A97397">
      <w:pPr>
        <w:spacing w:before="0" w:after="0" w:line="240" w:lineRule="auto"/>
      </w:pPr>
      <w:r>
        <w:continuationSeparator/>
      </w:r>
    </w:p>
  </w:footnote>
  <w:footnote w:id="1">
    <w:p w14:paraId="0F93C2C2" w14:textId="77777777" w:rsidR="005879B1" w:rsidRDefault="00A97397">
      <w:pPr>
        <w:pStyle w:val="FootnoteText"/>
      </w:pPr>
      <w:r>
        <w:rPr>
          <w:rStyle w:val="FootnoteReference"/>
        </w:rPr>
        <w:footnoteRef/>
      </w:r>
      <w:r>
        <w:t xml:space="preserve"> We use the term here to refer to how public money is spent, see: </w:t>
      </w:r>
      <w:hyperlink r:id="rId1" w:anchor="section-1">
        <w:r>
          <w:rPr>
            <w:rStyle w:val="Hyperlink"/>
          </w:rPr>
          <w:t>https://treasury.govt.nz/publications/guide/guide-appropriations-html#section-1</w:t>
        </w:r>
      </w:hyperlink>
    </w:p>
  </w:footnote>
  <w:footnote w:id="2">
    <w:p w14:paraId="32A33B75" w14:textId="77777777" w:rsidR="005879B1" w:rsidRDefault="00A97397">
      <w:pPr>
        <w:pStyle w:val="FootnoteText"/>
      </w:pPr>
      <w:r>
        <w:rPr>
          <w:rStyle w:val="FootnoteReference"/>
        </w:rPr>
        <w:footnoteRef/>
      </w:r>
      <w:r>
        <w:t xml:space="preserve"> It is important to emphasise that quantitative counterfactual designs are not the only or primary evaluation method. To fully understand the effect of an intervention requires a mixed-method approach. Specifically, we need additional information to help understand the context and operation of the intervention itself to fully explain why the intervention has the impacts that it does. Similarly, not all outcomes are always quantified in a way suitable for impact evaluation.</w:t>
      </w:r>
    </w:p>
  </w:footnote>
  <w:footnote w:id="3">
    <w:p w14:paraId="3B2CCD13" w14:textId="77777777" w:rsidR="005879B1" w:rsidRDefault="00A97397">
      <w:pPr>
        <w:pStyle w:val="FootnoteText"/>
      </w:pPr>
      <w:r>
        <w:rPr>
          <w:rStyle w:val="FootnoteReference"/>
        </w:rPr>
        <w:footnoteRef/>
      </w:r>
      <w:r>
        <w:t xml:space="preserve"> Within a randomised control trial, the treatment and control groups share the same statistical profile, rather than each treatment group member having an identical twin in the control group.</w:t>
      </w:r>
    </w:p>
  </w:footnote>
  <w:footnote w:id="4">
    <w:p w14:paraId="40C41603" w14:textId="77777777" w:rsidR="005879B1" w:rsidRDefault="00A97397">
      <w:pPr>
        <w:pStyle w:val="FootnoteText"/>
      </w:pPr>
      <w:r>
        <w:rPr>
          <w:rStyle w:val="FootnoteReference"/>
        </w:rPr>
        <w:footnoteRef/>
      </w:r>
      <w:r>
        <w:t xml:space="preserve"> For more detail on the SNZ IDI, please visit </w:t>
      </w:r>
      <w:hyperlink r:id="rId2">
        <w:r>
          <w:rPr>
            <w:rStyle w:val="Hyperlink"/>
          </w:rPr>
          <w:t>https://www.stats.govt.nz/integrated-data/integrated-data-infrastructure/</w:t>
        </w:r>
      </w:hyperlink>
    </w:p>
  </w:footnote>
  <w:footnote w:id="5">
    <w:p w14:paraId="3D8D4F33" w14:textId="77777777" w:rsidR="005879B1" w:rsidRDefault="00A97397">
      <w:pPr>
        <w:pStyle w:val="FootnoteText"/>
      </w:pPr>
      <w:r>
        <w:rPr>
          <w:rStyle w:val="FootnoteReference"/>
        </w:rPr>
        <w:footnoteRef/>
      </w:r>
      <w:r>
        <w:t xml:space="preserve"> This is usually a calendar year. So, we identify all participants in an EA intervention in a given year (say 2018) and define everyone who did not participate in the intervention in 2018 as non-participants.</w:t>
      </w:r>
    </w:p>
  </w:footnote>
  <w:footnote w:id="6">
    <w:p w14:paraId="712436C2" w14:textId="77777777" w:rsidR="005879B1" w:rsidRDefault="00A97397">
      <w:pPr>
        <w:pStyle w:val="FootnoteText"/>
      </w:pPr>
      <w:r>
        <w:rPr>
          <w:rStyle w:val="FootnoteReference"/>
        </w:rPr>
        <w:footnoteRef/>
      </w:r>
      <w:r>
        <w:t xml:space="preserve"> Lock-in refers to the phenomenon that, while on the intervention, participants are less likely to move into employment than the comparison group. As a result, when participants finish an intervention, their average time on the benefit is longer than that of the comparison group. Therefore, if the intervention increases their employment prospects at completion it still takes time after completion before the intervention shows a cumulative positive impact.</w:t>
      </w:r>
    </w:p>
  </w:footnote>
  <w:footnote w:id="7">
    <w:p w14:paraId="1555AB83" w14:textId="77777777" w:rsidR="005879B1" w:rsidRDefault="00A97397">
      <w:pPr>
        <w:pStyle w:val="FootnoteText"/>
      </w:pPr>
      <w:r>
        <w:rPr>
          <w:rStyle w:val="FootnoteReference"/>
        </w:rPr>
        <w:footnoteRef/>
      </w:r>
      <w:r>
        <w:t xml:space="preserve"> The interval impact will always converge to zero over the very long term as all members of both groups will eventually die (ignoring potential intergenerational effects). The policy question is whether this conversion occurs earlier than this point. Interventions that have persistent long-term impacts (eg continue for more than 10 years) would, on balance, generate a larger overall cumulative impact than those with short term impacts (eg impacts lasting less than one year). At present we have not included second order effects such as intergenerational impacts in our impact estimates, once these have been estimated, we may need to examine how to project long term effects for these people. However, because of the relatively high discount rate used (discussed later), any long or very-long term impacts have little bearing on the overall CBA result.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FBDCF" w14:textId="4C1F6886" w:rsidR="00A45241" w:rsidRDefault="004357B9">
    <w:pPr>
      <w:pStyle w:val="Header"/>
    </w:pPr>
    <w:r>
      <w:rPr>
        <w:noProof/>
      </w:rPr>
      <mc:AlternateContent>
        <mc:Choice Requires="wps">
          <w:drawing>
            <wp:anchor distT="0" distB="0" distL="0" distR="0" simplePos="0" relativeHeight="251659264" behindDoc="0" locked="0" layoutInCell="1" allowOverlap="1" wp14:anchorId="6BF9C1C1" wp14:editId="74F2A4D1">
              <wp:simplePos x="635" y="635"/>
              <wp:positionH relativeFrom="page">
                <wp:align>center</wp:align>
              </wp:positionH>
              <wp:positionV relativeFrom="page">
                <wp:align>top</wp:align>
              </wp:positionV>
              <wp:extent cx="443865" cy="443865"/>
              <wp:effectExtent l="0" t="0" r="8890" b="4445"/>
              <wp:wrapNone/>
              <wp:docPr id="1570797193" name="Text Box 2"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C2217E6" w14:textId="22FBB29D" w:rsidR="004357B9" w:rsidRPr="004357B9" w:rsidRDefault="004357B9" w:rsidP="004357B9">
                          <w:pPr>
                            <w:spacing w:after="0"/>
                            <w:rPr>
                              <w:rFonts w:ascii="Calibri" w:eastAsia="Calibri" w:hAnsi="Calibri" w:cs="Calibri"/>
                              <w:noProof/>
                              <w:color w:val="000000"/>
                              <w:sz w:val="20"/>
                              <w:szCs w:val="20"/>
                            </w:rPr>
                          </w:pPr>
                          <w:r w:rsidRPr="004357B9">
                            <w:rPr>
                              <w:rFonts w:ascii="Calibri" w:eastAsia="Calibri" w:hAnsi="Calibri" w:cs="Calibri"/>
                              <w:noProof/>
                              <w:color w:val="000000"/>
                              <w:sz w:val="20"/>
                              <w:szCs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BF9C1C1" id="_x0000_t202" coordsize="21600,21600" o:spt="202" path="m,l,21600r21600,l21600,xe">
              <v:stroke joinstyle="miter"/>
              <v:path gradientshapeok="t" o:connecttype="rect"/>
            </v:shapetype>
            <v:shape id="_x0000_s1029" type="#_x0000_t202" alt="IN-CONFIDENCE" style="position:absolute;margin-left:0;margin-top:0;width:34.95pt;height:34.9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fill o:detectmouseclick="t"/>
              <v:textbox style="mso-fit-shape-to-text:t" inset="0,15pt,0,0">
                <w:txbxContent>
                  <w:p w14:paraId="5C2217E6" w14:textId="22FBB29D" w:rsidR="004357B9" w:rsidRPr="004357B9" w:rsidRDefault="004357B9" w:rsidP="004357B9">
                    <w:pPr>
                      <w:spacing w:after="0"/>
                      <w:rPr>
                        <w:rFonts w:ascii="Calibri" w:eastAsia="Calibri" w:hAnsi="Calibri" w:cs="Calibri"/>
                        <w:noProof/>
                        <w:color w:val="000000"/>
                        <w:sz w:val="20"/>
                        <w:szCs w:val="20"/>
                      </w:rPr>
                    </w:pPr>
                    <w:r w:rsidRPr="004357B9">
                      <w:rPr>
                        <w:rFonts w:ascii="Calibri" w:eastAsia="Calibri" w:hAnsi="Calibri" w:cs="Calibri"/>
                        <w:noProof/>
                        <w:color w:val="000000"/>
                        <w:sz w:val="20"/>
                        <w:szCs w:val="20"/>
                      </w:rPr>
                      <w:t>IN-CONFIDENCE</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F295E8" w14:textId="5EA3C088" w:rsidR="00A45241" w:rsidRDefault="004357B9">
    <w:pPr>
      <w:pStyle w:val="Header"/>
    </w:pPr>
    <w:r>
      <w:rPr>
        <w:noProof/>
      </w:rPr>
      <mc:AlternateContent>
        <mc:Choice Requires="wps">
          <w:drawing>
            <wp:anchor distT="0" distB="0" distL="0" distR="0" simplePos="0" relativeHeight="251660288" behindDoc="0" locked="0" layoutInCell="1" allowOverlap="1" wp14:anchorId="4B1E085B" wp14:editId="717181D6">
              <wp:simplePos x="1078173" y="450376"/>
              <wp:positionH relativeFrom="page">
                <wp:align>center</wp:align>
              </wp:positionH>
              <wp:positionV relativeFrom="page">
                <wp:align>top</wp:align>
              </wp:positionV>
              <wp:extent cx="443865" cy="443865"/>
              <wp:effectExtent l="0" t="0" r="8890" b="4445"/>
              <wp:wrapNone/>
              <wp:docPr id="193114847" name="Text Box 3"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3FFB735" w14:textId="6FFC0A08" w:rsidR="004357B9" w:rsidRPr="004357B9" w:rsidRDefault="004357B9" w:rsidP="004357B9">
                          <w:pPr>
                            <w:spacing w:after="0"/>
                            <w:rPr>
                              <w:rFonts w:ascii="Calibri" w:eastAsia="Calibri" w:hAnsi="Calibri" w:cs="Calibri"/>
                              <w:noProof/>
                              <w:color w:val="000000"/>
                              <w:sz w:val="20"/>
                              <w:szCs w:val="20"/>
                            </w:rPr>
                          </w:pP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B1E085B" id="_x0000_t202" coordsize="21600,21600" o:spt="202" path="m,l,21600r21600,l21600,xe">
              <v:stroke joinstyle="miter"/>
              <v:path gradientshapeok="t" o:connecttype="rect"/>
            </v:shapetype>
            <v:shape id="Text Box 3" o:spid="_x0000_s1030" type="#_x0000_t202" alt="IN-CONFIDENCE" style="position:absolute;margin-left:0;margin-top:0;width:34.95pt;height:34.9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j+oCgIAABw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Qln43db6E60lAeTvsOTq4aKr0WAV+EpwXTHCRafKZD&#10;G+hKDoPFWQ3+x9/8MZ94pyhnHQmm5JYUzZn5ZmkfUVvJmN7l1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mGj+oCgIAABwEAAAOAAAA&#10;AAAAAAAAAAAAAC4CAABkcnMvZTJvRG9jLnhtbFBLAQItABQABgAIAAAAIQDUHg1H2AAAAAMBAAAP&#10;AAAAAAAAAAAAAAAAAGQEAABkcnMvZG93bnJldi54bWxQSwUGAAAAAAQABADzAAAAaQUAAAAA&#10;" filled="f" stroked="f">
              <v:fill o:detectmouseclick="t"/>
              <v:textbox style="mso-fit-shape-to-text:t" inset="0,15pt,0,0">
                <w:txbxContent>
                  <w:p w14:paraId="03FFB735" w14:textId="6FFC0A08" w:rsidR="004357B9" w:rsidRPr="004357B9" w:rsidRDefault="004357B9" w:rsidP="004357B9">
                    <w:pPr>
                      <w:spacing w:after="0"/>
                      <w:rPr>
                        <w:rFonts w:ascii="Calibri" w:eastAsia="Calibri" w:hAnsi="Calibri" w:cs="Calibri"/>
                        <w:noProof/>
                        <w:color w:val="000000"/>
                        <w:sz w:val="20"/>
                        <w:szCs w:val="20"/>
                      </w:rPr>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EDCF58" w14:textId="258B2585" w:rsidR="00A45241" w:rsidRDefault="004357B9">
    <w:pPr>
      <w:pStyle w:val="Header"/>
    </w:pPr>
    <w:r>
      <w:rPr>
        <w:noProof/>
      </w:rPr>
      <mc:AlternateContent>
        <mc:Choice Requires="wps">
          <w:drawing>
            <wp:anchor distT="0" distB="0" distL="0" distR="0" simplePos="0" relativeHeight="251658240" behindDoc="0" locked="0" layoutInCell="1" allowOverlap="1" wp14:anchorId="662B1C75" wp14:editId="53566354">
              <wp:simplePos x="1078173" y="450376"/>
              <wp:positionH relativeFrom="page">
                <wp:align>center</wp:align>
              </wp:positionH>
              <wp:positionV relativeFrom="page">
                <wp:align>top</wp:align>
              </wp:positionV>
              <wp:extent cx="443865" cy="443865"/>
              <wp:effectExtent l="0" t="0" r="8890" b="4445"/>
              <wp:wrapNone/>
              <wp:docPr id="924893095" name="Text Box 1"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8768927" w14:textId="5714BD92" w:rsidR="004357B9" w:rsidRPr="004357B9" w:rsidRDefault="004357B9" w:rsidP="004357B9">
                          <w:pPr>
                            <w:spacing w:after="0"/>
                            <w:rPr>
                              <w:rFonts w:ascii="Calibri" w:eastAsia="Calibri" w:hAnsi="Calibri" w:cs="Calibri"/>
                              <w:noProof/>
                              <w:color w:val="000000"/>
                              <w:sz w:val="20"/>
                              <w:szCs w:val="20"/>
                            </w:rPr>
                          </w:pP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62B1C75" id="_x0000_t202" coordsize="21600,21600" o:spt="202" path="m,l,21600r21600,l21600,xe">
              <v:stroke joinstyle="miter"/>
              <v:path gradientshapeok="t" o:connecttype="rect"/>
            </v:shapetype>
            <v:shape id="Text Box 1" o:spid="_x0000_s1031" type="#_x0000_t202" alt="IN-CONFIDENCE"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fill o:detectmouseclick="t"/>
              <v:textbox style="mso-fit-shape-to-text:t" inset="0,15pt,0,0">
                <w:txbxContent>
                  <w:p w14:paraId="68768927" w14:textId="5714BD92" w:rsidR="004357B9" w:rsidRPr="004357B9" w:rsidRDefault="004357B9" w:rsidP="004357B9">
                    <w:pPr>
                      <w:spacing w:after="0"/>
                      <w:rPr>
                        <w:rFonts w:ascii="Calibri" w:eastAsia="Calibri" w:hAnsi="Calibri" w:cs="Calibri"/>
                        <w:noProof/>
                        <w:color w:val="000000"/>
                        <w:sz w:val="20"/>
                        <w:szCs w:val="20"/>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F2844FC4"/>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B4B063B6"/>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000A991"/>
    <w:multiLevelType w:val="multilevel"/>
    <w:tmpl w:val="F52AD0A2"/>
    <w:lvl w:ilvl="0">
      <w:numFmt w:val="bullet"/>
      <w:lvlText w:val=""/>
      <w:lvlJc w:val="left"/>
      <w:pPr>
        <w:ind w:left="720" w:hanging="360"/>
      </w:pPr>
      <w:rPr>
        <w:rFonts w:ascii="Symbol" w:hAnsi="Symbol" w:cs="Symbol" w:hint="default"/>
      </w:rPr>
    </w:lvl>
    <w:lvl w:ilv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Wingdings" w:hAnsi="Wingdings" w:cs="Wingdings" w:hint="default"/>
      </w:rPr>
    </w:lvl>
    <w:lvl w:ilvl="3">
      <w:numFmt w:val="bullet"/>
      <w:lvlText w:val=""/>
      <w:lvlJc w:val="left"/>
      <w:pPr>
        <w:ind w:left="2880" w:hanging="360"/>
      </w:pPr>
      <w:rPr>
        <w:rFonts w:ascii="Symbol" w:hAnsi="Symbol" w:cs="Symbol" w:hint="default"/>
      </w:rPr>
    </w:lvl>
    <w:lvl w:ilvl="4">
      <w:numFmt w:val="bullet"/>
      <w:lvlText w:val="o"/>
      <w:lvlJc w:val="left"/>
      <w:pPr>
        <w:ind w:left="3600" w:hanging="360"/>
      </w:pPr>
      <w:rPr>
        <w:rFonts w:ascii="Courier New" w:hAnsi="Courier New" w:cs="Courier New" w:hint="default"/>
      </w:rPr>
    </w:lvl>
    <w:lvl w:ilvl="5">
      <w:numFmt w:val="bullet"/>
      <w:lvlText w:val=""/>
      <w:lvlJc w:val="left"/>
      <w:pPr>
        <w:ind w:left="4320" w:hanging="360"/>
      </w:pPr>
      <w:rPr>
        <w:rFonts w:ascii="Wingdings" w:hAnsi="Wingdings" w:cs="Wingdings" w:hint="default"/>
      </w:rPr>
    </w:lvl>
    <w:lvl w:ilvl="6">
      <w:numFmt w:val="bullet"/>
      <w:lvlText w:val=""/>
      <w:lvlJc w:val="left"/>
      <w:pPr>
        <w:ind w:left="5040" w:hanging="360"/>
      </w:pPr>
      <w:rPr>
        <w:rFonts w:ascii="Symbol" w:hAnsi="Symbol" w:cs="Symbol" w:hint="default"/>
      </w:rPr>
    </w:lvl>
    <w:lvl w:ilvl="7">
      <w:numFmt w:val="bullet"/>
      <w:lvlText w:val="o"/>
      <w:lvlJc w:val="left"/>
      <w:pPr>
        <w:ind w:left="5760" w:hanging="360"/>
      </w:pPr>
      <w:rPr>
        <w:rFonts w:ascii="Courier New" w:hAnsi="Courier New" w:cs="Courier New" w:hint="default"/>
      </w:rPr>
    </w:lvl>
    <w:lvl w:ilvl="8">
      <w:numFmt w:val="bullet"/>
      <w:lvlText w:val=""/>
      <w:lvlJc w:val="left"/>
      <w:pPr>
        <w:ind w:left="6480" w:hanging="360"/>
      </w:pPr>
      <w:rPr>
        <w:rFonts w:ascii="Wingdings" w:hAnsi="Wingdings" w:cs="Wingdings" w:hint="default"/>
      </w:rPr>
    </w:lvl>
  </w:abstractNum>
  <w:abstractNum w:abstractNumId="3" w15:restartNumberingAfterBreak="0">
    <w:nsid w:val="00A99411"/>
    <w:multiLevelType w:val="multilevel"/>
    <w:tmpl w:val="9C3C10AC"/>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 w15:restartNumberingAfterBreak="0">
    <w:nsid w:val="00A99711"/>
    <w:multiLevelType w:val="multilevel"/>
    <w:tmpl w:val="5B8EC54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160" w:hanging="360"/>
      </w:p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Letter"/>
      <w:lvlText w:val="%6."/>
      <w:lvlJc w:val="left"/>
      <w:pPr>
        <w:ind w:left="4320" w:hanging="360"/>
      </w:pPr>
    </w:lvl>
    <w:lvl w:ilvl="6">
      <w:start w:val="1"/>
      <w:numFmt w:val="lowerLetter"/>
      <w:lvlText w:val="%7."/>
      <w:lvlJc w:val="left"/>
      <w:pPr>
        <w:ind w:left="5040" w:hanging="360"/>
      </w:pPr>
    </w:lvl>
    <w:lvl w:ilvl="7">
      <w:start w:val="1"/>
      <w:numFmt w:val="lowerLetter"/>
      <w:lvlText w:val="%8."/>
      <w:lvlJc w:val="left"/>
      <w:pPr>
        <w:ind w:left="5760" w:hanging="360"/>
      </w:pPr>
    </w:lvl>
    <w:lvl w:ilvl="8">
      <w:start w:val="1"/>
      <w:numFmt w:val="lowerLetter"/>
      <w:lvlText w:val="%9."/>
      <w:lvlJc w:val="left"/>
      <w:pPr>
        <w:ind w:left="6480" w:hanging="360"/>
      </w:pPr>
    </w:lvl>
  </w:abstractNum>
  <w:abstractNum w:abstractNumId="5" w15:restartNumberingAfterBreak="0">
    <w:nsid w:val="0599612F"/>
    <w:multiLevelType w:val="hybridMultilevel"/>
    <w:tmpl w:val="3844D7A8"/>
    <w:lvl w:ilvl="0" w:tplc="14090019">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 w15:restartNumberingAfterBreak="0">
    <w:nsid w:val="0F57222E"/>
    <w:multiLevelType w:val="hybridMultilevel"/>
    <w:tmpl w:val="E70410B6"/>
    <w:lvl w:ilvl="0" w:tplc="14090019">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 w15:restartNumberingAfterBreak="0">
    <w:nsid w:val="118D00F0"/>
    <w:multiLevelType w:val="hybridMultilevel"/>
    <w:tmpl w:val="F3640996"/>
    <w:lvl w:ilvl="0" w:tplc="0726C1B6">
      <w:start w:val="1"/>
      <w:numFmt w:val="bullet"/>
      <w:pStyle w:val="Bullet2"/>
      <w:lvlText w:val=""/>
      <w:lvlJc w:val="left"/>
      <w:pPr>
        <w:tabs>
          <w:tab w:val="num" w:pos="797"/>
        </w:tabs>
        <w:ind w:left="797"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5657129"/>
    <w:multiLevelType w:val="hybridMultilevel"/>
    <w:tmpl w:val="15769C84"/>
    <w:lvl w:ilvl="0" w:tplc="FB28EEEE">
      <w:start w:val="1"/>
      <w:numFmt w:val="bullet"/>
      <w:pStyle w:val="ListParagraph"/>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9" w15:restartNumberingAfterBreak="0">
    <w:nsid w:val="189002CC"/>
    <w:multiLevelType w:val="multilevel"/>
    <w:tmpl w:val="2332A8FC"/>
    <w:lvl w:ilvl="0">
      <w:start w:val="1"/>
      <w:numFmt w:val="decimal"/>
      <w:pStyle w:val="List"/>
      <w:lvlText w:val="%1"/>
      <w:lvlJc w:val="left"/>
      <w:pPr>
        <w:ind w:left="360" w:hanging="360"/>
      </w:pPr>
    </w:lvl>
    <w:lvl w:ilvl="1">
      <w:start w:val="1"/>
      <w:numFmt w:val="decimal"/>
      <w:pStyle w:val="List2"/>
      <w:lvlText w:val="%1.%2"/>
      <w:lvlJc w:val="left"/>
      <w:pPr>
        <w:ind w:left="720" w:hanging="360"/>
      </w:pPr>
    </w:lvl>
    <w:lvl w:ilvl="2">
      <w:start w:val="1"/>
      <w:numFmt w:val="decimal"/>
      <w:lvlText w:val="%3.%1.%2"/>
      <w:lvlJc w:val="left"/>
      <w:pPr>
        <w:ind w:left="1080" w:hanging="360"/>
      </w:pPr>
    </w:lvl>
    <w:lvl w:ilvl="3">
      <w:start w:val="1"/>
      <w:numFmt w:val="decimal"/>
      <w:lvlText w:val="%4.%1.%2.%3"/>
      <w:lvlJc w:val="left"/>
      <w:pPr>
        <w:ind w:left="1440" w:hanging="360"/>
      </w:pPr>
    </w:lvl>
    <w:lvl w:ilvl="4">
      <w:start w:val="1"/>
      <w:numFmt w:val="decimal"/>
      <w:pStyle w:val="List5"/>
      <w:lvlText w:val="%5.%1.%2.%3.%4"/>
      <w:lvlJc w:val="left"/>
      <w:pPr>
        <w:ind w:left="1800" w:hanging="360"/>
      </w:pPr>
    </w:lvl>
    <w:lvl w:ilvl="5">
      <w:start w:val="1"/>
      <w:numFmt w:val="decimal"/>
      <w:lvlText w:val="%6.%1.%2.%3.%4.%5"/>
      <w:lvlJc w:val="left"/>
      <w:pPr>
        <w:ind w:left="2160" w:hanging="360"/>
      </w:pPr>
    </w:lvl>
    <w:lvl w:ilvl="6">
      <w:start w:val="1"/>
      <w:numFmt w:val="decimal"/>
      <w:lvlText w:val="%7.%6"/>
      <w:lvlJc w:val="left"/>
      <w:pPr>
        <w:ind w:left="2520" w:hanging="360"/>
      </w:pPr>
    </w:lvl>
    <w:lvl w:ilvl="7">
      <w:start w:val="1"/>
      <w:numFmt w:val="decimal"/>
      <w:lvlText w:val="%8.%7"/>
      <w:lvlJc w:val="left"/>
      <w:pPr>
        <w:ind w:left="2880" w:hanging="360"/>
      </w:pPr>
    </w:lvl>
    <w:lvl w:ilvl="8">
      <w:start w:val="1"/>
      <w:numFmt w:val="decimal"/>
      <w:lvlText w:val="%9.%8"/>
      <w:lvlJc w:val="left"/>
      <w:pPr>
        <w:ind w:left="3240" w:hanging="360"/>
      </w:pPr>
    </w:lvl>
  </w:abstractNum>
  <w:abstractNum w:abstractNumId="10" w15:restartNumberingAfterBreak="0">
    <w:nsid w:val="3ACC53E9"/>
    <w:multiLevelType w:val="hybridMultilevel"/>
    <w:tmpl w:val="ADA2A12E"/>
    <w:lvl w:ilvl="0" w:tplc="14090019">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1" w15:restartNumberingAfterBreak="0">
    <w:nsid w:val="40937A58"/>
    <w:multiLevelType w:val="hybridMultilevel"/>
    <w:tmpl w:val="810AC2B2"/>
    <w:lvl w:ilvl="0" w:tplc="14090019">
      <w:start w:val="1"/>
      <w:numFmt w:val="lowerLetter"/>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2" w15:restartNumberingAfterBreak="0">
    <w:nsid w:val="50650345"/>
    <w:multiLevelType w:val="hybridMultilevel"/>
    <w:tmpl w:val="3A148814"/>
    <w:lvl w:ilvl="0" w:tplc="C75A5DA0">
      <w:start w:val="1"/>
      <w:numFmt w:val="bullet"/>
      <w:pStyle w:val="Bullet1"/>
      <w:lvlText w:val=""/>
      <w:lvlJc w:val="left"/>
      <w:pPr>
        <w:ind w:left="2082" w:hanging="360"/>
      </w:pPr>
      <w:rPr>
        <w:rFonts w:ascii="Symbol" w:hAnsi="Symbol" w:hint="default"/>
      </w:rPr>
    </w:lvl>
    <w:lvl w:ilvl="1" w:tplc="14090003">
      <w:start w:val="1"/>
      <w:numFmt w:val="bullet"/>
      <w:lvlText w:val="o"/>
      <w:lvlJc w:val="left"/>
      <w:pPr>
        <w:ind w:left="2802" w:hanging="360"/>
      </w:pPr>
      <w:rPr>
        <w:rFonts w:ascii="Courier New" w:hAnsi="Courier New" w:cs="Courier New" w:hint="default"/>
      </w:rPr>
    </w:lvl>
    <w:lvl w:ilvl="2" w:tplc="14090005">
      <w:start w:val="1"/>
      <w:numFmt w:val="bullet"/>
      <w:lvlText w:val=""/>
      <w:lvlJc w:val="left"/>
      <w:pPr>
        <w:ind w:left="3522" w:hanging="360"/>
      </w:pPr>
      <w:rPr>
        <w:rFonts w:ascii="Wingdings" w:hAnsi="Wingdings" w:hint="default"/>
      </w:rPr>
    </w:lvl>
    <w:lvl w:ilvl="3" w:tplc="14090001">
      <w:start w:val="1"/>
      <w:numFmt w:val="bullet"/>
      <w:lvlText w:val=""/>
      <w:lvlJc w:val="left"/>
      <w:pPr>
        <w:ind w:left="4242" w:hanging="360"/>
      </w:pPr>
      <w:rPr>
        <w:rFonts w:ascii="Symbol" w:hAnsi="Symbol" w:hint="default"/>
      </w:rPr>
    </w:lvl>
    <w:lvl w:ilvl="4" w:tplc="14090003">
      <w:start w:val="1"/>
      <w:numFmt w:val="bullet"/>
      <w:lvlText w:val="o"/>
      <w:lvlJc w:val="left"/>
      <w:pPr>
        <w:ind w:left="4962" w:hanging="360"/>
      </w:pPr>
      <w:rPr>
        <w:rFonts w:ascii="Courier New" w:hAnsi="Courier New" w:cs="Courier New" w:hint="default"/>
      </w:rPr>
    </w:lvl>
    <w:lvl w:ilvl="5" w:tplc="14090005">
      <w:start w:val="1"/>
      <w:numFmt w:val="bullet"/>
      <w:lvlText w:val=""/>
      <w:lvlJc w:val="left"/>
      <w:pPr>
        <w:ind w:left="5682" w:hanging="360"/>
      </w:pPr>
      <w:rPr>
        <w:rFonts w:ascii="Wingdings" w:hAnsi="Wingdings" w:hint="default"/>
      </w:rPr>
    </w:lvl>
    <w:lvl w:ilvl="6" w:tplc="14090001">
      <w:start w:val="1"/>
      <w:numFmt w:val="bullet"/>
      <w:lvlText w:val=""/>
      <w:lvlJc w:val="left"/>
      <w:pPr>
        <w:ind w:left="6402" w:hanging="360"/>
      </w:pPr>
      <w:rPr>
        <w:rFonts w:ascii="Symbol" w:hAnsi="Symbol" w:hint="default"/>
      </w:rPr>
    </w:lvl>
    <w:lvl w:ilvl="7" w:tplc="14090003">
      <w:start w:val="1"/>
      <w:numFmt w:val="bullet"/>
      <w:lvlText w:val="o"/>
      <w:lvlJc w:val="left"/>
      <w:pPr>
        <w:ind w:left="7122" w:hanging="360"/>
      </w:pPr>
      <w:rPr>
        <w:rFonts w:ascii="Courier New" w:hAnsi="Courier New" w:cs="Courier New" w:hint="default"/>
      </w:rPr>
    </w:lvl>
    <w:lvl w:ilvl="8" w:tplc="14090005">
      <w:start w:val="1"/>
      <w:numFmt w:val="bullet"/>
      <w:lvlText w:val=""/>
      <w:lvlJc w:val="left"/>
      <w:pPr>
        <w:ind w:left="7842" w:hanging="360"/>
      </w:pPr>
      <w:rPr>
        <w:rFonts w:ascii="Wingdings" w:hAnsi="Wingdings" w:hint="default"/>
      </w:rPr>
    </w:lvl>
  </w:abstractNum>
  <w:abstractNum w:abstractNumId="13" w15:restartNumberingAfterBreak="0">
    <w:nsid w:val="67876983"/>
    <w:multiLevelType w:val="hybridMultilevel"/>
    <w:tmpl w:val="3058258A"/>
    <w:lvl w:ilvl="0" w:tplc="14090019">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16cid:durableId="970285571">
    <w:abstractNumId w:val="8"/>
  </w:num>
  <w:num w:numId="2" w16cid:durableId="1651011135">
    <w:abstractNumId w:val="12"/>
  </w:num>
  <w:num w:numId="3" w16cid:durableId="97906907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2942748">
    <w:abstractNumId w:val="1"/>
  </w:num>
  <w:num w:numId="5" w16cid:durableId="244187251">
    <w:abstractNumId w:val="0"/>
  </w:num>
  <w:num w:numId="6" w16cid:durableId="1683626395">
    <w:abstractNumId w:val="7"/>
  </w:num>
  <w:num w:numId="7" w16cid:durableId="1572735347">
    <w:abstractNumId w:val="2"/>
  </w:num>
  <w:num w:numId="8" w16cid:durableId="982466213">
    <w:abstractNumId w:val="2"/>
  </w:num>
  <w:num w:numId="9" w16cid:durableId="1822960263">
    <w:abstractNumId w:val="2"/>
  </w:num>
  <w:num w:numId="10" w16cid:durableId="1203787919">
    <w:abstractNumId w:val="2"/>
  </w:num>
  <w:num w:numId="11" w16cid:durableId="1914388380">
    <w:abstractNumId w:val="2"/>
  </w:num>
  <w:num w:numId="12" w16cid:durableId="501774234">
    <w:abstractNumId w:val="2"/>
  </w:num>
  <w:num w:numId="13" w16cid:durableId="1555847884">
    <w:abstractNumId w:val="2"/>
  </w:num>
  <w:num w:numId="14" w16cid:durableId="61814848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605965294">
    <w:abstractNumId w:val="2"/>
  </w:num>
  <w:num w:numId="16" w16cid:durableId="144029200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60788855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28780844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37789519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94977464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78264842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612085346">
    <w:abstractNumId w:val="2"/>
  </w:num>
  <w:num w:numId="23" w16cid:durableId="975794580">
    <w:abstractNumId w:val="2"/>
  </w:num>
  <w:num w:numId="24" w16cid:durableId="180264663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526863510">
    <w:abstractNumId w:val="2"/>
  </w:num>
  <w:num w:numId="26" w16cid:durableId="1592279542">
    <w:abstractNumId w:val="11"/>
  </w:num>
  <w:num w:numId="27" w16cid:durableId="1068917476">
    <w:abstractNumId w:val="6"/>
  </w:num>
  <w:num w:numId="28" w16cid:durableId="163790077">
    <w:abstractNumId w:val="5"/>
  </w:num>
  <w:num w:numId="29" w16cid:durableId="82798244">
    <w:abstractNumId w:val="13"/>
  </w:num>
  <w:num w:numId="30" w16cid:durableId="1411075755">
    <w:abstractNumId w:val="10"/>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proofState w:spelling="clean" w:grammar="clean"/>
  <w:stylePaneFormatFilter w:val="0008" w:allStyles="0" w:customStyles="0" w:latentStyles="0" w:stylesInUse="1" w:headingStyles="0" w:numberingStyles="0" w:tableStyles="0" w:directFormattingOnRuns="0" w:directFormattingOnParagraphs="0" w:directFormattingOnNumbering="0" w:directFormattingOnTables="0" w:clearFormatting="0" w:top3HeadingStyles="0" w:visibleStyles="0" w:alternateStyleNames="0"/>
  <w:stylePaneSortMethod w:val="0000"/>
  <w:doNotTrackMoves/>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D07"/>
    <w:rsid w:val="00011C8B"/>
    <w:rsid w:val="00070246"/>
    <w:rsid w:val="001D1160"/>
    <w:rsid w:val="002C0833"/>
    <w:rsid w:val="002E0570"/>
    <w:rsid w:val="00350833"/>
    <w:rsid w:val="004357B9"/>
    <w:rsid w:val="00435ECC"/>
    <w:rsid w:val="004E29B3"/>
    <w:rsid w:val="0052689C"/>
    <w:rsid w:val="005879B1"/>
    <w:rsid w:val="00590D07"/>
    <w:rsid w:val="00784D58"/>
    <w:rsid w:val="00876667"/>
    <w:rsid w:val="008D6863"/>
    <w:rsid w:val="009E099E"/>
    <w:rsid w:val="00A02FA9"/>
    <w:rsid w:val="00A3645B"/>
    <w:rsid w:val="00A45241"/>
    <w:rsid w:val="00A97397"/>
    <w:rsid w:val="00AD555C"/>
    <w:rsid w:val="00B86B75"/>
    <w:rsid w:val="00BC48D5"/>
    <w:rsid w:val="00C36279"/>
    <w:rsid w:val="00C60D58"/>
    <w:rsid w:val="00C7551F"/>
    <w:rsid w:val="00D2300C"/>
    <w:rsid w:val="00D52915"/>
    <w:rsid w:val="00DB6E70"/>
    <w:rsid w:val="00DC7517"/>
    <w:rsid w:val="00E315A3"/>
    <w:rsid w:val="00F3321D"/>
    <w:rsid w:val="00F74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523EF8"/>
  <w15:docId w15:val="{72427C72-794F-4A37-A8FB-BBE133D2B7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NZ" w:eastAsia="ja-JP"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uiPriority="21" w:qFormat="1"/>
    <w:lsdException w:name="Subtle Reference"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0D58"/>
    <w:pPr>
      <w:spacing w:before="120" w:after="120" w:line="288" w:lineRule="auto"/>
    </w:pPr>
    <w:rPr>
      <w:rFonts w:ascii="Verdana" w:hAnsi="Verdana"/>
      <w:sz w:val="22"/>
    </w:rPr>
  </w:style>
  <w:style w:type="paragraph" w:styleId="Heading1">
    <w:name w:val="heading 1"/>
    <w:basedOn w:val="Normal"/>
    <w:next w:val="Normal"/>
    <w:link w:val="Heading1Char"/>
    <w:uiPriority w:val="99"/>
    <w:qFormat/>
    <w:rsid w:val="00A02FA9"/>
    <w:pPr>
      <w:keepNext/>
      <w:keepLines/>
      <w:pageBreakBefore/>
      <w:pBdr>
        <w:bottom w:val="single" w:sz="4" w:space="1" w:color="002060"/>
      </w:pBdr>
      <w:spacing w:before="360"/>
      <w:outlineLvl w:val="0"/>
    </w:pPr>
    <w:rPr>
      <w:rFonts w:ascii="Georgia" w:eastAsiaTheme="majorEastAsia" w:hAnsi="Georgia" w:cstheme="majorBidi"/>
      <w:b/>
      <w:bCs/>
      <w:color w:val="252C65" w:themeColor="text2"/>
      <w:sz w:val="44"/>
      <w:szCs w:val="44"/>
    </w:rPr>
  </w:style>
  <w:style w:type="paragraph" w:styleId="Heading2">
    <w:name w:val="heading 2"/>
    <w:basedOn w:val="Heading1"/>
    <w:next w:val="Normal"/>
    <w:link w:val="Heading2Char"/>
    <w:uiPriority w:val="99"/>
    <w:qFormat/>
    <w:rsid w:val="00102256"/>
    <w:pPr>
      <w:pageBreakBefore w:val="0"/>
      <w:pBdr>
        <w:bottom w:val="single" w:sz="4" w:space="2" w:color="auto"/>
      </w:pBdr>
      <w:outlineLvl w:val="1"/>
    </w:pPr>
    <w:rPr>
      <w:rFonts w:ascii="Verdana" w:hAnsi="Verdana"/>
      <w:color w:val="0095D9" w:themeColor="accent1"/>
      <w:sz w:val="32"/>
      <w:szCs w:val="32"/>
    </w:rPr>
  </w:style>
  <w:style w:type="paragraph" w:styleId="Heading3">
    <w:name w:val="heading 3"/>
    <w:basedOn w:val="Heading2"/>
    <w:next w:val="Normal"/>
    <w:link w:val="Heading3Char"/>
    <w:uiPriority w:val="99"/>
    <w:qFormat/>
    <w:rsid w:val="00671752"/>
    <w:pPr>
      <w:pBdr>
        <w:bottom w:val="none" w:sz="0" w:space="0" w:color="auto"/>
      </w:pBdr>
      <w:spacing w:after="0"/>
      <w:outlineLvl w:val="2"/>
    </w:pPr>
    <w:rPr>
      <w:color w:val="252C65" w:themeColor="text2"/>
      <w:sz w:val="24"/>
      <w:szCs w:val="24"/>
    </w:rPr>
  </w:style>
  <w:style w:type="paragraph" w:styleId="Heading4">
    <w:name w:val="heading 4"/>
    <w:basedOn w:val="Normal"/>
    <w:next w:val="Normal"/>
    <w:link w:val="Heading4Char"/>
    <w:uiPriority w:val="99"/>
    <w:qFormat/>
    <w:rsid w:val="001C2448"/>
    <w:pPr>
      <w:keepNext/>
      <w:keepLines/>
      <w:spacing w:before="360" w:after="0"/>
      <w:outlineLvl w:val="3"/>
    </w:pPr>
    <w:rPr>
      <w:rFonts w:eastAsiaTheme="majorEastAsia" w:cstheme="majorBidi"/>
      <w:b/>
      <w:bCs/>
      <w:i/>
      <w:iCs/>
      <w:color w:val="252C65" w:themeColor="text2"/>
    </w:rPr>
  </w:style>
  <w:style w:type="paragraph" w:styleId="Heading5">
    <w:name w:val="heading 5"/>
    <w:basedOn w:val="Normal"/>
    <w:next w:val="Normal"/>
    <w:link w:val="Heading5Char"/>
    <w:uiPriority w:val="9"/>
    <w:qFormat/>
    <w:rsid w:val="002B0475"/>
    <w:pPr>
      <w:keepNext/>
      <w:keepLines/>
      <w:outlineLvl w:val="4"/>
    </w:pPr>
    <w:rPr>
      <w:rFonts w:eastAsiaTheme="majorEastAsia" w:cstheme="majorBidi"/>
      <w:b/>
      <w:color w:val="252C65" w:themeColor="text2"/>
    </w:rPr>
  </w:style>
  <w:style w:type="paragraph" w:styleId="Heading6">
    <w:name w:val="heading 6"/>
    <w:basedOn w:val="Normal"/>
    <w:next w:val="Normal"/>
    <w:link w:val="Heading6Char"/>
    <w:uiPriority w:val="9"/>
    <w:qFormat/>
    <w:rsid w:val="00220C09"/>
    <w:pPr>
      <w:keepNext/>
      <w:keepLines/>
      <w:pageBreakBefore/>
      <w:outlineLvl w:val="5"/>
    </w:pPr>
    <w:rPr>
      <w:rFonts w:eastAsiaTheme="majorEastAsia" w:cstheme="majorBidi"/>
      <w:b/>
      <w:i/>
      <w:color w:val="FFFFFF" w:themeColor="background1"/>
    </w:rPr>
  </w:style>
  <w:style w:type="paragraph" w:styleId="Heading7">
    <w:name w:val="heading 7"/>
    <w:basedOn w:val="Normal"/>
    <w:next w:val="Normal"/>
    <w:link w:val="Heading7Char"/>
    <w:uiPriority w:val="9"/>
    <w:unhideWhenUsed/>
    <w:qFormat/>
    <w:rsid w:val="00A97F77"/>
    <w:pPr>
      <w:keepNext/>
      <w:keepLines/>
      <w:outlineLvl w:val="6"/>
    </w:pPr>
    <w:rPr>
      <w:rFonts w:ascii="Georgia" w:eastAsiaTheme="majorEastAsia" w:hAnsi="Georgia" w:cstheme="majorBidi"/>
      <w:b/>
      <w:i/>
      <w:iCs/>
      <w:color w:val="FFFFFF" w:themeColor="background1"/>
      <w:sz w:val="44"/>
    </w:rPr>
  </w:style>
  <w:style w:type="paragraph" w:styleId="Heading8">
    <w:name w:val="heading 8"/>
    <w:basedOn w:val="Normal"/>
    <w:next w:val="Normal"/>
    <w:link w:val="Heading8Char"/>
    <w:uiPriority w:val="9"/>
    <w:unhideWhenUsed/>
    <w:qFormat/>
    <w:rsid w:val="00A97F77"/>
    <w:pPr>
      <w:spacing w:line="276" w:lineRule="auto"/>
      <w:outlineLvl w:val="7"/>
    </w:pPr>
    <w:rPr>
      <w:rFonts w:ascii="Georgia" w:eastAsiaTheme="majorEastAsia" w:hAnsi="Georgia" w:cstheme="majorBidi"/>
      <w:iCs/>
      <w:color w:val="FFFFFF" w:themeColor="background1"/>
      <w:sz w:val="36"/>
    </w:rPr>
  </w:style>
  <w:style w:type="paragraph" w:styleId="Heading9">
    <w:name w:val="heading 9"/>
    <w:basedOn w:val="Normal"/>
    <w:next w:val="Normal"/>
    <w:link w:val="Heading9Char"/>
    <w:uiPriority w:val="9"/>
    <w:unhideWhenUsed/>
    <w:qFormat/>
    <w:rsid w:val="00A61052"/>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A02FA9"/>
    <w:rPr>
      <w:rFonts w:ascii="Georgia" w:eastAsiaTheme="majorEastAsia" w:hAnsi="Georgia" w:cstheme="majorBidi"/>
      <w:b/>
      <w:bCs/>
      <w:color w:val="252C65" w:themeColor="text2"/>
      <w:sz w:val="44"/>
      <w:szCs w:val="44"/>
    </w:rPr>
  </w:style>
  <w:style w:type="character" w:customStyle="1" w:styleId="Heading2Char">
    <w:name w:val="Heading 2 Char"/>
    <w:basedOn w:val="DefaultParagraphFont"/>
    <w:link w:val="Heading2"/>
    <w:uiPriority w:val="99"/>
    <w:rsid w:val="00102256"/>
    <w:rPr>
      <w:rFonts w:ascii="Verdana" w:eastAsiaTheme="majorEastAsia" w:hAnsi="Verdana" w:cstheme="majorBidi"/>
      <w:b/>
      <w:bCs/>
      <w:color w:val="0095D9" w:themeColor="accent1"/>
      <w:sz w:val="32"/>
      <w:szCs w:val="32"/>
    </w:rPr>
  </w:style>
  <w:style w:type="character" w:customStyle="1" w:styleId="Heading3Char">
    <w:name w:val="Heading 3 Char"/>
    <w:basedOn w:val="DefaultParagraphFont"/>
    <w:link w:val="Heading3"/>
    <w:uiPriority w:val="99"/>
    <w:rsid w:val="00671752"/>
    <w:rPr>
      <w:rFonts w:ascii="Verdana" w:eastAsiaTheme="majorEastAsia" w:hAnsi="Verdana" w:cstheme="majorBidi"/>
      <w:b/>
      <w:bCs/>
      <w:color w:val="252C65" w:themeColor="text2"/>
    </w:rPr>
  </w:style>
  <w:style w:type="character" w:customStyle="1" w:styleId="Heading4Char">
    <w:name w:val="Heading 4 Char"/>
    <w:basedOn w:val="DefaultParagraphFont"/>
    <w:link w:val="Heading4"/>
    <w:uiPriority w:val="99"/>
    <w:rsid w:val="001C2448"/>
    <w:rPr>
      <w:rFonts w:ascii="Verdana" w:eastAsiaTheme="majorEastAsia" w:hAnsi="Verdana" w:cstheme="majorBidi"/>
      <w:b/>
      <w:bCs/>
      <w:i/>
      <w:iCs/>
      <w:color w:val="252C65" w:themeColor="text2"/>
      <w:sz w:val="22"/>
    </w:rPr>
  </w:style>
  <w:style w:type="character" w:customStyle="1" w:styleId="Heading5Char">
    <w:name w:val="Heading 5 Char"/>
    <w:basedOn w:val="DefaultParagraphFont"/>
    <w:link w:val="Heading5"/>
    <w:uiPriority w:val="9"/>
    <w:rsid w:val="00F17EE7"/>
    <w:rPr>
      <w:rFonts w:ascii="Verdana" w:eastAsiaTheme="majorEastAsia" w:hAnsi="Verdana" w:cstheme="majorBidi"/>
      <w:b/>
      <w:color w:val="252C65" w:themeColor="text2"/>
      <w:sz w:val="20"/>
    </w:rPr>
  </w:style>
  <w:style w:type="character" w:customStyle="1" w:styleId="Heading6Char">
    <w:name w:val="Heading 6 Char"/>
    <w:basedOn w:val="DefaultParagraphFont"/>
    <w:link w:val="Heading6"/>
    <w:uiPriority w:val="9"/>
    <w:rsid w:val="00220C09"/>
    <w:rPr>
      <w:rFonts w:ascii="Verdana" w:eastAsiaTheme="majorEastAsia" w:hAnsi="Verdana" w:cstheme="majorBidi"/>
      <w:b/>
      <w:i/>
      <w:color w:val="FFFFFF" w:themeColor="background1"/>
      <w:sz w:val="22"/>
    </w:rPr>
  </w:style>
  <w:style w:type="character" w:customStyle="1" w:styleId="Heading7Char">
    <w:name w:val="Heading 7 Char"/>
    <w:basedOn w:val="DefaultParagraphFont"/>
    <w:link w:val="Heading7"/>
    <w:uiPriority w:val="9"/>
    <w:rsid w:val="00A97F77"/>
    <w:rPr>
      <w:rFonts w:ascii="Georgia" w:eastAsiaTheme="majorEastAsia" w:hAnsi="Georgia" w:cstheme="majorBidi"/>
      <w:b/>
      <w:i/>
      <w:iCs/>
      <w:color w:val="FFFFFF" w:themeColor="background1"/>
      <w:sz w:val="44"/>
    </w:rPr>
  </w:style>
  <w:style w:type="character" w:customStyle="1" w:styleId="Heading8Char">
    <w:name w:val="Heading 8 Char"/>
    <w:basedOn w:val="DefaultParagraphFont"/>
    <w:link w:val="Heading8"/>
    <w:uiPriority w:val="9"/>
    <w:rsid w:val="00A97F77"/>
    <w:rPr>
      <w:rFonts w:ascii="Georgia" w:eastAsiaTheme="majorEastAsia" w:hAnsi="Georgia" w:cstheme="majorBidi"/>
      <w:iCs/>
      <w:color w:val="FFFFFF" w:themeColor="background1"/>
      <w:sz w:val="36"/>
    </w:rPr>
  </w:style>
  <w:style w:type="character" w:customStyle="1" w:styleId="Heading9Char">
    <w:name w:val="Heading 9 Char"/>
    <w:basedOn w:val="DefaultParagraphFont"/>
    <w:link w:val="Heading9"/>
    <w:uiPriority w:val="9"/>
    <w:rsid w:val="00A61052"/>
    <w:rPr>
      <w:rFonts w:asciiTheme="majorHAnsi" w:eastAsiaTheme="majorEastAsia" w:hAnsiTheme="majorHAnsi" w:cstheme="majorBidi"/>
      <w:i/>
      <w:iCs/>
      <w:color w:val="272727" w:themeColor="text1" w:themeTint="D8"/>
      <w:sz w:val="21"/>
      <w:szCs w:val="21"/>
    </w:rPr>
  </w:style>
  <w:style w:type="paragraph" w:styleId="Header">
    <w:name w:val="header"/>
    <w:basedOn w:val="Normal"/>
    <w:link w:val="HeaderChar"/>
    <w:uiPriority w:val="99"/>
    <w:unhideWhenUsed/>
    <w:rsid w:val="00590845"/>
    <w:pPr>
      <w:tabs>
        <w:tab w:val="center" w:pos="4513"/>
        <w:tab w:val="right" w:pos="9026"/>
      </w:tabs>
    </w:pPr>
  </w:style>
  <w:style w:type="character" w:customStyle="1" w:styleId="HeaderChar">
    <w:name w:val="Header Char"/>
    <w:basedOn w:val="DefaultParagraphFont"/>
    <w:link w:val="Header"/>
    <w:uiPriority w:val="99"/>
    <w:rsid w:val="00590845"/>
  </w:style>
  <w:style w:type="paragraph" w:styleId="Footer">
    <w:name w:val="footer"/>
    <w:basedOn w:val="Normal"/>
    <w:link w:val="FooterChar"/>
    <w:uiPriority w:val="99"/>
    <w:unhideWhenUsed/>
    <w:rsid w:val="00590845"/>
    <w:pPr>
      <w:tabs>
        <w:tab w:val="center" w:pos="4513"/>
        <w:tab w:val="right" w:pos="9026"/>
      </w:tabs>
    </w:pPr>
  </w:style>
  <w:style w:type="character" w:customStyle="1" w:styleId="FooterChar">
    <w:name w:val="Footer Char"/>
    <w:basedOn w:val="DefaultParagraphFont"/>
    <w:link w:val="Footer"/>
    <w:uiPriority w:val="99"/>
    <w:rsid w:val="00590845"/>
  </w:style>
  <w:style w:type="paragraph" w:styleId="Title">
    <w:name w:val="Title"/>
    <w:basedOn w:val="Normal"/>
    <w:next w:val="Normal"/>
    <w:link w:val="TitleChar"/>
    <w:uiPriority w:val="99"/>
    <w:qFormat/>
    <w:rsid w:val="00A14B8D"/>
    <w:pPr>
      <w:spacing w:before="3000"/>
      <w:contextualSpacing/>
    </w:pPr>
    <w:rPr>
      <w:rFonts w:ascii="Georgia" w:eastAsiaTheme="majorEastAsia" w:hAnsi="Georgia" w:cstheme="majorBidi"/>
      <w:b/>
      <w:color w:val="002060"/>
      <w:spacing w:val="-10"/>
      <w:kern w:val="28"/>
      <w:sz w:val="52"/>
      <w:szCs w:val="52"/>
      <w:lang w:val="mi-NZ"/>
    </w:rPr>
  </w:style>
  <w:style w:type="character" w:customStyle="1" w:styleId="TitleChar">
    <w:name w:val="Title Char"/>
    <w:basedOn w:val="DefaultParagraphFont"/>
    <w:link w:val="Title"/>
    <w:uiPriority w:val="99"/>
    <w:rsid w:val="00A14B8D"/>
    <w:rPr>
      <w:rFonts w:ascii="Georgia" w:eastAsiaTheme="majorEastAsia" w:hAnsi="Georgia" w:cstheme="majorBidi"/>
      <w:b/>
      <w:color w:val="002060"/>
      <w:spacing w:val="-10"/>
      <w:kern w:val="28"/>
      <w:sz w:val="52"/>
      <w:szCs w:val="52"/>
      <w:lang w:val="mi-NZ"/>
    </w:rPr>
  </w:style>
  <w:style w:type="paragraph" w:styleId="Subtitle">
    <w:name w:val="Subtitle"/>
    <w:basedOn w:val="Normal"/>
    <w:next w:val="Normal"/>
    <w:link w:val="SubtitleChar"/>
    <w:uiPriority w:val="99"/>
    <w:qFormat/>
    <w:rsid w:val="00AE5325"/>
    <w:pPr>
      <w:numPr>
        <w:ilvl w:val="1"/>
      </w:numPr>
      <w:spacing w:after="160"/>
      <w:ind w:left="-57"/>
    </w:pPr>
    <w:rPr>
      <w:rFonts w:cs="Times New Roman (Body CS)"/>
      <w:b/>
      <w:color w:val="252C65"/>
      <w:spacing w:val="-4"/>
      <w:sz w:val="32"/>
      <w:szCs w:val="22"/>
    </w:rPr>
  </w:style>
  <w:style w:type="character" w:customStyle="1" w:styleId="SubtitleChar">
    <w:name w:val="Subtitle Char"/>
    <w:basedOn w:val="DefaultParagraphFont"/>
    <w:link w:val="Subtitle"/>
    <w:uiPriority w:val="99"/>
    <w:rsid w:val="00AE5325"/>
    <w:rPr>
      <w:rFonts w:ascii="Verdana" w:hAnsi="Verdana" w:cs="Times New Roman (Body CS)"/>
      <w:b/>
      <w:color w:val="252C65"/>
      <w:spacing w:val="-4"/>
      <w:sz w:val="32"/>
      <w:szCs w:val="22"/>
    </w:rPr>
  </w:style>
  <w:style w:type="paragraph" w:styleId="ListParagraph">
    <w:name w:val="List Paragraph"/>
    <w:basedOn w:val="Normal"/>
    <w:uiPriority w:val="34"/>
    <w:unhideWhenUsed/>
    <w:qFormat/>
    <w:rsid w:val="00671752"/>
    <w:pPr>
      <w:numPr>
        <w:numId w:val="1"/>
      </w:numPr>
      <w:spacing w:before="60" w:after="60"/>
    </w:pPr>
  </w:style>
  <w:style w:type="character" w:styleId="PageNumber">
    <w:name w:val="page number"/>
    <w:basedOn w:val="DefaultParagraphFont"/>
    <w:uiPriority w:val="99"/>
    <w:semiHidden/>
    <w:unhideWhenUsed/>
    <w:rsid w:val="00A97F77"/>
  </w:style>
  <w:style w:type="character" w:styleId="Hyperlink">
    <w:name w:val="Hyperlink"/>
    <w:basedOn w:val="DefaultParagraphFont"/>
    <w:uiPriority w:val="99"/>
    <w:unhideWhenUsed/>
    <w:rsid w:val="00A97F77"/>
    <w:rPr>
      <w:color w:val="0095D9" w:themeColor="hyperlink"/>
      <w:u w:val="single"/>
    </w:rPr>
  </w:style>
  <w:style w:type="paragraph" w:styleId="TOC1">
    <w:name w:val="toc 1"/>
    <w:basedOn w:val="Normal"/>
    <w:next w:val="Normal"/>
    <w:autoRedefine/>
    <w:uiPriority w:val="39"/>
    <w:unhideWhenUsed/>
    <w:rsid w:val="00F91158"/>
    <w:pPr>
      <w:tabs>
        <w:tab w:val="right" w:leader="dot" w:pos="8488"/>
      </w:tabs>
      <w:spacing w:before="0" w:after="240"/>
    </w:pPr>
    <w:rPr>
      <w:b/>
      <w:color w:val="252C65" w:themeColor="text2"/>
    </w:rPr>
  </w:style>
  <w:style w:type="paragraph" w:styleId="TOC2">
    <w:name w:val="toc 2"/>
    <w:basedOn w:val="Normal"/>
    <w:next w:val="Normal"/>
    <w:autoRedefine/>
    <w:uiPriority w:val="39"/>
    <w:unhideWhenUsed/>
    <w:rsid w:val="004A542A"/>
  </w:style>
  <w:style w:type="paragraph" w:styleId="TOC3">
    <w:name w:val="toc 3"/>
    <w:basedOn w:val="Normal"/>
    <w:next w:val="Normal"/>
    <w:autoRedefine/>
    <w:uiPriority w:val="39"/>
    <w:unhideWhenUsed/>
    <w:rsid w:val="004A542A"/>
    <w:rPr>
      <w:i/>
      <w:color w:val="252C65" w:themeColor="text2"/>
      <w:sz w:val="18"/>
    </w:rPr>
  </w:style>
  <w:style w:type="paragraph" w:styleId="FootnoteText">
    <w:name w:val="footnote text"/>
    <w:basedOn w:val="Normal"/>
    <w:link w:val="FootnoteTextChar"/>
    <w:uiPriority w:val="99"/>
    <w:unhideWhenUsed/>
    <w:rsid w:val="00671752"/>
    <w:pPr>
      <w:spacing w:before="0" w:after="0" w:line="264" w:lineRule="auto"/>
    </w:pPr>
    <w:rPr>
      <w:sz w:val="18"/>
      <w:szCs w:val="20"/>
    </w:rPr>
  </w:style>
  <w:style w:type="character" w:customStyle="1" w:styleId="FootnoteTextChar">
    <w:name w:val="Footnote Text Char"/>
    <w:basedOn w:val="DefaultParagraphFont"/>
    <w:link w:val="FootnoteText"/>
    <w:uiPriority w:val="99"/>
    <w:rsid w:val="00671752"/>
    <w:rPr>
      <w:rFonts w:ascii="Verdana" w:hAnsi="Verdana"/>
      <w:sz w:val="18"/>
      <w:szCs w:val="20"/>
    </w:rPr>
  </w:style>
  <w:style w:type="character" w:styleId="FootnoteReference">
    <w:name w:val="footnote reference"/>
    <w:basedOn w:val="DefaultParagraphFont"/>
    <w:uiPriority w:val="99"/>
    <w:unhideWhenUsed/>
    <w:rsid w:val="00A97F77"/>
    <w:rPr>
      <w:vertAlign w:val="superscript"/>
    </w:rPr>
  </w:style>
  <w:style w:type="paragraph" w:customStyle="1" w:styleId="IntroParagraph">
    <w:name w:val="Intro Paragraph"/>
    <w:basedOn w:val="Normal"/>
    <w:uiPriority w:val="1"/>
    <w:qFormat/>
    <w:rsid w:val="00144FFA"/>
    <w:pPr>
      <w:spacing w:after="240" w:line="276" w:lineRule="auto"/>
    </w:pPr>
    <w:rPr>
      <w:color w:val="252C65" w:themeColor="text2"/>
      <w:sz w:val="28"/>
    </w:rPr>
  </w:style>
  <w:style w:type="paragraph" w:styleId="NormalWeb">
    <w:name w:val="Normal (Web)"/>
    <w:basedOn w:val="Normal"/>
    <w:uiPriority w:val="99"/>
    <w:semiHidden/>
    <w:unhideWhenUsed/>
    <w:rsid w:val="00144FFA"/>
    <w:pPr>
      <w:spacing w:before="100" w:beforeAutospacing="1" w:after="100" w:afterAutospacing="1"/>
    </w:pPr>
    <w:rPr>
      <w:rFonts w:ascii="Times New Roman" w:eastAsia="Times New Roman" w:hAnsi="Times New Roman" w:cs="Times New Roman"/>
      <w:sz w:val="24"/>
      <w:lang w:eastAsia="zh-CN"/>
    </w:rPr>
  </w:style>
  <w:style w:type="character" w:styleId="Emphasis">
    <w:name w:val="Emphasis"/>
    <w:basedOn w:val="DefaultParagraphFont"/>
    <w:uiPriority w:val="20"/>
    <w:qFormat/>
    <w:rsid w:val="00144FFA"/>
    <w:rPr>
      <w:i/>
      <w:iCs/>
    </w:rPr>
  </w:style>
  <w:style w:type="paragraph" w:customStyle="1" w:styleId="MihiHeading">
    <w:name w:val="Mihi Heading"/>
    <w:uiPriority w:val="17"/>
    <w:qFormat/>
    <w:rsid w:val="00A61052"/>
    <w:rPr>
      <w:rFonts w:ascii="Georgia" w:eastAsiaTheme="majorEastAsia" w:hAnsi="Georgia" w:cstheme="majorBidi"/>
      <w:b/>
      <w:i/>
      <w:iCs/>
      <w:color w:val="FFFFFF" w:themeColor="background1"/>
      <w:sz w:val="44"/>
    </w:rPr>
  </w:style>
  <w:style w:type="paragraph" w:customStyle="1" w:styleId="MihiParagraph">
    <w:name w:val="Mihi Paragraph"/>
    <w:uiPriority w:val="17"/>
    <w:qFormat/>
    <w:rsid w:val="00A61052"/>
    <w:rPr>
      <w:rFonts w:ascii="Georgia" w:eastAsiaTheme="majorEastAsia" w:hAnsi="Georgia" w:cstheme="majorBidi"/>
      <w:iCs/>
      <w:color w:val="FFFFFF" w:themeColor="background1"/>
      <w:sz w:val="36"/>
    </w:rPr>
  </w:style>
  <w:style w:type="paragraph" w:styleId="Quote">
    <w:name w:val="Quote"/>
    <w:basedOn w:val="Normal"/>
    <w:next w:val="Normal"/>
    <w:link w:val="QuoteChar"/>
    <w:uiPriority w:val="29"/>
    <w:qFormat/>
    <w:rsid w:val="00671EAC"/>
    <w:pPr>
      <w:pBdr>
        <w:bottom w:val="single" w:sz="4" w:space="4" w:color="auto"/>
      </w:pBdr>
      <w:spacing w:before="360" w:after="360"/>
      <w:ind w:right="864"/>
    </w:pPr>
    <w:rPr>
      <w:rFonts w:ascii="Georgia" w:hAnsi="Georgia"/>
      <w:iCs/>
      <w:color w:val="0095D9" w:themeColor="accent1"/>
      <w:sz w:val="36"/>
    </w:rPr>
  </w:style>
  <w:style w:type="character" w:customStyle="1" w:styleId="QuoteChar">
    <w:name w:val="Quote Char"/>
    <w:basedOn w:val="DefaultParagraphFont"/>
    <w:link w:val="Quote"/>
    <w:uiPriority w:val="29"/>
    <w:rsid w:val="00671EAC"/>
    <w:rPr>
      <w:rFonts w:ascii="Georgia" w:hAnsi="Georgia"/>
      <w:iCs/>
      <w:color w:val="0095D9" w:themeColor="accent1"/>
      <w:sz w:val="36"/>
    </w:rPr>
  </w:style>
  <w:style w:type="table" w:styleId="TableGrid">
    <w:name w:val="Table Grid"/>
    <w:aliases w:val="MSD Table Grid"/>
    <w:basedOn w:val="TableNormal"/>
    <w:rsid w:val="00671752"/>
    <w:rPr>
      <w:rFonts w:ascii="Verdana" w:hAnsi="Verdana"/>
      <w:color w:val="252C65" w:themeColor="text2"/>
      <w:sz w:val="20"/>
    </w:rPr>
    <w:tblPr>
      <w:tblBorders>
        <w:top w:val="single" w:sz="4" w:space="0" w:color="252C65" w:themeColor="text2"/>
        <w:bottom w:val="single" w:sz="4" w:space="0" w:color="252C65" w:themeColor="text2"/>
        <w:insideH w:val="single" w:sz="4" w:space="0" w:color="252C65" w:themeColor="text2"/>
      </w:tblBorders>
    </w:tblPr>
    <w:tcPr>
      <w:shd w:val="clear" w:color="auto" w:fill="auto"/>
      <w:vAlign w:val="center"/>
    </w:tcPr>
    <w:tblStylePr w:type="firstRow">
      <w:rPr>
        <w:rFonts w:ascii="Verdana" w:hAnsi="Verdana"/>
        <w:b/>
        <w:color w:val="252C65" w:themeColor="text2"/>
        <w:sz w:val="20"/>
      </w:rPr>
      <w:tblPr/>
      <w:tcPr>
        <w:tcBorders>
          <w:top w:val="single" w:sz="4" w:space="0" w:color="252C65" w:themeColor="text2"/>
          <w:left w:val="nil"/>
          <w:bottom w:val="nil"/>
          <w:right w:val="nil"/>
          <w:insideH w:val="nil"/>
          <w:insideV w:val="nil"/>
        </w:tcBorders>
        <w:shd w:val="clear" w:color="auto" w:fill="auto"/>
      </w:tcPr>
    </w:tblStylePr>
    <w:tblStylePr w:type="firstCol">
      <w:tblPr/>
      <w:tcPr>
        <w:shd w:val="clear" w:color="auto" w:fill="E5F4FB"/>
      </w:tcPr>
    </w:tblStylePr>
  </w:style>
  <w:style w:type="table" w:styleId="PlainTable4">
    <w:name w:val="Plain Table 4"/>
    <w:basedOn w:val="TableNormal"/>
    <w:uiPriority w:val="44"/>
    <w:rsid w:val="00144FFA"/>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Reference">
    <w:name w:val="Reference"/>
    <w:basedOn w:val="Normal"/>
    <w:qFormat/>
    <w:rsid w:val="007F24A0"/>
    <w:pPr>
      <w:spacing w:after="240"/>
      <w:ind w:left="284" w:hanging="284"/>
    </w:pPr>
  </w:style>
  <w:style w:type="character" w:styleId="SubtleReference">
    <w:name w:val="Subtle Reference"/>
    <w:basedOn w:val="DefaultParagraphFont"/>
    <w:uiPriority w:val="31"/>
    <w:qFormat/>
    <w:rsid w:val="007F24A0"/>
    <w:rPr>
      <w:rFonts w:ascii="Verdana" w:hAnsi="Verdana"/>
      <w:b w:val="0"/>
      <w:caps w:val="0"/>
      <w:smallCaps w:val="0"/>
      <w:color w:val="252C65" w:themeColor="text2"/>
    </w:rPr>
  </w:style>
  <w:style w:type="paragraph" w:customStyle="1" w:styleId="QuoteReference">
    <w:name w:val="Quote Reference"/>
    <w:basedOn w:val="Normal"/>
    <w:uiPriority w:val="10"/>
    <w:qFormat/>
    <w:rsid w:val="007F24A0"/>
    <w:pPr>
      <w:spacing w:before="0" w:after="360"/>
    </w:pPr>
    <w:rPr>
      <w:rFonts w:cs="Times New Roman (Body CS)"/>
      <w:color w:val="252C65" w:themeColor="text2"/>
      <w:lang w:eastAsia="zh-CN"/>
    </w:rPr>
  </w:style>
  <w:style w:type="paragraph" w:customStyle="1" w:styleId="TitleMasthead">
    <w:name w:val="Title (Masthead)"/>
    <w:basedOn w:val="Title"/>
    <w:uiPriority w:val="14"/>
    <w:qFormat/>
    <w:rsid w:val="0005239A"/>
    <w:rPr>
      <w:sz w:val="72"/>
    </w:rPr>
  </w:style>
  <w:style w:type="paragraph" w:customStyle="1" w:styleId="InfoBody">
    <w:name w:val="Info Body"/>
    <w:basedOn w:val="Normal"/>
    <w:uiPriority w:val="99"/>
    <w:qFormat/>
    <w:rsid w:val="00F91158"/>
    <w:pPr>
      <w:spacing w:before="0"/>
    </w:pPr>
    <w:rPr>
      <w:rFonts w:eastAsia="Calibri" w:cs="Arial"/>
      <w:kern w:val="28"/>
      <w:szCs w:val="20"/>
      <w:lang w:eastAsia="en-US"/>
    </w:rPr>
  </w:style>
  <w:style w:type="paragraph" w:customStyle="1" w:styleId="Info1">
    <w:name w:val="Info1"/>
    <w:basedOn w:val="Normal"/>
    <w:uiPriority w:val="99"/>
    <w:qFormat/>
    <w:rsid w:val="00F91158"/>
    <w:pPr>
      <w:spacing w:before="9000"/>
    </w:pPr>
    <w:rPr>
      <w:rFonts w:eastAsia="Calibri" w:cs="Arial"/>
      <w:b/>
      <w:kern w:val="28"/>
      <w:sz w:val="24"/>
      <w:szCs w:val="20"/>
      <w:lang w:eastAsia="en-US"/>
    </w:rPr>
  </w:style>
  <w:style w:type="paragraph" w:customStyle="1" w:styleId="Info2">
    <w:name w:val="Info2"/>
    <w:basedOn w:val="Normal"/>
    <w:uiPriority w:val="99"/>
    <w:qFormat/>
    <w:rsid w:val="00F91158"/>
    <w:pPr>
      <w:spacing w:before="0"/>
    </w:pPr>
    <w:rPr>
      <w:rFonts w:eastAsia="Calibri" w:cs="Arial"/>
      <w:b/>
      <w:kern w:val="28"/>
      <w:sz w:val="24"/>
      <w:szCs w:val="20"/>
      <w:lang w:eastAsia="en-US"/>
    </w:rPr>
  </w:style>
  <w:style w:type="table" w:styleId="ListTable6Colorful-Accent1">
    <w:name w:val="List Table 6 Colorful Accent 1"/>
    <w:basedOn w:val="TableNormal"/>
    <w:uiPriority w:val="51"/>
    <w:rsid w:val="00F91158"/>
    <w:rPr>
      <w:color w:val="006FA2" w:themeColor="accent1" w:themeShade="BF"/>
    </w:rPr>
    <w:tblPr>
      <w:tblStyleRowBandSize w:val="1"/>
      <w:tblStyleColBandSize w:val="1"/>
      <w:tblBorders>
        <w:top w:val="single" w:sz="4" w:space="0" w:color="0095D9" w:themeColor="accent1"/>
        <w:bottom w:val="single" w:sz="4" w:space="0" w:color="0095D9" w:themeColor="accent1"/>
      </w:tblBorders>
    </w:tblPr>
    <w:tblStylePr w:type="firstRow">
      <w:rPr>
        <w:b/>
        <w:bCs/>
      </w:rPr>
      <w:tblPr/>
      <w:tcPr>
        <w:tcBorders>
          <w:bottom w:val="single" w:sz="4" w:space="0" w:color="0095D9" w:themeColor="accent1"/>
        </w:tcBorders>
      </w:tcPr>
    </w:tblStylePr>
    <w:tblStylePr w:type="lastRow">
      <w:rPr>
        <w:b/>
        <w:bCs/>
      </w:rPr>
      <w:tblPr/>
      <w:tcPr>
        <w:tcBorders>
          <w:top w:val="double" w:sz="4" w:space="0" w:color="0095D9" w:themeColor="accent1"/>
        </w:tcBorders>
      </w:tcPr>
    </w:tblStylePr>
    <w:tblStylePr w:type="firstCol">
      <w:rPr>
        <w:b/>
        <w:bCs/>
      </w:rPr>
    </w:tblStylePr>
    <w:tblStylePr w:type="lastCol">
      <w:rPr>
        <w:b/>
        <w:bCs/>
      </w:rPr>
    </w:tblStylePr>
    <w:tblStylePr w:type="band1Vert">
      <w:tblPr/>
      <w:tcPr>
        <w:shd w:val="clear" w:color="auto" w:fill="C4ECFF" w:themeFill="accent1" w:themeFillTint="33"/>
      </w:tcPr>
    </w:tblStylePr>
    <w:tblStylePr w:type="band1Horz">
      <w:tblPr/>
      <w:tcPr>
        <w:shd w:val="clear" w:color="auto" w:fill="C4ECFF" w:themeFill="accent1" w:themeFillTint="33"/>
      </w:tcPr>
    </w:tblStylePr>
  </w:style>
  <w:style w:type="table" w:styleId="PlainTable1">
    <w:name w:val="Plain Table 1"/>
    <w:basedOn w:val="TableNormal"/>
    <w:uiPriority w:val="41"/>
    <w:rsid w:val="00F91158"/>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3-Accent1">
    <w:name w:val="Grid Table 3 Accent 1"/>
    <w:basedOn w:val="TableNormal"/>
    <w:uiPriority w:val="48"/>
    <w:rsid w:val="00F91158"/>
    <w:tblPr>
      <w:tblStyleRowBandSize w:val="1"/>
      <w:tblStyleColBandSize w:val="1"/>
      <w:tblBorders>
        <w:top w:val="single" w:sz="4" w:space="0" w:color="4FC7FF" w:themeColor="accent1" w:themeTint="99"/>
        <w:left w:val="single" w:sz="4" w:space="0" w:color="4FC7FF" w:themeColor="accent1" w:themeTint="99"/>
        <w:bottom w:val="single" w:sz="4" w:space="0" w:color="4FC7FF" w:themeColor="accent1" w:themeTint="99"/>
        <w:right w:val="single" w:sz="4" w:space="0" w:color="4FC7FF" w:themeColor="accent1" w:themeTint="99"/>
        <w:insideH w:val="single" w:sz="4" w:space="0" w:color="4FC7FF" w:themeColor="accent1" w:themeTint="99"/>
        <w:insideV w:val="single" w:sz="4" w:space="0" w:color="4FC7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ECFF" w:themeFill="accent1" w:themeFillTint="33"/>
      </w:tcPr>
    </w:tblStylePr>
    <w:tblStylePr w:type="band1Horz">
      <w:tblPr/>
      <w:tcPr>
        <w:shd w:val="clear" w:color="auto" w:fill="C4ECFF" w:themeFill="accent1" w:themeFillTint="33"/>
      </w:tcPr>
    </w:tblStylePr>
    <w:tblStylePr w:type="neCell">
      <w:tblPr/>
      <w:tcPr>
        <w:tcBorders>
          <w:bottom w:val="single" w:sz="4" w:space="0" w:color="4FC7FF" w:themeColor="accent1" w:themeTint="99"/>
        </w:tcBorders>
      </w:tcPr>
    </w:tblStylePr>
    <w:tblStylePr w:type="nwCell">
      <w:tblPr/>
      <w:tcPr>
        <w:tcBorders>
          <w:bottom w:val="single" w:sz="4" w:space="0" w:color="4FC7FF" w:themeColor="accent1" w:themeTint="99"/>
        </w:tcBorders>
      </w:tcPr>
    </w:tblStylePr>
    <w:tblStylePr w:type="seCell">
      <w:tblPr/>
      <w:tcPr>
        <w:tcBorders>
          <w:top w:val="single" w:sz="4" w:space="0" w:color="4FC7FF" w:themeColor="accent1" w:themeTint="99"/>
        </w:tcBorders>
      </w:tcPr>
    </w:tblStylePr>
    <w:tblStylePr w:type="swCell">
      <w:tblPr/>
      <w:tcPr>
        <w:tcBorders>
          <w:top w:val="single" w:sz="4" w:space="0" w:color="4FC7FF" w:themeColor="accent1" w:themeTint="99"/>
        </w:tcBorders>
      </w:tcPr>
    </w:tblStylePr>
  </w:style>
  <w:style w:type="table" w:styleId="GridTable3">
    <w:name w:val="Grid Table 3"/>
    <w:basedOn w:val="TableNormal"/>
    <w:uiPriority w:val="48"/>
    <w:rsid w:val="00F91158"/>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styleId="TOCHeading">
    <w:name w:val="TOC Heading"/>
    <w:basedOn w:val="Heading1"/>
    <w:next w:val="Normal"/>
    <w:uiPriority w:val="39"/>
    <w:unhideWhenUsed/>
    <w:qFormat/>
    <w:rsid w:val="00F91158"/>
    <w:pPr>
      <w:spacing w:after="0" w:line="259" w:lineRule="auto"/>
      <w:outlineLvl w:val="9"/>
    </w:pPr>
    <w:rPr>
      <w:rFonts w:asciiTheme="majorHAnsi" w:hAnsiTheme="majorHAnsi"/>
      <w:b w:val="0"/>
      <w:bCs w:val="0"/>
      <w:color w:val="006FA2" w:themeColor="accent1" w:themeShade="BF"/>
      <w:sz w:val="32"/>
      <w:szCs w:val="32"/>
      <w:lang w:val="en-US" w:eastAsia="en-US"/>
    </w:rPr>
  </w:style>
  <w:style w:type="paragraph" w:customStyle="1" w:styleId="Indentpara">
    <w:name w:val="Indent para"/>
    <w:basedOn w:val="Normal"/>
    <w:qFormat/>
    <w:rsid w:val="00F17EE7"/>
    <w:pPr>
      <w:spacing w:before="0"/>
      <w:ind w:left="851" w:right="843"/>
    </w:pPr>
    <w:rPr>
      <w:rFonts w:eastAsia="Times New Roman" w:cs="Times New Roman"/>
      <w:szCs w:val="20"/>
      <w:lang w:eastAsia="zh-CN"/>
    </w:rPr>
  </w:style>
  <w:style w:type="table" w:styleId="LightShading-Accent1">
    <w:name w:val="Light Shading Accent 1"/>
    <w:basedOn w:val="TableNormal"/>
    <w:uiPriority w:val="60"/>
    <w:rsid w:val="0052201C"/>
    <w:pPr>
      <w:spacing w:after="160" w:line="259" w:lineRule="auto"/>
    </w:pPr>
    <w:rPr>
      <w:rFonts w:ascii="Verdana" w:eastAsiaTheme="minorHAnsi" w:hAnsi="Verdana"/>
      <w:color w:val="006FA2" w:themeColor="accent1" w:themeShade="BF"/>
      <w:sz w:val="18"/>
      <w:szCs w:val="22"/>
      <w:lang w:eastAsia="en-US"/>
    </w:rPr>
    <w:tblPr>
      <w:tblStyleRowBandSize w:val="1"/>
      <w:tblStyleColBandSize w:val="1"/>
      <w:tblBorders>
        <w:top w:val="single" w:sz="8" w:space="0" w:color="0095D9" w:themeColor="accent1"/>
        <w:bottom w:val="single" w:sz="8" w:space="0" w:color="0095D9" w:themeColor="accent1"/>
      </w:tblBorders>
    </w:tblPr>
    <w:tblStylePr w:type="firstRow">
      <w:pPr>
        <w:spacing w:before="0" w:after="0" w:line="240" w:lineRule="auto"/>
      </w:pPr>
      <w:rPr>
        <w:b/>
        <w:bCs/>
      </w:rPr>
      <w:tblPr/>
      <w:tcPr>
        <w:tcBorders>
          <w:top w:val="single" w:sz="8" w:space="0" w:color="0095D9" w:themeColor="accent1"/>
          <w:left w:val="nil"/>
          <w:bottom w:val="single" w:sz="8" w:space="0" w:color="0095D9" w:themeColor="accent1"/>
          <w:right w:val="nil"/>
          <w:insideH w:val="nil"/>
          <w:insideV w:val="nil"/>
        </w:tcBorders>
      </w:tcPr>
    </w:tblStylePr>
    <w:tblStylePr w:type="lastRow">
      <w:pPr>
        <w:spacing w:before="0" w:after="0" w:line="240" w:lineRule="auto"/>
      </w:pPr>
      <w:rPr>
        <w:b/>
        <w:bCs/>
      </w:rPr>
      <w:tblPr/>
      <w:tcPr>
        <w:tcBorders>
          <w:top w:val="single" w:sz="8" w:space="0" w:color="0095D9" w:themeColor="accent1"/>
          <w:left w:val="nil"/>
          <w:bottom w:val="single" w:sz="8" w:space="0" w:color="0095D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6E8FF" w:themeFill="accent1" w:themeFillTint="3F"/>
      </w:tcPr>
    </w:tblStylePr>
    <w:tblStylePr w:type="band1Horz">
      <w:tblPr/>
      <w:tcPr>
        <w:tcBorders>
          <w:left w:val="nil"/>
          <w:right w:val="nil"/>
          <w:insideH w:val="nil"/>
          <w:insideV w:val="nil"/>
        </w:tcBorders>
        <w:shd w:val="clear" w:color="auto" w:fill="B6E8FF" w:themeFill="accent1" w:themeFillTint="3F"/>
      </w:tcPr>
    </w:tblStylePr>
  </w:style>
  <w:style w:type="paragraph" w:styleId="BalloonText">
    <w:name w:val="Balloon Text"/>
    <w:basedOn w:val="Normal"/>
    <w:link w:val="BalloonTextChar"/>
    <w:uiPriority w:val="99"/>
    <w:semiHidden/>
    <w:unhideWhenUsed/>
    <w:rsid w:val="008E5FA2"/>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5FA2"/>
    <w:rPr>
      <w:rFonts w:ascii="Segoe UI" w:hAnsi="Segoe UI" w:cs="Segoe UI"/>
      <w:sz w:val="18"/>
      <w:szCs w:val="18"/>
    </w:rPr>
  </w:style>
  <w:style w:type="character" w:styleId="UnresolvedMention">
    <w:name w:val="Unresolved Mention"/>
    <w:basedOn w:val="DefaultParagraphFont"/>
    <w:uiPriority w:val="99"/>
    <w:semiHidden/>
    <w:unhideWhenUsed/>
    <w:rsid w:val="00544993"/>
    <w:rPr>
      <w:color w:val="605E5C"/>
      <w:shd w:val="clear" w:color="auto" w:fill="E1DFDD"/>
    </w:rPr>
  </w:style>
  <w:style w:type="paragraph" w:styleId="Caption">
    <w:name w:val="caption"/>
    <w:basedOn w:val="Normal"/>
    <w:next w:val="Normal"/>
    <w:uiPriority w:val="99"/>
    <w:unhideWhenUsed/>
    <w:qFormat/>
    <w:rsid w:val="00B92993"/>
    <w:pPr>
      <w:keepNext/>
      <w:spacing w:after="0"/>
    </w:pPr>
    <w:rPr>
      <w:iCs/>
      <w:color w:val="252C65" w:themeColor="text2"/>
      <w:szCs w:val="18"/>
    </w:rPr>
  </w:style>
  <w:style w:type="paragraph" w:customStyle="1" w:styleId="Tablenormal0">
    <w:name w:val="Table normal"/>
    <w:basedOn w:val="Normal"/>
    <w:qFormat/>
    <w:rsid w:val="00671752"/>
    <w:pPr>
      <w:widowControl w:val="0"/>
      <w:spacing w:before="0" w:after="0"/>
      <w:jc w:val="center"/>
    </w:pPr>
    <w:rPr>
      <w:rFonts w:eastAsia="Verdana"/>
      <w:color w:val="252C65" w:themeColor="text2"/>
      <w:kern w:val="24"/>
      <w:szCs w:val="22"/>
    </w:rPr>
  </w:style>
  <w:style w:type="paragraph" w:styleId="PlainText">
    <w:name w:val="Plain Text"/>
    <w:basedOn w:val="Normal"/>
    <w:link w:val="PlainTextChar"/>
    <w:uiPriority w:val="99"/>
    <w:semiHidden/>
    <w:unhideWhenUsed/>
    <w:rsid w:val="00D311DB"/>
    <w:pPr>
      <w:spacing w:after="0"/>
    </w:pPr>
    <w:rPr>
      <w:rFonts w:eastAsia="Calibri" w:cs="Consolas"/>
      <w:kern w:val="28"/>
      <w:szCs w:val="21"/>
      <w:lang w:eastAsia="en-US"/>
    </w:rPr>
  </w:style>
  <w:style w:type="character" w:customStyle="1" w:styleId="PlainTextChar">
    <w:name w:val="Plain Text Char"/>
    <w:basedOn w:val="DefaultParagraphFont"/>
    <w:link w:val="PlainText"/>
    <w:uiPriority w:val="99"/>
    <w:semiHidden/>
    <w:rsid w:val="00D311DB"/>
    <w:rPr>
      <w:rFonts w:ascii="Verdana" w:eastAsia="Calibri" w:hAnsi="Verdana" w:cs="Consolas"/>
      <w:kern w:val="28"/>
      <w:sz w:val="20"/>
      <w:szCs w:val="21"/>
      <w:lang w:eastAsia="en-US"/>
    </w:rPr>
  </w:style>
  <w:style w:type="paragraph" w:customStyle="1" w:styleId="Bullet1">
    <w:name w:val="Bullet1"/>
    <w:basedOn w:val="Normal"/>
    <w:uiPriority w:val="99"/>
    <w:qFormat/>
    <w:rsid w:val="00E5606A"/>
    <w:pPr>
      <w:numPr>
        <w:numId w:val="2"/>
      </w:numPr>
      <w:tabs>
        <w:tab w:val="left" w:pos="454"/>
      </w:tabs>
      <w:suppressAutoHyphens/>
      <w:autoSpaceDE w:val="0"/>
      <w:autoSpaceDN w:val="0"/>
      <w:adjustRightInd w:val="0"/>
      <w:spacing w:before="0"/>
      <w:ind w:left="567" w:hanging="567"/>
    </w:pPr>
    <w:rPr>
      <w:rFonts w:eastAsia="Times New Roman" w:cs="Arial"/>
      <w:noProof/>
      <w:kern w:val="28"/>
      <w:szCs w:val="20"/>
      <w:lang w:val="en-US" w:eastAsia="en-US"/>
    </w:rPr>
  </w:style>
  <w:style w:type="character" w:customStyle="1" w:styleId="HTMLPreformattedChar">
    <w:name w:val="HTML Preformatted Char"/>
    <w:basedOn w:val="DefaultParagraphFont"/>
    <w:link w:val="HTMLPreformatted"/>
    <w:uiPriority w:val="99"/>
    <w:semiHidden/>
    <w:rsid w:val="00A20B87"/>
    <w:rPr>
      <w:rFonts w:ascii="Verdana" w:eastAsia="Calibri" w:hAnsi="Verdana" w:cs="Consolas"/>
      <w:kern w:val="28"/>
      <w:sz w:val="20"/>
      <w:szCs w:val="20"/>
      <w:lang w:eastAsia="en-US"/>
    </w:rPr>
  </w:style>
  <w:style w:type="paragraph" w:styleId="HTMLPreformatted">
    <w:name w:val="HTML Preformatted"/>
    <w:basedOn w:val="Normal"/>
    <w:link w:val="HTMLPreformattedChar"/>
    <w:uiPriority w:val="99"/>
    <w:semiHidden/>
    <w:unhideWhenUsed/>
    <w:rsid w:val="00A20B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eastAsia="Calibri" w:cs="Consolas"/>
      <w:kern w:val="28"/>
      <w:szCs w:val="20"/>
      <w:lang w:eastAsia="en-US"/>
    </w:rPr>
  </w:style>
  <w:style w:type="character" w:styleId="Strong">
    <w:name w:val="Strong"/>
    <w:basedOn w:val="Heading4Char"/>
    <w:uiPriority w:val="22"/>
    <w:qFormat/>
    <w:rsid w:val="00A20B87"/>
    <w:rPr>
      <w:rFonts w:ascii="Verdana" w:eastAsiaTheme="minorHAnsi" w:hAnsi="Verdana" w:cs="Arial" w:hint="default"/>
      <w:b/>
      <w:bCs/>
      <w:i/>
      <w:iCs/>
      <w:noProof/>
      <w:color w:val="252C65" w:themeColor="text2"/>
      <w:sz w:val="24"/>
      <w:szCs w:val="24"/>
      <w:lang w:eastAsia="en-US"/>
    </w:rPr>
  </w:style>
  <w:style w:type="paragraph" w:styleId="TOC6">
    <w:name w:val="toc 6"/>
    <w:basedOn w:val="Normal"/>
    <w:next w:val="Normal"/>
    <w:autoRedefine/>
    <w:uiPriority w:val="39"/>
    <w:semiHidden/>
    <w:unhideWhenUsed/>
    <w:rsid w:val="00A20B87"/>
    <w:pPr>
      <w:spacing w:before="0" w:after="100"/>
      <w:ind w:left="1000"/>
    </w:pPr>
    <w:rPr>
      <w:rFonts w:eastAsiaTheme="minorHAnsi" w:cs="Arial"/>
      <w:noProof/>
      <w:szCs w:val="22"/>
      <w:lang w:eastAsia="en-US"/>
    </w:rPr>
  </w:style>
  <w:style w:type="character" w:customStyle="1" w:styleId="CommentTextChar">
    <w:name w:val="Comment Text Char"/>
    <w:basedOn w:val="DefaultParagraphFont"/>
    <w:link w:val="CommentText"/>
    <w:uiPriority w:val="99"/>
    <w:semiHidden/>
    <w:rsid w:val="00A20B87"/>
    <w:rPr>
      <w:rFonts w:ascii="Verdana" w:eastAsiaTheme="minorHAnsi" w:hAnsi="Verdana" w:cs="Arial"/>
      <w:noProof/>
      <w:sz w:val="22"/>
      <w:szCs w:val="20"/>
      <w:lang w:eastAsia="en-US"/>
    </w:rPr>
  </w:style>
  <w:style w:type="paragraph" w:styleId="CommentText">
    <w:name w:val="annotation text"/>
    <w:basedOn w:val="Normal"/>
    <w:link w:val="CommentTextChar"/>
    <w:uiPriority w:val="99"/>
    <w:semiHidden/>
    <w:unhideWhenUsed/>
    <w:rsid w:val="00A20B87"/>
    <w:pPr>
      <w:spacing w:before="0"/>
    </w:pPr>
    <w:rPr>
      <w:rFonts w:eastAsiaTheme="minorHAnsi" w:cs="Arial"/>
      <w:noProof/>
      <w:szCs w:val="20"/>
      <w:lang w:eastAsia="en-US"/>
    </w:rPr>
  </w:style>
  <w:style w:type="character" w:customStyle="1" w:styleId="MacroTextChar">
    <w:name w:val="Macro Text Char"/>
    <w:basedOn w:val="DefaultParagraphFont"/>
    <w:link w:val="MacroText"/>
    <w:uiPriority w:val="99"/>
    <w:semiHidden/>
    <w:rsid w:val="00A20B87"/>
    <w:rPr>
      <w:rFonts w:ascii="Verdana" w:eastAsiaTheme="minorHAnsi" w:hAnsi="Verdana" w:cs="Consolas"/>
      <w:sz w:val="22"/>
      <w:szCs w:val="22"/>
      <w:lang w:eastAsia="en-US"/>
    </w:rPr>
  </w:style>
  <w:style w:type="paragraph" w:styleId="MacroText">
    <w:name w:val="macro"/>
    <w:link w:val="MacroTextChar"/>
    <w:uiPriority w:val="99"/>
    <w:semiHidden/>
    <w:unhideWhenUsed/>
    <w:rsid w:val="00A20B87"/>
    <w:pPr>
      <w:tabs>
        <w:tab w:val="left" w:pos="480"/>
        <w:tab w:val="left" w:pos="960"/>
        <w:tab w:val="left" w:pos="1440"/>
        <w:tab w:val="left" w:pos="1920"/>
        <w:tab w:val="left" w:pos="2400"/>
        <w:tab w:val="left" w:pos="2880"/>
        <w:tab w:val="left" w:pos="3360"/>
        <w:tab w:val="left" w:pos="3840"/>
        <w:tab w:val="left" w:pos="4320"/>
      </w:tabs>
      <w:spacing w:after="160" w:line="288" w:lineRule="auto"/>
    </w:pPr>
    <w:rPr>
      <w:rFonts w:ascii="Verdana" w:eastAsiaTheme="minorHAnsi" w:hAnsi="Verdana" w:cs="Consolas"/>
      <w:sz w:val="22"/>
      <w:szCs w:val="22"/>
      <w:lang w:eastAsia="en-US"/>
    </w:rPr>
  </w:style>
  <w:style w:type="paragraph" w:styleId="List">
    <w:name w:val="List"/>
    <w:basedOn w:val="Normal"/>
    <w:uiPriority w:val="99"/>
    <w:semiHidden/>
    <w:unhideWhenUsed/>
    <w:rsid w:val="00A20B87"/>
    <w:pPr>
      <w:numPr>
        <w:numId w:val="3"/>
      </w:numPr>
      <w:spacing w:before="0"/>
      <w:ind w:left="454" w:hanging="454"/>
    </w:pPr>
    <w:rPr>
      <w:rFonts w:eastAsiaTheme="minorHAnsi" w:cs="Arial"/>
      <w:noProof/>
      <w:szCs w:val="22"/>
      <w:lang w:eastAsia="en-US"/>
    </w:rPr>
  </w:style>
  <w:style w:type="paragraph" w:styleId="ListBullet">
    <w:name w:val="List Bullet"/>
    <w:basedOn w:val="Normal"/>
    <w:uiPriority w:val="99"/>
    <w:semiHidden/>
    <w:unhideWhenUsed/>
    <w:rsid w:val="00A20B87"/>
    <w:pPr>
      <w:numPr>
        <w:numId w:val="4"/>
      </w:numPr>
      <w:spacing w:before="0"/>
      <w:contextualSpacing/>
    </w:pPr>
    <w:rPr>
      <w:rFonts w:eastAsiaTheme="minorHAnsi" w:cs="Arial"/>
      <w:noProof/>
      <w:szCs w:val="22"/>
      <w:lang w:eastAsia="en-US"/>
    </w:rPr>
  </w:style>
  <w:style w:type="paragraph" w:styleId="List2">
    <w:name w:val="List 2"/>
    <w:basedOn w:val="Normal"/>
    <w:uiPriority w:val="99"/>
    <w:semiHidden/>
    <w:unhideWhenUsed/>
    <w:rsid w:val="00A20B87"/>
    <w:pPr>
      <w:numPr>
        <w:ilvl w:val="1"/>
        <w:numId w:val="3"/>
      </w:numPr>
      <w:spacing w:before="0"/>
      <w:ind w:left="908" w:hanging="454"/>
    </w:pPr>
    <w:rPr>
      <w:rFonts w:eastAsiaTheme="minorHAnsi" w:cs="Arial"/>
      <w:noProof/>
      <w:szCs w:val="22"/>
      <w:lang w:eastAsia="en-US"/>
    </w:rPr>
  </w:style>
  <w:style w:type="paragraph" w:styleId="List5">
    <w:name w:val="List 5"/>
    <w:basedOn w:val="Normal"/>
    <w:uiPriority w:val="99"/>
    <w:semiHidden/>
    <w:unhideWhenUsed/>
    <w:rsid w:val="00A20B87"/>
    <w:pPr>
      <w:numPr>
        <w:ilvl w:val="4"/>
        <w:numId w:val="3"/>
      </w:numPr>
      <w:spacing w:before="0"/>
      <w:contextualSpacing/>
    </w:pPr>
    <w:rPr>
      <w:rFonts w:eastAsiaTheme="minorHAnsi" w:cs="Arial"/>
      <w:noProof/>
      <w:szCs w:val="22"/>
      <w:lang w:eastAsia="en-US"/>
    </w:rPr>
  </w:style>
  <w:style w:type="paragraph" w:styleId="ListBullet2">
    <w:name w:val="List Bullet 2"/>
    <w:basedOn w:val="Normal"/>
    <w:uiPriority w:val="99"/>
    <w:semiHidden/>
    <w:unhideWhenUsed/>
    <w:rsid w:val="00A20B87"/>
    <w:pPr>
      <w:numPr>
        <w:numId w:val="5"/>
      </w:numPr>
      <w:spacing w:before="0"/>
      <w:contextualSpacing/>
    </w:pPr>
    <w:rPr>
      <w:rFonts w:eastAsiaTheme="minorHAnsi" w:cs="Arial"/>
      <w:noProof/>
      <w:szCs w:val="22"/>
      <w:lang w:eastAsia="en-US"/>
    </w:rPr>
  </w:style>
  <w:style w:type="paragraph" w:styleId="BodyText">
    <w:name w:val="Body Text"/>
    <w:basedOn w:val="Normal"/>
    <w:link w:val="BodyTextChar"/>
    <w:uiPriority w:val="99"/>
    <w:semiHidden/>
    <w:unhideWhenUsed/>
    <w:rsid w:val="005F0906"/>
    <w:pPr>
      <w:spacing w:before="0"/>
    </w:pPr>
    <w:rPr>
      <w:rFonts w:eastAsiaTheme="minorHAnsi" w:cs="Arial"/>
      <w:szCs w:val="22"/>
      <w:lang w:eastAsia="en-US"/>
    </w:rPr>
  </w:style>
  <w:style w:type="character" w:customStyle="1" w:styleId="BodyTextChar">
    <w:name w:val="Body Text Char"/>
    <w:basedOn w:val="DefaultParagraphFont"/>
    <w:link w:val="BodyText"/>
    <w:uiPriority w:val="99"/>
    <w:semiHidden/>
    <w:rsid w:val="005F0906"/>
    <w:rPr>
      <w:rFonts w:ascii="Verdana" w:eastAsiaTheme="minorHAnsi" w:hAnsi="Verdana" w:cs="Arial"/>
      <w:sz w:val="22"/>
      <w:szCs w:val="22"/>
      <w:lang w:eastAsia="en-US"/>
    </w:rPr>
  </w:style>
  <w:style w:type="character" w:customStyle="1" w:styleId="BodyTextIndentChar">
    <w:name w:val="Body Text Indent Char"/>
    <w:basedOn w:val="DefaultParagraphFont"/>
    <w:link w:val="BodyTextIndent"/>
    <w:uiPriority w:val="99"/>
    <w:semiHidden/>
    <w:rsid w:val="00A20B87"/>
    <w:rPr>
      <w:rFonts w:ascii="Verdana" w:eastAsiaTheme="minorHAnsi" w:hAnsi="Verdana" w:cs="Arial"/>
      <w:noProof/>
      <w:sz w:val="22"/>
      <w:szCs w:val="22"/>
      <w:lang w:eastAsia="en-US"/>
    </w:rPr>
  </w:style>
  <w:style w:type="paragraph" w:styleId="BodyTextIndent">
    <w:name w:val="Body Text Indent"/>
    <w:basedOn w:val="Normal"/>
    <w:link w:val="BodyTextIndentChar"/>
    <w:uiPriority w:val="99"/>
    <w:semiHidden/>
    <w:unhideWhenUsed/>
    <w:rsid w:val="00A20B87"/>
    <w:pPr>
      <w:spacing w:before="0"/>
      <w:ind w:left="283"/>
    </w:pPr>
    <w:rPr>
      <w:rFonts w:eastAsiaTheme="minorHAnsi" w:cs="Arial"/>
      <w:noProof/>
      <w:szCs w:val="22"/>
      <w:lang w:eastAsia="en-US"/>
    </w:rPr>
  </w:style>
  <w:style w:type="paragraph" w:styleId="MessageHeader">
    <w:name w:val="Message Header"/>
    <w:basedOn w:val="Normal"/>
    <w:link w:val="MessageHeaderChar"/>
    <w:uiPriority w:val="99"/>
    <w:semiHidden/>
    <w:unhideWhenUsed/>
    <w:rsid w:val="00A20B87"/>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eastAsiaTheme="majorEastAsia" w:cstheme="majorBidi"/>
      <w:kern w:val="28"/>
      <w:lang w:eastAsia="en-US"/>
    </w:rPr>
  </w:style>
  <w:style w:type="character" w:customStyle="1" w:styleId="MessageHeaderChar">
    <w:name w:val="Message Header Char"/>
    <w:basedOn w:val="DefaultParagraphFont"/>
    <w:link w:val="MessageHeader"/>
    <w:uiPriority w:val="99"/>
    <w:semiHidden/>
    <w:rsid w:val="00A20B87"/>
    <w:rPr>
      <w:rFonts w:ascii="Verdana" w:eastAsiaTheme="majorEastAsia" w:hAnsi="Verdana" w:cstheme="majorBidi"/>
      <w:kern w:val="28"/>
      <w:sz w:val="20"/>
      <w:shd w:val="pct20" w:color="auto" w:fill="auto"/>
      <w:lang w:eastAsia="en-US"/>
    </w:rPr>
  </w:style>
  <w:style w:type="character" w:customStyle="1" w:styleId="BodyText2Char">
    <w:name w:val="Body Text 2 Char"/>
    <w:basedOn w:val="DefaultParagraphFont"/>
    <w:link w:val="BodyText2"/>
    <w:uiPriority w:val="99"/>
    <w:semiHidden/>
    <w:rsid w:val="005F0906"/>
    <w:rPr>
      <w:rFonts w:ascii="Verdana" w:eastAsiaTheme="minorHAnsi" w:hAnsi="Verdana" w:cs="Arial"/>
      <w:sz w:val="22"/>
      <w:szCs w:val="22"/>
      <w:lang w:eastAsia="en-US"/>
    </w:rPr>
  </w:style>
  <w:style w:type="paragraph" w:styleId="BodyText2">
    <w:name w:val="Body Text 2"/>
    <w:basedOn w:val="Normal"/>
    <w:link w:val="BodyText2Char"/>
    <w:uiPriority w:val="99"/>
    <w:semiHidden/>
    <w:unhideWhenUsed/>
    <w:rsid w:val="005F0906"/>
    <w:pPr>
      <w:spacing w:before="0" w:line="480" w:lineRule="auto"/>
    </w:pPr>
    <w:rPr>
      <w:rFonts w:eastAsiaTheme="minorHAnsi" w:cs="Arial"/>
      <w:szCs w:val="22"/>
      <w:lang w:eastAsia="en-US"/>
    </w:rPr>
  </w:style>
  <w:style w:type="character" w:customStyle="1" w:styleId="BodyText3Char">
    <w:name w:val="Body Text 3 Char"/>
    <w:basedOn w:val="DefaultParagraphFont"/>
    <w:link w:val="BodyText3"/>
    <w:uiPriority w:val="99"/>
    <w:semiHidden/>
    <w:rsid w:val="00AC47D6"/>
    <w:rPr>
      <w:rFonts w:ascii="Verdana" w:eastAsiaTheme="minorHAnsi" w:hAnsi="Verdana" w:cs="Arial"/>
      <w:sz w:val="22"/>
      <w:szCs w:val="16"/>
      <w:lang w:eastAsia="en-US"/>
    </w:rPr>
  </w:style>
  <w:style w:type="paragraph" w:styleId="BodyText3">
    <w:name w:val="Body Text 3"/>
    <w:basedOn w:val="Normal"/>
    <w:link w:val="BodyText3Char"/>
    <w:uiPriority w:val="99"/>
    <w:semiHidden/>
    <w:unhideWhenUsed/>
    <w:rsid w:val="00AC47D6"/>
    <w:pPr>
      <w:spacing w:before="0"/>
    </w:pPr>
    <w:rPr>
      <w:rFonts w:eastAsiaTheme="minorHAnsi" w:cs="Arial"/>
      <w:szCs w:val="16"/>
      <w:lang w:eastAsia="en-US"/>
    </w:rPr>
  </w:style>
  <w:style w:type="character" w:customStyle="1" w:styleId="DocumentMapChar">
    <w:name w:val="Document Map Char"/>
    <w:basedOn w:val="DefaultParagraphFont"/>
    <w:link w:val="DocumentMap"/>
    <w:uiPriority w:val="99"/>
    <w:semiHidden/>
    <w:rsid w:val="00A20B87"/>
    <w:rPr>
      <w:rFonts w:ascii="Verdana" w:eastAsia="Calibri" w:hAnsi="Verdana" w:cs="Tahoma"/>
      <w:kern w:val="28"/>
      <w:sz w:val="16"/>
      <w:szCs w:val="16"/>
      <w:lang w:eastAsia="en-US"/>
    </w:rPr>
  </w:style>
  <w:style w:type="paragraph" w:styleId="DocumentMap">
    <w:name w:val="Document Map"/>
    <w:basedOn w:val="Normal"/>
    <w:link w:val="DocumentMapChar"/>
    <w:uiPriority w:val="99"/>
    <w:semiHidden/>
    <w:unhideWhenUsed/>
    <w:rsid w:val="00A20B87"/>
    <w:pPr>
      <w:spacing w:after="0"/>
    </w:pPr>
    <w:rPr>
      <w:rFonts w:eastAsia="Calibri" w:cs="Tahoma"/>
      <w:kern w:val="28"/>
      <w:sz w:val="16"/>
      <w:szCs w:val="16"/>
      <w:lang w:eastAsia="en-US"/>
    </w:rPr>
  </w:style>
  <w:style w:type="character" w:customStyle="1" w:styleId="CommentSubjectChar">
    <w:name w:val="Comment Subject Char"/>
    <w:basedOn w:val="CommentTextChar"/>
    <w:link w:val="CommentSubject"/>
    <w:uiPriority w:val="99"/>
    <w:semiHidden/>
    <w:rsid w:val="00A20B87"/>
    <w:rPr>
      <w:rFonts w:ascii="Verdana" w:eastAsia="Calibri" w:hAnsi="Verdana" w:cs="Arial"/>
      <w:b/>
      <w:bCs/>
      <w:noProof/>
      <w:kern w:val="28"/>
      <w:sz w:val="20"/>
      <w:szCs w:val="20"/>
      <w:lang w:eastAsia="en-US"/>
    </w:rPr>
  </w:style>
  <w:style w:type="paragraph" w:styleId="CommentSubject">
    <w:name w:val="annotation subject"/>
    <w:basedOn w:val="CommentText"/>
    <w:next w:val="CommentText"/>
    <w:link w:val="CommentSubjectChar"/>
    <w:uiPriority w:val="99"/>
    <w:semiHidden/>
    <w:unhideWhenUsed/>
    <w:rsid w:val="00A20B87"/>
    <w:pPr>
      <w:spacing w:before="120" w:after="240"/>
    </w:pPr>
    <w:rPr>
      <w:rFonts w:eastAsia="Calibri"/>
      <w:b/>
      <w:bCs/>
      <w:noProof w:val="0"/>
      <w:kern w:val="28"/>
      <w:sz w:val="20"/>
    </w:rPr>
  </w:style>
  <w:style w:type="paragraph" w:styleId="NoSpacing">
    <w:name w:val="No Spacing"/>
    <w:basedOn w:val="BodyText"/>
    <w:uiPriority w:val="1"/>
    <w:qFormat/>
    <w:rsid w:val="00A20B87"/>
  </w:style>
  <w:style w:type="paragraph" w:styleId="IntenseQuote">
    <w:name w:val="Intense Quote"/>
    <w:basedOn w:val="Normal"/>
    <w:next w:val="Normal"/>
    <w:link w:val="IntenseQuoteChar"/>
    <w:uiPriority w:val="30"/>
    <w:qFormat/>
    <w:rsid w:val="00A20B87"/>
    <w:pPr>
      <w:pBdr>
        <w:bottom w:val="single" w:sz="4" w:space="4" w:color="0095D9" w:themeColor="accent1"/>
      </w:pBdr>
      <w:spacing w:before="200" w:after="280"/>
      <w:ind w:left="936" w:right="936"/>
    </w:pPr>
    <w:rPr>
      <w:rFonts w:eastAsiaTheme="minorHAnsi" w:cs="Arial"/>
      <w:b/>
      <w:bCs/>
      <w:i/>
      <w:iCs/>
      <w:noProof/>
      <w:szCs w:val="22"/>
      <w:lang w:eastAsia="en-US"/>
    </w:rPr>
  </w:style>
  <w:style w:type="character" w:customStyle="1" w:styleId="IntenseQuoteChar">
    <w:name w:val="Intense Quote Char"/>
    <w:basedOn w:val="DefaultParagraphFont"/>
    <w:link w:val="IntenseQuote"/>
    <w:uiPriority w:val="30"/>
    <w:rsid w:val="00A20B87"/>
    <w:rPr>
      <w:rFonts w:ascii="Verdana" w:eastAsiaTheme="minorHAnsi" w:hAnsi="Verdana" w:cs="Arial"/>
      <w:b/>
      <w:bCs/>
      <w:i/>
      <w:iCs/>
      <w:noProof/>
      <w:sz w:val="22"/>
      <w:szCs w:val="22"/>
      <w:lang w:eastAsia="en-US"/>
    </w:rPr>
  </w:style>
  <w:style w:type="paragraph" w:customStyle="1" w:styleId="Bullet2">
    <w:name w:val="Bullet2"/>
    <w:uiPriority w:val="99"/>
    <w:semiHidden/>
    <w:qFormat/>
    <w:rsid w:val="00A20B87"/>
    <w:pPr>
      <w:numPr>
        <w:numId w:val="6"/>
      </w:numPr>
      <w:spacing w:before="120" w:after="160" w:line="256" w:lineRule="auto"/>
    </w:pPr>
    <w:rPr>
      <w:rFonts w:ascii="Verdana" w:eastAsia="Times New Roman" w:hAnsi="Verdana"/>
      <w:sz w:val="22"/>
      <w:szCs w:val="22"/>
      <w:lang w:eastAsia="en-US"/>
    </w:rPr>
  </w:style>
  <w:style w:type="character" w:styleId="CommentReference">
    <w:name w:val="annotation reference"/>
    <w:basedOn w:val="DefaultParagraphFont"/>
    <w:uiPriority w:val="99"/>
    <w:semiHidden/>
    <w:unhideWhenUsed/>
    <w:rsid w:val="00A20B87"/>
    <w:rPr>
      <w:rFonts w:ascii="Verdana" w:hAnsi="Verdana" w:hint="default"/>
      <w:sz w:val="16"/>
      <w:szCs w:val="16"/>
    </w:rPr>
  </w:style>
  <w:style w:type="character" w:styleId="SubtleEmphasis">
    <w:name w:val="Subtle Emphasis"/>
    <w:basedOn w:val="Heading4Char"/>
    <w:uiPriority w:val="99"/>
    <w:qFormat/>
    <w:rsid w:val="00A20B87"/>
    <w:rPr>
      <w:rFonts w:ascii="Verdana" w:eastAsiaTheme="minorHAnsi" w:hAnsi="Verdana" w:cs="Times New Roman" w:hint="default"/>
      <w:b w:val="0"/>
      <w:bCs w:val="0"/>
      <w:i/>
      <w:iCs w:val="0"/>
      <w:noProof/>
      <w:color w:val="auto"/>
      <w:sz w:val="24"/>
      <w:szCs w:val="24"/>
      <w:lang w:eastAsia="en-US"/>
    </w:rPr>
  </w:style>
  <w:style w:type="character" w:styleId="IntenseEmphasis">
    <w:name w:val="Intense Emphasis"/>
    <w:basedOn w:val="DefaultParagraphFont"/>
    <w:uiPriority w:val="21"/>
    <w:qFormat/>
    <w:rsid w:val="00A20B87"/>
    <w:rPr>
      <w:b/>
      <w:bCs/>
      <w:i/>
      <w:iCs/>
      <w:color w:val="auto"/>
    </w:rPr>
  </w:style>
  <w:style w:type="character" w:styleId="IntenseReference">
    <w:name w:val="Intense Reference"/>
    <w:basedOn w:val="DefaultParagraphFont"/>
    <w:uiPriority w:val="32"/>
    <w:qFormat/>
    <w:rsid w:val="00A20B87"/>
    <w:rPr>
      <w:b/>
      <w:bCs/>
      <w:smallCaps/>
      <w:spacing w:val="5"/>
    </w:rPr>
  </w:style>
  <w:style w:type="character" w:styleId="BookTitle">
    <w:name w:val="Book Title"/>
    <w:basedOn w:val="DefaultParagraphFont"/>
    <w:uiPriority w:val="33"/>
    <w:qFormat/>
    <w:rsid w:val="00A20B87"/>
    <w:rPr>
      <w:rFonts w:ascii="Verdana" w:hAnsi="Verdana" w:hint="default"/>
      <w:b w:val="0"/>
      <w:bCs/>
      <w:i/>
      <w:iCs w:val="0"/>
      <w:caps w:val="0"/>
      <w:smallCaps w:val="0"/>
      <w:spacing w:val="5"/>
      <w:sz w:val="20"/>
    </w:rPr>
  </w:style>
  <w:style w:type="table" w:styleId="TableList3">
    <w:name w:val="Table List 3"/>
    <w:basedOn w:val="TableNormal"/>
    <w:uiPriority w:val="99"/>
    <w:semiHidden/>
    <w:unhideWhenUsed/>
    <w:rsid w:val="00A20B87"/>
    <w:pPr>
      <w:spacing w:after="120" w:line="288" w:lineRule="auto"/>
    </w:pPr>
    <w:rPr>
      <w:rFonts w:ascii="Verdana" w:eastAsiaTheme="minorHAnsi" w:hAnsi="Verdana"/>
      <w:sz w:val="18"/>
      <w:szCs w:val="22"/>
      <w:lang w:eastAsia="en-US"/>
    </w:rPr>
    <w:tblPr>
      <w:tblInd w:w="0" w:type="nil"/>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A20B87"/>
    <w:pPr>
      <w:spacing w:after="120" w:line="288" w:lineRule="auto"/>
    </w:pPr>
    <w:rPr>
      <w:rFonts w:ascii="Verdana" w:eastAsiaTheme="minorHAnsi" w:hAnsi="Verdana"/>
      <w:sz w:val="18"/>
      <w:szCs w:val="22"/>
      <w:lang w:eastAsia="en-US"/>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MediumShading1">
    <w:name w:val="Medium Shading 1"/>
    <w:basedOn w:val="TableNormal"/>
    <w:uiPriority w:val="63"/>
    <w:semiHidden/>
    <w:unhideWhenUsed/>
    <w:rsid w:val="00A20B87"/>
    <w:pPr>
      <w:spacing w:after="160" w:line="256" w:lineRule="auto"/>
    </w:pPr>
    <w:rPr>
      <w:rFonts w:ascii="Verdana" w:eastAsiaTheme="minorHAnsi" w:hAnsi="Verdana"/>
      <w:sz w:val="18"/>
      <w:szCs w:val="22"/>
      <w:lang w:eastAsia="en-US"/>
    </w:rPr>
    <w:tblPr>
      <w:tblStyleRowBandSize w:val="1"/>
      <w:tblStyleColBandSize w:val="1"/>
      <w:tblInd w:w="0" w:type="nil"/>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Lines="0" w:before="0" w:beforeAutospacing="0" w:afterLines="0" w:after="0" w:afterAutospacing="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Lines="0" w:before="0" w:beforeAutospacing="0" w:afterLines="0" w:after="0" w:afterAutospacing="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List1-Accent1">
    <w:name w:val="Medium List 1 Accent 1"/>
    <w:basedOn w:val="TableNormal"/>
    <w:uiPriority w:val="65"/>
    <w:semiHidden/>
    <w:unhideWhenUsed/>
    <w:rsid w:val="00A20B87"/>
    <w:pPr>
      <w:spacing w:after="160" w:line="256" w:lineRule="auto"/>
    </w:pPr>
    <w:rPr>
      <w:rFonts w:ascii="Verdana" w:eastAsiaTheme="minorHAnsi" w:hAnsi="Verdana"/>
      <w:color w:val="000000" w:themeColor="text1"/>
      <w:sz w:val="18"/>
      <w:szCs w:val="22"/>
      <w:lang w:eastAsia="en-US"/>
    </w:rPr>
    <w:tblPr>
      <w:tblStyleRowBandSize w:val="1"/>
      <w:tblStyleColBandSize w:val="1"/>
      <w:tblInd w:w="0" w:type="nil"/>
      <w:tblBorders>
        <w:top w:val="single" w:sz="8" w:space="0" w:color="0095D9" w:themeColor="accent1"/>
        <w:bottom w:val="single" w:sz="8" w:space="0" w:color="0095D9" w:themeColor="accent1"/>
      </w:tblBorders>
    </w:tblPr>
    <w:tblStylePr w:type="firstRow">
      <w:rPr>
        <w:rFonts w:asciiTheme="majorHAnsi" w:eastAsiaTheme="majorEastAsia" w:hAnsiTheme="majorHAnsi" w:cstheme="majorBidi" w:hint="default"/>
      </w:rPr>
      <w:tblPr/>
      <w:tcPr>
        <w:tcBorders>
          <w:top w:val="nil"/>
          <w:bottom w:val="single" w:sz="8" w:space="0" w:color="0095D9" w:themeColor="accent1"/>
        </w:tcBorders>
      </w:tcPr>
    </w:tblStylePr>
    <w:tblStylePr w:type="lastRow">
      <w:rPr>
        <w:b/>
        <w:bCs/>
        <w:color w:val="252C65" w:themeColor="text2"/>
      </w:rPr>
      <w:tblPr/>
      <w:tcPr>
        <w:tcBorders>
          <w:top w:val="single" w:sz="8" w:space="0" w:color="0095D9" w:themeColor="accent1"/>
          <w:bottom w:val="single" w:sz="8" w:space="0" w:color="0095D9" w:themeColor="accent1"/>
        </w:tcBorders>
      </w:tcPr>
    </w:tblStylePr>
    <w:tblStylePr w:type="firstCol">
      <w:rPr>
        <w:b/>
        <w:bCs/>
      </w:rPr>
    </w:tblStylePr>
    <w:tblStylePr w:type="lastCol">
      <w:rPr>
        <w:b/>
        <w:bCs/>
      </w:rPr>
      <w:tblPr/>
      <w:tcPr>
        <w:tcBorders>
          <w:top w:val="single" w:sz="8" w:space="0" w:color="0095D9" w:themeColor="accent1"/>
          <w:bottom w:val="single" w:sz="8" w:space="0" w:color="0095D9" w:themeColor="accent1"/>
        </w:tcBorders>
      </w:tcPr>
    </w:tblStylePr>
    <w:tblStylePr w:type="band1Vert">
      <w:tblPr/>
      <w:tcPr>
        <w:shd w:val="clear" w:color="auto" w:fill="B6E8FF" w:themeFill="accent1" w:themeFillTint="3F"/>
      </w:tcPr>
    </w:tblStylePr>
    <w:tblStylePr w:type="band1Horz">
      <w:tblPr/>
      <w:tcPr>
        <w:shd w:val="clear" w:color="auto" w:fill="B6E8FF" w:themeFill="accent1" w:themeFillTint="3F"/>
      </w:tcPr>
    </w:tblStylePr>
  </w:style>
  <w:style w:type="table" w:customStyle="1" w:styleId="MSDreporttable">
    <w:name w:val="MSD_report_table"/>
    <w:basedOn w:val="TableNormal"/>
    <w:uiPriority w:val="99"/>
    <w:rsid w:val="00671752"/>
    <w:tblPr/>
  </w:style>
  <w:style w:type="table" w:styleId="PlainTable2">
    <w:name w:val="Plain Table 2"/>
    <w:basedOn w:val="TableNormal"/>
    <w:uiPriority w:val="42"/>
    <w:rsid w:val="00671752"/>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GridTable1Light-Accent3">
    <w:name w:val="Grid Table 1 Light Accent 3"/>
    <w:basedOn w:val="TableNormal"/>
    <w:uiPriority w:val="46"/>
    <w:rsid w:val="00671752"/>
    <w:tblPr>
      <w:tblStyleRowBandSize w:val="1"/>
      <w:tblStyleColBandSize w:val="1"/>
      <w:tblBorders>
        <w:top w:val="single" w:sz="4" w:space="0" w:color="D0E8B4" w:themeColor="accent3" w:themeTint="66"/>
        <w:left w:val="single" w:sz="4" w:space="0" w:color="D0E8B4" w:themeColor="accent3" w:themeTint="66"/>
        <w:bottom w:val="single" w:sz="4" w:space="0" w:color="D0E8B4" w:themeColor="accent3" w:themeTint="66"/>
        <w:right w:val="single" w:sz="4" w:space="0" w:color="D0E8B4" w:themeColor="accent3" w:themeTint="66"/>
        <w:insideH w:val="single" w:sz="4" w:space="0" w:color="D0E8B4" w:themeColor="accent3" w:themeTint="66"/>
        <w:insideV w:val="single" w:sz="4" w:space="0" w:color="D0E8B4" w:themeColor="accent3" w:themeTint="66"/>
      </w:tblBorders>
    </w:tblPr>
    <w:tblStylePr w:type="firstRow">
      <w:rPr>
        <w:b/>
        <w:bCs/>
      </w:rPr>
      <w:tblPr/>
      <w:tcPr>
        <w:tcBorders>
          <w:bottom w:val="single" w:sz="12" w:space="0" w:color="B9DC8F" w:themeColor="accent3" w:themeTint="99"/>
        </w:tcBorders>
      </w:tcPr>
    </w:tblStylePr>
    <w:tblStylePr w:type="lastRow">
      <w:rPr>
        <w:b/>
        <w:bCs/>
      </w:rPr>
      <w:tblPr/>
      <w:tcPr>
        <w:tcBorders>
          <w:top w:val="double" w:sz="2" w:space="0" w:color="B9DC8F" w:themeColor="accent3" w:themeTint="99"/>
        </w:tcBorders>
      </w:tcPr>
    </w:tblStylePr>
    <w:tblStylePr w:type="firstCol">
      <w:rPr>
        <w:b/>
        <w:bCs/>
      </w:rPr>
    </w:tblStylePr>
    <w:tblStylePr w:type="lastCol">
      <w:rPr>
        <w:b/>
        <w:bCs/>
      </w:rPr>
    </w:tblStylePr>
  </w:style>
  <w:style w:type="paragraph" w:customStyle="1" w:styleId="SourceCode">
    <w:name w:val="Source Code"/>
    <w:basedOn w:val="Normal"/>
    <w:pPr>
      <w:shd w:val="clear" w:color="auto" w:fill="F8F8F8"/>
      <w:wordWrap w:val="0"/>
    </w:pPr>
  </w:style>
  <w:style w:type="character" w:customStyle="1" w:styleId="KeywordTok">
    <w:name w:val="KeywordTok"/>
    <w:rPr>
      <w:b/>
      <w:color w:val="204A87"/>
      <w:shd w:val="clear" w:color="auto" w:fill="F8F8F8"/>
    </w:rPr>
  </w:style>
  <w:style w:type="character" w:customStyle="1" w:styleId="DataTypeTok">
    <w:name w:val="DataTypeTok"/>
    <w:rPr>
      <w:color w:val="204A87"/>
      <w:shd w:val="clear" w:color="auto" w:fill="F8F8F8"/>
    </w:rPr>
  </w:style>
  <w:style w:type="character" w:customStyle="1" w:styleId="DecValTok">
    <w:name w:val="DecValTok"/>
    <w:rPr>
      <w:color w:val="0000CF"/>
      <w:shd w:val="clear" w:color="auto" w:fill="F8F8F8"/>
    </w:rPr>
  </w:style>
  <w:style w:type="character" w:customStyle="1" w:styleId="BaseNTok">
    <w:name w:val="BaseNTok"/>
    <w:rPr>
      <w:color w:val="0000CF"/>
      <w:shd w:val="clear" w:color="auto" w:fill="F8F8F8"/>
    </w:rPr>
  </w:style>
  <w:style w:type="character" w:customStyle="1" w:styleId="FloatTok">
    <w:name w:val="FloatTok"/>
    <w:rPr>
      <w:color w:val="0000CF"/>
      <w:shd w:val="clear" w:color="auto" w:fill="F8F8F8"/>
    </w:rPr>
  </w:style>
  <w:style w:type="character" w:customStyle="1" w:styleId="ConstantTok">
    <w:name w:val="ConstantTok"/>
    <w:rPr>
      <w:color w:val="000000"/>
      <w:shd w:val="clear" w:color="auto" w:fill="F8F8F8"/>
    </w:rPr>
  </w:style>
  <w:style w:type="character" w:customStyle="1" w:styleId="CharTok">
    <w:name w:val="CharTok"/>
    <w:rPr>
      <w:color w:val="4E9A06"/>
      <w:shd w:val="clear" w:color="auto" w:fill="F8F8F8"/>
    </w:rPr>
  </w:style>
  <w:style w:type="character" w:customStyle="1" w:styleId="SpecialCharTok">
    <w:name w:val="SpecialCharTok"/>
    <w:rPr>
      <w:color w:val="000000"/>
      <w:shd w:val="clear" w:color="auto" w:fill="F8F8F8"/>
    </w:rPr>
  </w:style>
  <w:style w:type="character" w:customStyle="1" w:styleId="StringTok">
    <w:name w:val="StringTok"/>
    <w:rPr>
      <w:color w:val="4E9A06"/>
      <w:shd w:val="clear" w:color="auto" w:fill="F8F8F8"/>
    </w:rPr>
  </w:style>
  <w:style w:type="character" w:customStyle="1" w:styleId="VerbatimStringTok">
    <w:name w:val="VerbatimStringTok"/>
    <w:rPr>
      <w:color w:val="4E9A06"/>
      <w:shd w:val="clear" w:color="auto" w:fill="F8F8F8"/>
    </w:rPr>
  </w:style>
  <w:style w:type="character" w:customStyle="1" w:styleId="SpecialStringTok">
    <w:name w:val="SpecialStringTok"/>
    <w:rPr>
      <w:color w:val="4E9A06"/>
      <w:shd w:val="clear" w:color="auto" w:fill="F8F8F8"/>
    </w:rPr>
  </w:style>
  <w:style w:type="character" w:customStyle="1" w:styleId="ImportTok">
    <w:name w:val="ImportTok"/>
    <w:rPr>
      <w:shd w:val="clear" w:color="auto" w:fill="F8F8F8"/>
    </w:rPr>
  </w:style>
  <w:style w:type="character" w:customStyle="1" w:styleId="CommentTok">
    <w:name w:val="CommentTok"/>
    <w:rPr>
      <w:i/>
      <w:color w:val="8F5902"/>
      <w:shd w:val="clear" w:color="auto" w:fill="F8F8F8"/>
    </w:rPr>
  </w:style>
  <w:style w:type="character" w:customStyle="1" w:styleId="DocumentationTok">
    <w:name w:val="DocumentationTok"/>
    <w:rPr>
      <w:b/>
      <w:i/>
      <w:color w:val="8F5902"/>
      <w:shd w:val="clear" w:color="auto" w:fill="F8F8F8"/>
    </w:rPr>
  </w:style>
  <w:style w:type="character" w:customStyle="1" w:styleId="AnnotationTok">
    <w:name w:val="AnnotationTok"/>
    <w:rPr>
      <w:b/>
      <w:i/>
      <w:color w:val="8F5902"/>
      <w:shd w:val="clear" w:color="auto" w:fill="F8F8F8"/>
    </w:rPr>
  </w:style>
  <w:style w:type="character" w:customStyle="1" w:styleId="CommentVarTok">
    <w:name w:val="CommentVarTok"/>
    <w:rPr>
      <w:b/>
      <w:i/>
      <w:color w:val="8F5902"/>
      <w:shd w:val="clear" w:color="auto" w:fill="F8F8F8"/>
    </w:rPr>
  </w:style>
  <w:style w:type="character" w:customStyle="1" w:styleId="OtherTok">
    <w:name w:val="OtherTok"/>
    <w:rPr>
      <w:color w:val="8F5902"/>
      <w:shd w:val="clear" w:color="auto" w:fill="F8F8F8"/>
    </w:rPr>
  </w:style>
  <w:style w:type="character" w:customStyle="1" w:styleId="FunctionTok">
    <w:name w:val="FunctionTok"/>
    <w:rPr>
      <w:color w:val="000000"/>
      <w:shd w:val="clear" w:color="auto" w:fill="F8F8F8"/>
    </w:rPr>
  </w:style>
  <w:style w:type="character" w:customStyle="1" w:styleId="VariableTok">
    <w:name w:val="VariableTok"/>
    <w:rPr>
      <w:color w:val="000000"/>
      <w:shd w:val="clear" w:color="auto" w:fill="F8F8F8"/>
    </w:rPr>
  </w:style>
  <w:style w:type="character" w:customStyle="1" w:styleId="ControlFlowTok">
    <w:name w:val="ControlFlowTok"/>
    <w:rPr>
      <w:b/>
      <w:color w:val="204A87"/>
      <w:shd w:val="clear" w:color="auto" w:fill="F8F8F8"/>
    </w:rPr>
  </w:style>
  <w:style w:type="character" w:customStyle="1" w:styleId="OperatorTok">
    <w:name w:val="OperatorTok"/>
    <w:rPr>
      <w:b/>
      <w:color w:val="CE5C00"/>
      <w:shd w:val="clear" w:color="auto" w:fill="F8F8F8"/>
    </w:rPr>
  </w:style>
  <w:style w:type="character" w:customStyle="1" w:styleId="BuiltInTok">
    <w:name w:val="BuiltInTok"/>
    <w:rPr>
      <w:shd w:val="clear" w:color="auto" w:fill="F8F8F8"/>
    </w:rPr>
  </w:style>
  <w:style w:type="character" w:customStyle="1" w:styleId="ExtensionTok">
    <w:name w:val="ExtensionTok"/>
    <w:rPr>
      <w:shd w:val="clear" w:color="auto" w:fill="F8F8F8"/>
    </w:rPr>
  </w:style>
  <w:style w:type="character" w:customStyle="1" w:styleId="PreprocessorTok">
    <w:name w:val="PreprocessorTok"/>
    <w:rPr>
      <w:i/>
      <w:color w:val="8F5902"/>
      <w:shd w:val="clear" w:color="auto" w:fill="F8F8F8"/>
    </w:rPr>
  </w:style>
  <w:style w:type="character" w:customStyle="1" w:styleId="AttributeTok">
    <w:name w:val="AttributeTok"/>
    <w:rPr>
      <w:color w:val="C4A000"/>
      <w:shd w:val="clear" w:color="auto" w:fill="F8F8F8"/>
    </w:rPr>
  </w:style>
  <w:style w:type="character" w:customStyle="1" w:styleId="RegionMarkerTok">
    <w:name w:val="RegionMarkerTok"/>
    <w:rPr>
      <w:shd w:val="clear" w:color="auto" w:fill="F8F8F8"/>
    </w:rPr>
  </w:style>
  <w:style w:type="character" w:customStyle="1" w:styleId="InformationTok">
    <w:name w:val="InformationTok"/>
    <w:rPr>
      <w:b/>
      <w:i/>
      <w:color w:val="8F5902"/>
      <w:shd w:val="clear" w:color="auto" w:fill="F8F8F8"/>
    </w:rPr>
  </w:style>
  <w:style w:type="character" w:customStyle="1" w:styleId="WarningTok">
    <w:name w:val="WarningTok"/>
    <w:rPr>
      <w:b/>
      <w:i/>
      <w:color w:val="8F5902"/>
      <w:shd w:val="clear" w:color="auto" w:fill="F8F8F8"/>
    </w:rPr>
  </w:style>
  <w:style w:type="character" w:customStyle="1" w:styleId="AlertTok">
    <w:name w:val="AlertTok"/>
    <w:rPr>
      <w:color w:val="EF2929"/>
      <w:shd w:val="clear" w:color="auto" w:fill="F8F8F8"/>
    </w:rPr>
  </w:style>
  <w:style w:type="character" w:customStyle="1" w:styleId="ErrorTok">
    <w:name w:val="ErrorTok"/>
    <w:rPr>
      <w:b/>
      <w:color w:val="A40000"/>
      <w:shd w:val="clear" w:color="auto" w:fill="F8F8F8"/>
    </w:rPr>
  </w:style>
  <w:style w:type="character" w:customStyle="1" w:styleId="NormalTok">
    <w:name w:val="NormalTok"/>
    <w:rPr>
      <w:shd w:val="clear" w:color="auto" w:fill="F8F8F8"/>
    </w:rPr>
  </w:style>
  <w:style w:type="paragraph" w:customStyle="1" w:styleId="TableCaption">
    <w:name w:val="Table Caption"/>
    <w:basedOn w:val="BodyText"/>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383082">
      <w:bodyDiv w:val="1"/>
      <w:marLeft w:val="0"/>
      <w:marRight w:val="0"/>
      <w:marTop w:val="0"/>
      <w:marBottom w:val="0"/>
      <w:divBdr>
        <w:top w:val="none" w:sz="0" w:space="0" w:color="auto"/>
        <w:left w:val="none" w:sz="0" w:space="0" w:color="auto"/>
        <w:bottom w:val="none" w:sz="0" w:space="0" w:color="auto"/>
        <w:right w:val="none" w:sz="0" w:space="0" w:color="auto"/>
      </w:divBdr>
    </w:div>
    <w:div w:id="142281081">
      <w:bodyDiv w:val="1"/>
      <w:marLeft w:val="0"/>
      <w:marRight w:val="0"/>
      <w:marTop w:val="0"/>
      <w:marBottom w:val="0"/>
      <w:divBdr>
        <w:top w:val="none" w:sz="0" w:space="0" w:color="auto"/>
        <w:left w:val="none" w:sz="0" w:space="0" w:color="auto"/>
        <w:bottom w:val="none" w:sz="0" w:space="0" w:color="auto"/>
        <w:right w:val="none" w:sz="0" w:space="0" w:color="auto"/>
      </w:divBdr>
    </w:div>
    <w:div w:id="186413069">
      <w:bodyDiv w:val="1"/>
      <w:marLeft w:val="0"/>
      <w:marRight w:val="0"/>
      <w:marTop w:val="0"/>
      <w:marBottom w:val="0"/>
      <w:divBdr>
        <w:top w:val="none" w:sz="0" w:space="0" w:color="auto"/>
        <w:left w:val="none" w:sz="0" w:space="0" w:color="auto"/>
        <w:bottom w:val="none" w:sz="0" w:space="0" w:color="auto"/>
        <w:right w:val="none" w:sz="0" w:space="0" w:color="auto"/>
      </w:divBdr>
    </w:div>
    <w:div w:id="273560100">
      <w:bodyDiv w:val="1"/>
      <w:marLeft w:val="0"/>
      <w:marRight w:val="0"/>
      <w:marTop w:val="0"/>
      <w:marBottom w:val="0"/>
      <w:divBdr>
        <w:top w:val="none" w:sz="0" w:space="0" w:color="auto"/>
        <w:left w:val="none" w:sz="0" w:space="0" w:color="auto"/>
        <w:bottom w:val="none" w:sz="0" w:space="0" w:color="auto"/>
        <w:right w:val="none" w:sz="0" w:space="0" w:color="auto"/>
      </w:divBdr>
    </w:div>
    <w:div w:id="373507516">
      <w:bodyDiv w:val="1"/>
      <w:marLeft w:val="0"/>
      <w:marRight w:val="0"/>
      <w:marTop w:val="0"/>
      <w:marBottom w:val="0"/>
      <w:divBdr>
        <w:top w:val="none" w:sz="0" w:space="0" w:color="auto"/>
        <w:left w:val="none" w:sz="0" w:space="0" w:color="auto"/>
        <w:bottom w:val="none" w:sz="0" w:space="0" w:color="auto"/>
        <w:right w:val="none" w:sz="0" w:space="0" w:color="auto"/>
      </w:divBdr>
    </w:div>
    <w:div w:id="385834440">
      <w:bodyDiv w:val="1"/>
      <w:marLeft w:val="0"/>
      <w:marRight w:val="0"/>
      <w:marTop w:val="0"/>
      <w:marBottom w:val="0"/>
      <w:divBdr>
        <w:top w:val="none" w:sz="0" w:space="0" w:color="auto"/>
        <w:left w:val="none" w:sz="0" w:space="0" w:color="auto"/>
        <w:bottom w:val="none" w:sz="0" w:space="0" w:color="auto"/>
        <w:right w:val="none" w:sz="0" w:space="0" w:color="auto"/>
      </w:divBdr>
    </w:div>
    <w:div w:id="415781698">
      <w:bodyDiv w:val="1"/>
      <w:marLeft w:val="0"/>
      <w:marRight w:val="0"/>
      <w:marTop w:val="0"/>
      <w:marBottom w:val="0"/>
      <w:divBdr>
        <w:top w:val="none" w:sz="0" w:space="0" w:color="auto"/>
        <w:left w:val="none" w:sz="0" w:space="0" w:color="auto"/>
        <w:bottom w:val="none" w:sz="0" w:space="0" w:color="auto"/>
        <w:right w:val="none" w:sz="0" w:space="0" w:color="auto"/>
      </w:divBdr>
    </w:div>
    <w:div w:id="490757968">
      <w:bodyDiv w:val="1"/>
      <w:marLeft w:val="0"/>
      <w:marRight w:val="0"/>
      <w:marTop w:val="0"/>
      <w:marBottom w:val="0"/>
      <w:divBdr>
        <w:top w:val="none" w:sz="0" w:space="0" w:color="auto"/>
        <w:left w:val="none" w:sz="0" w:space="0" w:color="auto"/>
        <w:bottom w:val="none" w:sz="0" w:space="0" w:color="auto"/>
        <w:right w:val="none" w:sz="0" w:space="0" w:color="auto"/>
      </w:divBdr>
    </w:div>
    <w:div w:id="530343161">
      <w:bodyDiv w:val="1"/>
      <w:marLeft w:val="0"/>
      <w:marRight w:val="0"/>
      <w:marTop w:val="0"/>
      <w:marBottom w:val="0"/>
      <w:divBdr>
        <w:top w:val="none" w:sz="0" w:space="0" w:color="auto"/>
        <w:left w:val="none" w:sz="0" w:space="0" w:color="auto"/>
        <w:bottom w:val="none" w:sz="0" w:space="0" w:color="auto"/>
        <w:right w:val="none" w:sz="0" w:space="0" w:color="auto"/>
      </w:divBdr>
    </w:div>
    <w:div w:id="536821823">
      <w:bodyDiv w:val="1"/>
      <w:marLeft w:val="0"/>
      <w:marRight w:val="0"/>
      <w:marTop w:val="0"/>
      <w:marBottom w:val="0"/>
      <w:divBdr>
        <w:top w:val="none" w:sz="0" w:space="0" w:color="auto"/>
        <w:left w:val="none" w:sz="0" w:space="0" w:color="auto"/>
        <w:bottom w:val="none" w:sz="0" w:space="0" w:color="auto"/>
        <w:right w:val="none" w:sz="0" w:space="0" w:color="auto"/>
      </w:divBdr>
    </w:div>
    <w:div w:id="739403161">
      <w:bodyDiv w:val="1"/>
      <w:marLeft w:val="0"/>
      <w:marRight w:val="0"/>
      <w:marTop w:val="0"/>
      <w:marBottom w:val="0"/>
      <w:divBdr>
        <w:top w:val="none" w:sz="0" w:space="0" w:color="auto"/>
        <w:left w:val="none" w:sz="0" w:space="0" w:color="auto"/>
        <w:bottom w:val="none" w:sz="0" w:space="0" w:color="auto"/>
        <w:right w:val="none" w:sz="0" w:space="0" w:color="auto"/>
      </w:divBdr>
    </w:div>
    <w:div w:id="879786404">
      <w:bodyDiv w:val="1"/>
      <w:marLeft w:val="0"/>
      <w:marRight w:val="0"/>
      <w:marTop w:val="0"/>
      <w:marBottom w:val="0"/>
      <w:divBdr>
        <w:top w:val="none" w:sz="0" w:space="0" w:color="auto"/>
        <w:left w:val="none" w:sz="0" w:space="0" w:color="auto"/>
        <w:bottom w:val="none" w:sz="0" w:space="0" w:color="auto"/>
        <w:right w:val="none" w:sz="0" w:space="0" w:color="auto"/>
      </w:divBdr>
    </w:div>
    <w:div w:id="937448550">
      <w:bodyDiv w:val="1"/>
      <w:marLeft w:val="0"/>
      <w:marRight w:val="0"/>
      <w:marTop w:val="0"/>
      <w:marBottom w:val="0"/>
      <w:divBdr>
        <w:top w:val="none" w:sz="0" w:space="0" w:color="auto"/>
        <w:left w:val="none" w:sz="0" w:space="0" w:color="auto"/>
        <w:bottom w:val="none" w:sz="0" w:space="0" w:color="auto"/>
        <w:right w:val="none" w:sz="0" w:space="0" w:color="auto"/>
      </w:divBdr>
    </w:div>
    <w:div w:id="975136347">
      <w:bodyDiv w:val="1"/>
      <w:marLeft w:val="0"/>
      <w:marRight w:val="0"/>
      <w:marTop w:val="0"/>
      <w:marBottom w:val="0"/>
      <w:divBdr>
        <w:top w:val="none" w:sz="0" w:space="0" w:color="auto"/>
        <w:left w:val="none" w:sz="0" w:space="0" w:color="auto"/>
        <w:bottom w:val="none" w:sz="0" w:space="0" w:color="auto"/>
        <w:right w:val="none" w:sz="0" w:space="0" w:color="auto"/>
      </w:divBdr>
    </w:div>
    <w:div w:id="1048527493">
      <w:bodyDiv w:val="1"/>
      <w:marLeft w:val="0"/>
      <w:marRight w:val="0"/>
      <w:marTop w:val="0"/>
      <w:marBottom w:val="0"/>
      <w:divBdr>
        <w:top w:val="none" w:sz="0" w:space="0" w:color="auto"/>
        <w:left w:val="none" w:sz="0" w:space="0" w:color="auto"/>
        <w:bottom w:val="none" w:sz="0" w:space="0" w:color="auto"/>
        <w:right w:val="none" w:sz="0" w:space="0" w:color="auto"/>
      </w:divBdr>
    </w:div>
    <w:div w:id="1077705184">
      <w:bodyDiv w:val="1"/>
      <w:marLeft w:val="0"/>
      <w:marRight w:val="0"/>
      <w:marTop w:val="0"/>
      <w:marBottom w:val="0"/>
      <w:divBdr>
        <w:top w:val="none" w:sz="0" w:space="0" w:color="auto"/>
        <w:left w:val="none" w:sz="0" w:space="0" w:color="auto"/>
        <w:bottom w:val="none" w:sz="0" w:space="0" w:color="auto"/>
        <w:right w:val="none" w:sz="0" w:space="0" w:color="auto"/>
      </w:divBdr>
    </w:div>
    <w:div w:id="1079328959">
      <w:bodyDiv w:val="1"/>
      <w:marLeft w:val="0"/>
      <w:marRight w:val="0"/>
      <w:marTop w:val="0"/>
      <w:marBottom w:val="0"/>
      <w:divBdr>
        <w:top w:val="none" w:sz="0" w:space="0" w:color="auto"/>
        <w:left w:val="none" w:sz="0" w:space="0" w:color="auto"/>
        <w:bottom w:val="none" w:sz="0" w:space="0" w:color="auto"/>
        <w:right w:val="none" w:sz="0" w:space="0" w:color="auto"/>
      </w:divBdr>
    </w:div>
    <w:div w:id="1309700691">
      <w:bodyDiv w:val="1"/>
      <w:marLeft w:val="0"/>
      <w:marRight w:val="0"/>
      <w:marTop w:val="0"/>
      <w:marBottom w:val="0"/>
      <w:divBdr>
        <w:top w:val="none" w:sz="0" w:space="0" w:color="auto"/>
        <w:left w:val="none" w:sz="0" w:space="0" w:color="auto"/>
        <w:bottom w:val="none" w:sz="0" w:space="0" w:color="auto"/>
        <w:right w:val="none" w:sz="0" w:space="0" w:color="auto"/>
      </w:divBdr>
    </w:div>
    <w:div w:id="1485971648">
      <w:bodyDiv w:val="1"/>
      <w:marLeft w:val="0"/>
      <w:marRight w:val="0"/>
      <w:marTop w:val="0"/>
      <w:marBottom w:val="0"/>
      <w:divBdr>
        <w:top w:val="none" w:sz="0" w:space="0" w:color="auto"/>
        <w:left w:val="none" w:sz="0" w:space="0" w:color="auto"/>
        <w:bottom w:val="none" w:sz="0" w:space="0" w:color="auto"/>
        <w:right w:val="none" w:sz="0" w:space="0" w:color="auto"/>
      </w:divBdr>
    </w:div>
    <w:div w:id="1574268081">
      <w:bodyDiv w:val="1"/>
      <w:marLeft w:val="0"/>
      <w:marRight w:val="0"/>
      <w:marTop w:val="0"/>
      <w:marBottom w:val="0"/>
      <w:divBdr>
        <w:top w:val="none" w:sz="0" w:space="0" w:color="auto"/>
        <w:left w:val="none" w:sz="0" w:space="0" w:color="auto"/>
        <w:bottom w:val="none" w:sz="0" w:space="0" w:color="auto"/>
        <w:right w:val="none" w:sz="0" w:space="0" w:color="auto"/>
      </w:divBdr>
    </w:div>
    <w:div w:id="1588028976">
      <w:bodyDiv w:val="1"/>
      <w:marLeft w:val="0"/>
      <w:marRight w:val="0"/>
      <w:marTop w:val="0"/>
      <w:marBottom w:val="0"/>
      <w:divBdr>
        <w:top w:val="none" w:sz="0" w:space="0" w:color="auto"/>
        <w:left w:val="none" w:sz="0" w:space="0" w:color="auto"/>
        <w:bottom w:val="none" w:sz="0" w:space="0" w:color="auto"/>
        <w:right w:val="none" w:sz="0" w:space="0" w:color="auto"/>
      </w:divBdr>
    </w:div>
    <w:div w:id="1661302238">
      <w:bodyDiv w:val="1"/>
      <w:marLeft w:val="0"/>
      <w:marRight w:val="0"/>
      <w:marTop w:val="0"/>
      <w:marBottom w:val="0"/>
      <w:divBdr>
        <w:top w:val="none" w:sz="0" w:space="0" w:color="auto"/>
        <w:left w:val="none" w:sz="0" w:space="0" w:color="auto"/>
        <w:bottom w:val="none" w:sz="0" w:space="0" w:color="auto"/>
        <w:right w:val="none" w:sz="0" w:space="0" w:color="auto"/>
      </w:divBdr>
    </w:div>
    <w:div w:id="1770157225">
      <w:bodyDiv w:val="1"/>
      <w:marLeft w:val="0"/>
      <w:marRight w:val="0"/>
      <w:marTop w:val="0"/>
      <w:marBottom w:val="0"/>
      <w:divBdr>
        <w:top w:val="none" w:sz="0" w:space="0" w:color="auto"/>
        <w:left w:val="none" w:sz="0" w:space="0" w:color="auto"/>
        <w:bottom w:val="none" w:sz="0" w:space="0" w:color="auto"/>
        <w:right w:val="none" w:sz="0" w:space="0" w:color="auto"/>
      </w:divBdr>
    </w:div>
    <w:div w:id="1832140856">
      <w:bodyDiv w:val="1"/>
      <w:marLeft w:val="0"/>
      <w:marRight w:val="0"/>
      <w:marTop w:val="0"/>
      <w:marBottom w:val="0"/>
      <w:divBdr>
        <w:top w:val="none" w:sz="0" w:space="0" w:color="auto"/>
        <w:left w:val="none" w:sz="0" w:space="0" w:color="auto"/>
        <w:bottom w:val="none" w:sz="0" w:space="0" w:color="auto"/>
        <w:right w:val="none" w:sz="0" w:space="0" w:color="auto"/>
      </w:divBdr>
    </w:div>
    <w:div w:id="1872182032">
      <w:bodyDiv w:val="1"/>
      <w:marLeft w:val="0"/>
      <w:marRight w:val="0"/>
      <w:marTop w:val="0"/>
      <w:marBottom w:val="0"/>
      <w:divBdr>
        <w:top w:val="none" w:sz="0" w:space="0" w:color="auto"/>
        <w:left w:val="none" w:sz="0" w:space="0" w:color="auto"/>
        <w:bottom w:val="none" w:sz="0" w:space="0" w:color="auto"/>
        <w:right w:val="none" w:sz="0" w:space="0" w:color="auto"/>
      </w:divBdr>
    </w:div>
    <w:div w:id="1912883681">
      <w:bodyDiv w:val="1"/>
      <w:marLeft w:val="0"/>
      <w:marRight w:val="0"/>
      <w:marTop w:val="0"/>
      <w:marBottom w:val="0"/>
      <w:divBdr>
        <w:top w:val="none" w:sz="0" w:space="0" w:color="auto"/>
        <w:left w:val="none" w:sz="0" w:space="0" w:color="auto"/>
        <w:bottom w:val="none" w:sz="0" w:space="0" w:color="auto"/>
        <w:right w:val="none" w:sz="0" w:space="0" w:color="auto"/>
      </w:divBdr>
    </w:div>
    <w:div w:id="1979141249">
      <w:bodyDiv w:val="1"/>
      <w:marLeft w:val="0"/>
      <w:marRight w:val="0"/>
      <w:marTop w:val="0"/>
      <w:marBottom w:val="0"/>
      <w:divBdr>
        <w:top w:val="none" w:sz="0" w:space="0" w:color="auto"/>
        <w:left w:val="none" w:sz="0" w:space="0" w:color="auto"/>
        <w:bottom w:val="none" w:sz="0" w:space="0" w:color="auto"/>
        <w:right w:val="none" w:sz="0" w:space="0" w:color="auto"/>
      </w:divBdr>
    </w:div>
    <w:div w:id="2064789093">
      <w:bodyDiv w:val="1"/>
      <w:marLeft w:val="0"/>
      <w:marRight w:val="0"/>
      <w:marTop w:val="0"/>
      <w:marBottom w:val="0"/>
      <w:divBdr>
        <w:top w:val="none" w:sz="0" w:space="0" w:color="auto"/>
        <w:left w:val="none" w:sz="0" w:space="0" w:color="auto"/>
        <w:bottom w:val="none" w:sz="0" w:space="0" w:color="auto"/>
        <w:right w:val="none" w:sz="0" w:space="0" w:color="auto"/>
      </w:divBdr>
    </w:div>
    <w:div w:id="2072146956">
      <w:bodyDiv w:val="1"/>
      <w:marLeft w:val="0"/>
      <w:marRight w:val="0"/>
      <w:marTop w:val="0"/>
      <w:marBottom w:val="0"/>
      <w:divBdr>
        <w:top w:val="none" w:sz="0" w:space="0" w:color="auto"/>
        <w:left w:val="none" w:sz="0" w:space="0" w:color="auto"/>
        <w:bottom w:val="none" w:sz="0" w:space="0" w:color="auto"/>
        <w:right w:val="none" w:sz="0" w:space="0" w:color="auto"/>
      </w:divBdr>
    </w:div>
    <w:div w:id="2074428928">
      <w:bodyDiv w:val="1"/>
      <w:marLeft w:val="0"/>
      <w:marRight w:val="0"/>
      <w:marTop w:val="0"/>
      <w:marBottom w:val="0"/>
      <w:divBdr>
        <w:top w:val="none" w:sz="0" w:space="0" w:color="auto"/>
        <w:left w:val="none" w:sz="0" w:space="0" w:color="auto"/>
        <w:bottom w:val="none" w:sz="0" w:space="0" w:color="auto"/>
        <w:right w:val="none" w:sz="0" w:space="0" w:color="auto"/>
      </w:divBdr>
    </w:div>
    <w:div w:id="2090342555">
      <w:bodyDiv w:val="1"/>
      <w:marLeft w:val="0"/>
      <w:marRight w:val="0"/>
      <w:marTop w:val="0"/>
      <w:marBottom w:val="0"/>
      <w:divBdr>
        <w:top w:val="none" w:sz="0" w:space="0" w:color="auto"/>
        <w:left w:val="none" w:sz="0" w:space="0" w:color="auto"/>
        <w:bottom w:val="none" w:sz="0" w:space="0" w:color="auto"/>
        <w:right w:val="none" w:sz="0" w:space="0" w:color="auto"/>
      </w:divBdr>
    </w:div>
    <w:div w:id="2094693808">
      <w:bodyDiv w:val="1"/>
      <w:marLeft w:val="0"/>
      <w:marRight w:val="0"/>
      <w:marTop w:val="0"/>
      <w:marBottom w:val="0"/>
      <w:divBdr>
        <w:top w:val="none" w:sz="0" w:space="0" w:color="auto"/>
        <w:left w:val="none" w:sz="0" w:space="0" w:color="auto"/>
        <w:bottom w:val="none" w:sz="0" w:space="0" w:color="auto"/>
        <w:right w:val="none" w:sz="0" w:space="0" w:color="auto"/>
      </w:divBdr>
    </w:div>
    <w:div w:id="2117823728">
      <w:bodyDiv w:val="1"/>
      <w:marLeft w:val="0"/>
      <w:marRight w:val="0"/>
      <w:marTop w:val="0"/>
      <w:marBottom w:val="0"/>
      <w:divBdr>
        <w:top w:val="none" w:sz="0" w:space="0" w:color="auto"/>
        <w:left w:val="none" w:sz="0" w:space="0" w:color="auto"/>
        <w:bottom w:val="none" w:sz="0" w:space="0" w:color="auto"/>
        <w:right w:val="none" w:sz="0" w:space="0" w:color="auto"/>
      </w:divBdr>
    </w:div>
    <w:div w:id="2128621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www.msd.govt.nz/documents/about-msd-and-our-work/publications-resources/statistics/covid-19/wage-subsidy-evaluation-reports/wage-subsidy-scheme-value-for-money-report.pdf" TargetMode="Externa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hyperlink" Target="https://www.msd.govt.nz/about-msd-and-our-work/publications-resources/evaluation/intensive-case-management-services/index.html" TargetMode="Externa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hyperlink" Target="https://treasury.govt.nz/publications/wp/evaluation-impact-youth-service-neet-programme-html"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yperlink" Target="https://www.msd.govt.nz/about-msd-and-our-work/publications-resources/evaluation/lsv-effectiveness/index.html"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hyperlink" Target="https://treasury.govt.nz/publications/wp/evaluation-impact-youth-service-youth-payment-and-young-parent-payment-wp-16-07-html" TargetMode="External"/><Relationship Id="rId28"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hyperlink" Target="http://thehub.superu.govt.nz/resources/the-impact-of-further-education-on-the-employment-outcomes-of-beneficiaries/"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hyperlink" Target="https://www.msd.govt.nz/about-msd-and-our-work/publications-resources/research-archive/work-obligations.html" TargetMode="External"/><Relationship Id="rId27" Type="http://schemas.openxmlformats.org/officeDocument/2006/relationships/header" Target="header2.xml"/><Relationship Id="rId30" Type="http://schemas.openxmlformats.org/officeDocument/2006/relationships/header" Target="header3.xml"/></Relationships>
</file>

<file path=word/_rels/footnotes.xml.rels><?xml version="1.0" encoding="UTF-8" standalone="yes"?>
<Relationships xmlns="http://schemas.openxmlformats.org/package/2006/relationships"><Relationship Id="rId2" Type="http://schemas.openxmlformats.org/officeDocument/2006/relationships/hyperlink" Target="https://www.stats.govt.nz/integrated-data/integrated-data-infrastructure/" TargetMode="External"/><Relationship Id="rId1" Type="http://schemas.openxmlformats.org/officeDocument/2006/relationships/hyperlink" Target="https://treasury.govt.nz/publications/guide/guide-appropriations-html" TargetMode="External"/></Relationships>
</file>

<file path=word/theme/theme1.xml><?xml version="1.0" encoding="utf-8"?>
<a:theme xmlns:a="http://schemas.openxmlformats.org/drawingml/2006/main" name="Office Theme">
  <a:themeElements>
    <a:clrScheme name="Ministry of Social Development">
      <a:dk1>
        <a:srgbClr val="000000"/>
      </a:dk1>
      <a:lt1>
        <a:srgbClr val="FFFFFF"/>
      </a:lt1>
      <a:dk2>
        <a:srgbClr val="252C65"/>
      </a:dk2>
      <a:lt2>
        <a:srgbClr val="F89D49"/>
      </a:lt2>
      <a:accent1>
        <a:srgbClr val="0095D9"/>
      </a:accent1>
      <a:accent2>
        <a:srgbClr val="F15930"/>
      </a:accent2>
      <a:accent3>
        <a:srgbClr val="8CC646"/>
      </a:accent3>
      <a:accent4>
        <a:srgbClr val="FFD530"/>
      </a:accent4>
      <a:accent5>
        <a:srgbClr val="5B3690"/>
      </a:accent5>
      <a:accent6>
        <a:srgbClr val="1CA56F"/>
      </a:accent6>
      <a:hlink>
        <a:srgbClr val="0095D9"/>
      </a:hlink>
      <a:folHlink>
        <a:srgbClr val="5B369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85AF67-23AC-429F-A0BF-9CD6308A04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TotalTime>
  <Pages>47</Pages>
  <Words>13082</Words>
  <Characters>74573</Characters>
  <Application>Microsoft Office Word</Application>
  <DocSecurity>0</DocSecurity>
  <Lines>621</Lines>
  <Paragraphs>174</Paragraphs>
  <ScaleCrop>false</ScaleCrop>
  <HeadingPairs>
    <vt:vector size="2" baseType="variant">
      <vt:variant>
        <vt:lpstr>Title</vt:lpstr>
      </vt:variant>
      <vt:variant>
        <vt:i4>1</vt:i4>
      </vt:variant>
    </vt:vector>
  </HeadingPairs>
  <TitlesOfParts>
    <vt:vector size="1" baseType="lpstr">
      <vt:lpstr>Effectiveness of MSD employment assistance</vt:lpstr>
    </vt:vector>
  </TitlesOfParts>
  <Company/>
  <LinksUpToDate>false</LinksUpToDate>
  <CharactersWithSpaces>87481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Effectiveness of MSD employment assistance</dc:title>
  <dc:creator>Technical report for 2022/2023 financial year</dc:creator>
  <cp:keywords/>
  <cp:lastModifiedBy>Oliver Robertson</cp:lastModifiedBy>
  <cp:revision>8</cp:revision>
  <cp:lastPrinted>2025-05-15T22:31:00Z</cp:lastPrinted>
  <dcterms:created xsi:type="dcterms:W3CDTF">2025-03-20T01:48:00Z</dcterms:created>
  <dcterms:modified xsi:type="dcterms:W3CDTF">2025-05-15T22:31:00Z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ways_allow_html">
    <vt:lpwstr>True</vt:lpwstr>
  </property>
  <property fmtid="{D5CDD505-2E9C-101B-9397-08002B2CF9AE}" pid="3" name="date">
    <vt:lpwstr>2025-03-20</vt:lpwstr>
  </property>
  <property fmtid="{D5CDD505-2E9C-101B-9397-08002B2CF9AE}" pid="4" name="output">
    <vt:lpwstr/>
  </property>
  <property fmtid="{D5CDD505-2E9C-101B-9397-08002B2CF9AE}" pid="5" name="ClassificationContentMarkingHeaderShapeIds">
    <vt:lpwstr>3720bfa7,5da07689,b82b2df</vt:lpwstr>
  </property>
  <property fmtid="{D5CDD505-2E9C-101B-9397-08002B2CF9AE}" pid="6" name="ClassificationContentMarkingHeaderFontProps">
    <vt:lpwstr>#000000,10,Calibri</vt:lpwstr>
  </property>
  <property fmtid="{D5CDD505-2E9C-101B-9397-08002B2CF9AE}" pid="7" name="ClassificationContentMarkingHeaderText">
    <vt:lpwstr>IN-CONFIDENCE</vt:lpwstr>
  </property>
  <property fmtid="{D5CDD505-2E9C-101B-9397-08002B2CF9AE}" pid="8" name="MSIP_Label_f43e46a9-9901-46e9-bfae-bb6189d4cb66_Enabled">
    <vt:lpwstr>true</vt:lpwstr>
  </property>
  <property fmtid="{D5CDD505-2E9C-101B-9397-08002B2CF9AE}" pid="9" name="MSIP_Label_f43e46a9-9901-46e9-bfae-bb6189d4cb66_SetDate">
    <vt:lpwstr>2025-05-09T03:44:02Z</vt:lpwstr>
  </property>
  <property fmtid="{D5CDD505-2E9C-101B-9397-08002B2CF9AE}" pid="10" name="MSIP_Label_f43e46a9-9901-46e9-bfae-bb6189d4cb66_Method">
    <vt:lpwstr>Standard</vt:lpwstr>
  </property>
  <property fmtid="{D5CDD505-2E9C-101B-9397-08002B2CF9AE}" pid="11" name="MSIP_Label_f43e46a9-9901-46e9-bfae-bb6189d4cb66_Name">
    <vt:lpwstr>In-confidence</vt:lpwstr>
  </property>
  <property fmtid="{D5CDD505-2E9C-101B-9397-08002B2CF9AE}" pid="12" name="MSIP_Label_f43e46a9-9901-46e9-bfae-bb6189d4cb66_SiteId">
    <vt:lpwstr>e40c4f52-99bd-4d4f-bf7e-d001a2ca6556</vt:lpwstr>
  </property>
  <property fmtid="{D5CDD505-2E9C-101B-9397-08002B2CF9AE}" pid="13" name="MSIP_Label_f43e46a9-9901-46e9-bfae-bb6189d4cb66_ActionId">
    <vt:lpwstr>28274b5d-4351-49bb-868f-d68b22761b0b</vt:lpwstr>
  </property>
  <property fmtid="{D5CDD505-2E9C-101B-9397-08002B2CF9AE}" pid="14" name="MSIP_Label_f43e46a9-9901-46e9-bfae-bb6189d4cb66_ContentBits">
    <vt:lpwstr>1</vt:lpwstr>
  </property>
</Properties>
</file>