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22DA" w14:textId="55C100E2" w:rsidR="00F57DE5" w:rsidRPr="00611F9C" w:rsidRDefault="00C03152" w:rsidP="006C05B1">
      <w:pPr>
        <w:pStyle w:val="Heading1"/>
        <w:keepLines/>
        <w:spacing w:before="4680" w:after="0" w:line="288" w:lineRule="auto"/>
        <w:ind w:left="907" w:right="-1440"/>
        <w:rPr>
          <w:rFonts w:ascii="Verdana" w:eastAsiaTheme="majorEastAsia" w:hAnsi="Verdana" w:cs="Arial"/>
          <w:bCs/>
          <w:color w:val="FFFFFF" w:themeColor="background1"/>
          <w:spacing w:val="0"/>
          <w:w w:val="100"/>
          <w:sz w:val="96"/>
          <w:szCs w:val="96"/>
          <w:lang w:val="en-NZ" w:eastAsia="en-US"/>
        </w:rPr>
      </w:pPr>
      <w:bookmarkStart w:id="0" w:name="_Toc187824778"/>
      <w:bookmarkStart w:id="1" w:name="_Toc189235930"/>
      <w:bookmarkStart w:id="2" w:name="_Toc193366253"/>
      <w:bookmarkStart w:id="3" w:name="_Toc193892124"/>
      <w:bookmarkStart w:id="4" w:name="_Toc193892765"/>
      <w:bookmarkStart w:id="5" w:name="_Toc193892870"/>
      <w:bookmarkStart w:id="6" w:name="_Toc193892968"/>
      <w:r w:rsidRPr="00611F9C">
        <w:rPr>
          <w:rFonts w:ascii="Verdana" w:eastAsiaTheme="majorEastAsia" w:hAnsi="Verdana" w:cs="Arial"/>
          <w:bCs/>
          <w:noProof/>
          <w:color w:val="FFFFFF" w:themeColor="background1"/>
          <w:spacing w:val="0"/>
          <w:w w:val="100"/>
          <w:sz w:val="96"/>
          <w:szCs w:val="96"/>
          <w:lang w:val="en-NZ" w:eastAsia="en-US"/>
        </w:rPr>
        <w:drawing>
          <wp:anchor distT="0" distB="0" distL="114300" distR="114300" simplePos="0" relativeHeight="251658241" behindDoc="1" locked="0" layoutInCell="1" allowOverlap="1" wp14:anchorId="4AE8C222" wp14:editId="12CD3ED8">
            <wp:simplePos x="0" y="0"/>
            <wp:positionH relativeFrom="page">
              <wp:posOffset>252095</wp:posOffset>
            </wp:positionH>
            <wp:positionV relativeFrom="paragraph">
              <wp:posOffset>-823595</wp:posOffset>
            </wp:positionV>
            <wp:extent cx="7055485" cy="9980295"/>
            <wp:effectExtent l="0" t="0" r="0" b="190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055485" cy="998029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F9C" w:rsidRPr="00611F9C">
        <w:rPr>
          <w:rFonts w:ascii="Verdana" w:eastAsiaTheme="majorEastAsia" w:hAnsi="Verdana" w:cs="Arial"/>
          <w:bCs/>
          <w:color w:val="FFFFFF" w:themeColor="background1"/>
          <w:spacing w:val="0"/>
          <w:w w:val="100"/>
          <w:sz w:val="72"/>
          <w:szCs w:val="72"/>
          <w:lang w:val="en-NZ" w:eastAsia="en-US"/>
        </w:rPr>
        <w:t>Including Boarders’ Contributions in the Calculation of</w:t>
      </w:r>
      <w:r w:rsidR="00C26D79">
        <w:rPr>
          <w:rFonts w:ascii="Verdana" w:eastAsiaTheme="majorEastAsia" w:hAnsi="Verdana" w:cs="Arial"/>
          <w:bCs/>
          <w:color w:val="FFFFFF" w:themeColor="background1"/>
          <w:spacing w:val="0"/>
          <w:w w:val="100"/>
          <w:sz w:val="72"/>
          <w:szCs w:val="72"/>
          <w:lang w:val="en-NZ" w:eastAsia="en-US"/>
        </w:rPr>
        <w:t xml:space="preserve"> </w:t>
      </w:r>
      <w:r w:rsidR="00882495">
        <w:rPr>
          <w:rFonts w:ascii="Verdana" w:eastAsiaTheme="majorEastAsia" w:hAnsi="Verdana" w:cs="Arial"/>
          <w:bCs/>
          <w:color w:val="FFFFFF" w:themeColor="background1"/>
          <w:spacing w:val="0"/>
          <w:w w:val="100"/>
          <w:sz w:val="72"/>
          <w:szCs w:val="72"/>
          <w:lang w:val="en-NZ" w:eastAsia="en-US"/>
        </w:rPr>
        <w:t>Housing</w:t>
      </w:r>
      <w:r w:rsidR="00882495" w:rsidRPr="00611F9C">
        <w:rPr>
          <w:rFonts w:ascii="Verdana" w:eastAsiaTheme="majorEastAsia" w:hAnsi="Verdana" w:cs="Arial"/>
          <w:bCs/>
          <w:color w:val="FFFFFF" w:themeColor="background1"/>
          <w:spacing w:val="0"/>
          <w:w w:val="100"/>
          <w:sz w:val="72"/>
          <w:szCs w:val="72"/>
          <w:lang w:val="en-NZ" w:eastAsia="en-US"/>
        </w:rPr>
        <w:t xml:space="preserve"> </w:t>
      </w:r>
      <w:r w:rsidR="00611F9C" w:rsidRPr="00611F9C">
        <w:rPr>
          <w:rFonts w:ascii="Verdana" w:eastAsiaTheme="majorEastAsia" w:hAnsi="Verdana" w:cs="Arial"/>
          <w:bCs/>
          <w:color w:val="FFFFFF" w:themeColor="background1"/>
          <w:spacing w:val="0"/>
          <w:w w:val="100"/>
          <w:sz w:val="72"/>
          <w:szCs w:val="72"/>
          <w:lang w:val="en-NZ" w:eastAsia="en-US"/>
        </w:rPr>
        <w:t>Subsidies</w:t>
      </w:r>
      <w:bookmarkEnd w:id="0"/>
      <w:bookmarkEnd w:id="1"/>
      <w:bookmarkEnd w:id="2"/>
      <w:bookmarkEnd w:id="3"/>
      <w:bookmarkEnd w:id="4"/>
      <w:bookmarkEnd w:id="5"/>
      <w:bookmarkEnd w:id="6"/>
    </w:p>
    <w:p w14:paraId="4BE9FBF5" w14:textId="3A2B2191" w:rsidR="00F57DE5" w:rsidRPr="00611F9C" w:rsidRDefault="00611F9C" w:rsidP="006C05B1">
      <w:pPr>
        <w:spacing w:after="120" w:line="288" w:lineRule="auto"/>
        <w:ind w:left="1020"/>
        <w:rPr>
          <w:rFonts w:ascii="Verdana" w:eastAsiaTheme="majorEastAsia" w:hAnsi="Verdana" w:cs="Arial"/>
          <w:b/>
          <w:bCs/>
          <w:color w:val="FFFFFF" w:themeColor="background1"/>
          <w:sz w:val="96"/>
          <w:szCs w:val="96"/>
          <w:lang w:val="en-NZ" w:eastAsia="en-US"/>
        </w:rPr>
      </w:pPr>
      <w:r>
        <w:rPr>
          <w:rFonts w:ascii="Verdana" w:eastAsia="Calibri" w:hAnsi="Verdana" w:cs="Arial"/>
          <w:b/>
          <w:bCs/>
          <w:color w:val="FFFFFF" w:themeColor="background1"/>
          <w:kern w:val="28"/>
          <w:sz w:val="40"/>
          <w:szCs w:val="40"/>
          <w:lang w:val="en-NZ" w:eastAsia="en-US"/>
        </w:rPr>
        <w:t>Supplementary Analysis Report</w:t>
      </w:r>
    </w:p>
    <w:p w14:paraId="6A73BC05" w14:textId="77777777" w:rsidR="00F57DE5" w:rsidRPr="007525AF" w:rsidRDefault="00F57DE5" w:rsidP="006C05B1">
      <w:r w:rsidRPr="007525AF">
        <w:br w:type="page"/>
      </w:r>
    </w:p>
    <w:sdt>
      <w:sdtPr>
        <w:rPr>
          <w:rFonts w:ascii="Arial" w:eastAsia="Times New Roman" w:hAnsi="Arial" w:cs="Times New Roman"/>
          <w:color w:val="auto"/>
          <w:sz w:val="22"/>
          <w:szCs w:val="20"/>
          <w:lang w:val="en-GB" w:eastAsia="en-GB"/>
        </w:rPr>
        <w:id w:val="573237681"/>
        <w:docPartObj>
          <w:docPartGallery w:val="Table of Contents"/>
          <w:docPartUnique/>
        </w:docPartObj>
      </w:sdtPr>
      <w:sdtEndPr>
        <w:rPr>
          <w:rFonts w:cs="Arial"/>
          <w:bCs/>
          <w:szCs w:val="22"/>
        </w:rPr>
      </w:sdtEndPr>
      <w:sdtContent>
        <w:p w14:paraId="0B05BD16" w14:textId="77777777" w:rsidR="00AE2D13" w:rsidRDefault="003F4D26" w:rsidP="009C1E42">
          <w:pPr>
            <w:pStyle w:val="TOCHeading"/>
            <w:keepNext w:val="0"/>
            <w:rPr>
              <w:noProof/>
            </w:rPr>
          </w:pPr>
          <w:r w:rsidRPr="00816541">
            <w:rPr>
              <w:rFonts w:ascii="Arial" w:hAnsi="Arial" w:cs="Arial"/>
              <w:b/>
              <w:bCs/>
            </w:rPr>
            <w:t>Table of Contents</w:t>
          </w:r>
          <w:r w:rsidR="009C1E42">
            <w:rPr>
              <w:sz w:val="24"/>
              <w:szCs w:val="44"/>
            </w:rPr>
            <w:fldChar w:fldCharType="begin"/>
          </w:r>
          <w:r w:rsidR="009C1E42">
            <w:rPr>
              <w:sz w:val="24"/>
              <w:szCs w:val="44"/>
            </w:rPr>
            <w:instrText xml:space="preserve"> TOC \o "2-3" \h \z \u </w:instrText>
          </w:r>
          <w:r w:rsidR="009C1E42">
            <w:rPr>
              <w:sz w:val="24"/>
              <w:szCs w:val="44"/>
            </w:rPr>
            <w:fldChar w:fldCharType="separate"/>
          </w:r>
        </w:p>
        <w:p w14:paraId="7633AB3D" w14:textId="330DABF0" w:rsidR="00AE2D13" w:rsidRDefault="00D6632E">
          <w:pPr>
            <w:pStyle w:val="TOC2"/>
            <w:tabs>
              <w:tab w:val="right" w:leader="dot" w:pos="9060"/>
            </w:tabs>
            <w:rPr>
              <w:rFonts w:eastAsiaTheme="minorEastAsia" w:cstheme="minorBidi"/>
              <w:b w:val="0"/>
              <w:bCs w:val="0"/>
              <w:noProof/>
              <w:kern w:val="2"/>
              <w:sz w:val="22"/>
              <w:szCs w:val="22"/>
              <w:lang w:val="en-NZ" w:eastAsia="en-NZ"/>
              <w14:ligatures w14:val="standardContextual"/>
            </w:rPr>
          </w:pPr>
          <w:hyperlink w:anchor="_Toc196390893" w:history="1">
            <w:r w:rsidR="00AE2D13" w:rsidRPr="00C8180C">
              <w:rPr>
                <w:rStyle w:val="Hyperlink"/>
                <w:noProof/>
                <w:lang w:val="en-NZ"/>
              </w:rPr>
              <w:t>Coversheet</w:t>
            </w:r>
            <w:r w:rsidR="00AE2D13">
              <w:rPr>
                <w:noProof/>
                <w:webHidden/>
              </w:rPr>
              <w:tab/>
            </w:r>
            <w:r w:rsidR="00AE2D13">
              <w:rPr>
                <w:noProof/>
                <w:webHidden/>
              </w:rPr>
              <w:fldChar w:fldCharType="begin"/>
            </w:r>
            <w:r w:rsidR="00AE2D13">
              <w:rPr>
                <w:noProof/>
                <w:webHidden/>
              </w:rPr>
              <w:instrText xml:space="preserve"> PAGEREF _Toc196390893 \h </w:instrText>
            </w:r>
            <w:r w:rsidR="00AE2D13">
              <w:rPr>
                <w:noProof/>
                <w:webHidden/>
              </w:rPr>
            </w:r>
            <w:r w:rsidR="00AE2D13">
              <w:rPr>
                <w:noProof/>
                <w:webHidden/>
              </w:rPr>
              <w:fldChar w:fldCharType="separate"/>
            </w:r>
            <w:r w:rsidR="00C11502">
              <w:rPr>
                <w:noProof/>
                <w:webHidden/>
              </w:rPr>
              <w:t>3</w:t>
            </w:r>
            <w:r w:rsidR="00AE2D13">
              <w:rPr>
                <w:noProof/>
                <w:webHidden/>
              </w:rPr>
              <w:fldChar w:fldCharType="end"/>
            </w:r>
          </w:hyperlink>
        </w:p>
        <w:p w14:paraId="373D307B" w14:textId="72D7A09F" w:rsidR="00AE2D13" w:rsidRDefault="00D6632E">
          <w:pPr>
            <w:pStyle w:val="TOC2"/>
            <w:tabs>
              <w:tab w:val="right" w:leader="dot" w:pos="9060"/>
            </w:tabs>
            <w:rPr>
              <w:rFonts w:eastAsiaTheme="minorEastAsia" w:cstheme="minorBidi"/>
              <w:b w:val="0"/>
              <w:bCs w:val="0"/>
              <w:noProof/>
              <w:kern w:val="2"/>
              <w:sz w:val="22"/>
              <w:szCs w:val="22"/>
              <w:lang w:val="en-NZ" w:eastAsia="en-NZ"/>
              <w14:ligatures w14:val="standardContextual"/>
            </w:rPr>
          </w:pPr>
          <w:hyperlink w:anchor="_Toc196390894" w:history="1">
            <w:r w:rsidR="00AE2D13" w:rsidRPr="00C8180C">
              <w:rPr>
                <w:rStyle w:val="Hyperlink"/>
                <w:noProof/>
                <w:lang w:val="en-NZ"/>
              </w:rPr>
              <w:t>Section 1: Diagnosing the policy problem</w:t>
            </w:r>
            <w:r w:rsidR="00AE2D13">
              <w:rPr>
                <w:noProof/>
                <w:webHidden/>
              </w:rPr>
              <w:tab/>
            </w:r>
            <w:r w:rsidR="00AE2D13">
              <w:rPr>
                <w:noProof/>
                <w:webHidden/>
              </w:rPr>
              <w:fldChar w:fldCharType="begin"/>
            </w:r>
            <w:r w:rsidR="00AE2D13">
              <w:rPr>
                <w:noProof/>
                <w:webHidden/>
              </w:rPr>
              <w:instrText xml:space="preserve"> PAGEREF _Toc196390894 \h </w:instrText>
            </w:r>
            <w:r w:rsidR="00AE2D13">
              <w:rPr>
                <w:noProof/>
                <w:webHidden/>
              </w:rPr>
            </w:r>
            <w:r w:rsidR="00AE2D13">
              <w:rPr>
                <w:noProof/>
                <w:webHidden/>
              </w:rPr>
              <w:fldChar w:fldCharType="separate"/>
            </w:r>
            <w:r w:rsidR="00C11502">
              <w:rPr>
                <w:noProof/>
                <w:webHidden/>
              </w:rPr>
              <w:t>8</w:t>
            </w:r>
            <w:r w:rsidR="00AE2D13">
              <w:rPr>
                <w:noProof/>
                <w:webHidden/>
              </w:rPr>
              <w:fldChar w:fldCharType="end"/>
            </w:r>
          </w:hyperlink>
        </w:p>
        <w:p w14:paraId="4179B91F" w14:textId="29B0663C" w:rsidR="00AE2D13" w:rsidRDefault="00D6632E">
          <w:pPr>
            <w:pStyle w:val="TOC3"/>
            <w:tabs>
              <w:tab w:val="right" w:leader="dot" w:pos="9060"/>
            </w:tabs>
            <w:rPr>
              <w:rFonts w:eastAsiaTheme="minorEastAsia" w:cstheme="minorBidi"/>
              <w:noProof/>
              <w:kern w:val="2"/>
              <w:sz w:val="22"/>
              <w:szCs w:val="22"/>
              <w:lang w:val="en-NZ" w:eastAsia="en-NZ"/>
              <w14:ligatures w14:val="standardContextual"/>
            </w:rPr>
          </w:pPr>
          <w:hyperlink w:anchor="_Toc196390895" w:history="1">
            <w:r w:rsidR="00AE2D13" w:rsidRPr="00C8180C">
              <w:rPr>
                <w:rStyle w:val="Hyperlink"/>
                <w:noProof/>
                <w:lang w:val="en-NZ"/>
              </w:rPr>
              <w:t>What is the context behind the policy problem and how is the status quo expected to develop?</w:t>
            </w:r>
            <w:r w:rsidR="00AE2D13">
              <w:rPr>
                <w:noProof/>
                <w:webHidden/>
              </w:rPr>
              <w:tab/>
            </w:r>
            <w:r w:rsidR="00AE2D13">
              <w:rPr>
                <w:noProof/>
                <w:webHidden/>
              </w:rPr>
              <w:fldChar w:fldCharType="begin"/>
            </w:r>
            <w:r w:rsidR="00AE2D13">
              <w:rPr>
                <w:noProof/>
                <w:webHidden/>
              </w:rPr>
              <w:instrText xml:space="preserve"> PAGEREF _Toc196390895 \h </w:instrText>
            </w:r>
            <w:r w:rsidR="00AE2D13">
              <w:rPr>
                <w:noProof/>
                <w:webHidden/>
              </w:rPr>
            </w:r>
            <w:r w:rsidR="00AE2D13">
              <w:rPr>
                <w:noProof/>
                <w:webHidden/>
              </w:rPr>
              <w:fldChar w:fldCharType="separate"/>
            </w:r>
            <w:r w:rsidR="00C11502">
              <w:rPr>
                <w:noProof/>
                <w:webHidden/>
              </w:rPr>
              <w:t>8</w:t>
            </w:r>
            <w:r w:rsidR="00AE2D13">
              <w:rPr>
                <w:noProof/>
                <w:webHidden/>
              </w:rPr>
              <w:fldChar w:fldCharType="end"/>
            </w:r>
          </w:hyperlink>
        </w:p>
        <w:p w14:paraId="75BFBD50" w14:textId="3DFAF059" w:rsidR="00AE2D13" w:rsidRDefault="00D6632E">
          <w:pPr>
            <w:pStyle w:val="TOC3"/>
            <w:tabs>
              <w:tab w:val="right" w:leader="dot" w:pos="9060"/>
            </w:tabs>
            <w:rPr>
              <w:rFonts w:eastAsiaTheme="minorEastAsia" w:cstheme="minorBidi"/>
              <w:noProof/>
              <w:kern w:val="2"/>
              <w:sz w:val="22"/>
              <w:szCs w:val="22"/>
              <w:lang w:val="en-NZ" w:eastAsia="en-NZ"/>
              <w14:ligatures w14:val="standardContextual"/>
            </w:rPr>
          </w:pPr>
          <w:hyperlink w:anchor="_Toc196390896" w:history="1">
            <w:r w:rsidR="00AE2D13" w:rsidRPr="00C8180C">
              <w:rPr>
                <w:rStyle w:val="Hyperlink"/>
                <w:noProof/>
                <w:lang w:val="en-NZ"/>
              </w:rPr>
              <w:t>What is the policy problem or opportunity?</w:t>
            </w:r>
            <w:r w:rsidR="00AE2D13">
              <w:rPr>
                <w:noProof/>
                <w:webHidden/>
              </w:rPr>
              <w:tab/>
            </w:r>
            <w:r w:rsidR="00AE2D13">
              <w:rPr>
                <w:noProof/>
                <w:webHidden/>
              </w:rPr>
              <w:fldChar w:fldCharType="begin"/>
            </w:r>
            <w:r w:rsidR="00AE2D13">
              <w:rPr>
                <w:noProof/>
                <w:webHidden/>
              </w:rPr>
              <w:instrText xml:space="preserve"> PAGEREF _Toc196390896 \h </w:instrText>
            </w:r>
            <w:r w:rsidR="00AE2D13">
              <w:rPr>
                <w:noProof/>
                <w:webHidden/>
              </w:rPr>
            </w:r>
            <w:r w:rsidR="00AE2D13">
              <w:rPr>
                <w:noProof/>
                <w:webHidden/>
              </w:rPr>
              <w:fldChar w:fldCharType="separate"/>
            </w:r>
            <w:r w:rsidR="00C11502">
              <w:rPr>
                <w:noProof/>
                <w:webHidden/>
              </w:rPr>
              <w:t>9</w:t>
            </w:r>
            <w:r w:rsidR="00AE2D13">
              <w:rPr>
                <w:noProof/>
                <w:webHidden/>
              </w:rPr>
              <w:fldChar w:fldCharType="end"/>
            </w:r>
          </w:hyperlink>
        </w:p>
        <w:p w14:paraId="57CEAB35" w14:textId="53A84CC2" w:rsidR="00AE2D13" w:rsidRDefault="00D6632E">
          <w:pPr>
            <w:pStyle w:val="TOC3"/>
            <w:tabs>
              <w:tab w:val="right" w:leader="dot" w:pos="9060"/>
            </w:tabs>
            <w:rPr>
              <w:rFonts w:eastAsiaTheme="minorEastAsia" w:cstheme="minorBidi"/>
              <w:noProof/>
              <w:kern w:val="2"/>
              <w:sz w:val="22"/>
              <w:szCs w:val="22"/>
              <w:lang w:val="en-NZ" w:eastAsia="en-NZ"/>
              <w14:ligatures w14:val="standardContextual"/>
            </w:rPr>
          </w:pPr>
          <w:hyperlink w:anchor="_Toc196390897" w:history="1">
            <w:r w:rsidR="00AE2D13" w:rsidRPr="00C8180C">
              <w:rPr>
                <w:rStyle w:val="Hyperlink"/>
                <w:noProof/>
                <w:lang w:val="en-NZ"/>
              </w:rPr>
              <w:t>What objectives are sought in relation to the policy problem?</w:t>
            </w:r>
            <w:r w:rsidR="00AE2D13">
              <w:rPr>
                <w:noProof/>
                <w:webHidden/>
              </w:rPr>
              <w:tab/>
            </w:r>
            <w:r w:rsidR="00AE2D13">
              <w:rPr>
                <w:noProof/>
                <w:webHidden/>
              </w:rPr>
              <w:fldChar w:fldCharType="begin"/>
            </w:r>
            <w:r w:rsidR="00AE2D13">
              <w:rPr>
                <w:noProof/>
                <w:webHidden/>
              </w:rPr>
              <w:instrText xml:space="preserve"> PAGEREF _Toc196390897 \h </w:instrText>
            </w:r>
            <w:r w:rsidR="00AE2D13">
              <w:rPr>
                <w:noProof/>
                <w:webHidden/>
              </w:rPr>
            </w:r>
            <w:r w:rsidR="00AE2D13">
              <w:rPr>
                <w:noProof/>
                <w:webHidden/>
              </w:rPr>
              <w:fldChar w:fldCharType="separate"/>
            </w:r>
            <w:r w:rsidR="00C11502">
              <w:rPr>
                <w:noProof/>
                <w:webHidden/>
              </w:rPr>
              <w:t>10</w:t>
            </w:r>
            <w:r w:rsidR="00AE2D13">
              <w:rPr>
                <w:noProof/>
                <w:webHidden/>
              </w:rPr>
              <w:fldChar w:fldCharType="end"/>
            </w:r>
          </w:hyperlink>
        </w:p>
        <w:p w14:paraId="2E8B07EA" w14:textId="58DCF798" w:rsidR="00AE2D13" w:rsidRDefault="00D6632E">
          <w:pPr>
            <w:pStyle w:val="TOC2"/>
            <w:tabs>
              <w:tab w:val="right" w:leader="dot" w:pos="9060"/>
            </w:tabs>
            <w:rPr>
              <w:rFonts w:eastAsiaTheme="minorEastAsia" w:cstheme="minorBidi"/>
              <w:b w:val="0"/>
              <w:bCs w:val="0"/>
              <w:noProof/>
              <w:kern w:val="2"/>
              <w:sz w:val="22"/>
              <w:szCs w:val="22"/>
              <w:lang w:val="en-NZ" w:eastAsia="en-NZ"/>
              <w14:ligatures w14:val="standardContextual"/>
            </w:rPr>
          </w:pPr>
          <w:hyperlink w:anchor="_Toc196390898" w:history="1">
            <w:r w:rsidR="00AE2D13" w:rsidRPr="00C8180C">
              <w:rPr>
                <w:rStyle w:val="Hyperlink"/>
                <w:noProof/>
                <w:lang w:val="en-NZ"/>
              </w:rPr>
              <w:t>Section 2: Deciding upon an option to address the policy problem</w:t>
            </w:r>
            <w:r w:rsidR="00AE2D13">
              <w:rPr>
                <w:noProof/>
                <w:webHidden/>
              </w:rPr>
              <w:tab/>
            </w:r>
            <w:r w:rsidR="00AE2D13">
              <w:rPr>
                <w:noProof/>
                <w:webHidden/>
              </w:rPr>
              <w:fldChar w:fldCharType="begin"/>
            </w:r>
            <w:r w:rsidR="00AE2D13">
              <w:rPr>
                <w:noProof/>
                <w:webHidden/>
              </w:rPr>
              <w:instrText xml:space="preserve"> PAGEREF _Toc196390898 \h </w:instrText>
            </w:r>
            <w:r w:rsidR="00AE2D13">
              <w:rPr>
                <w:noProof/>
                <w:webHidden/>
              </w:rPr>
            </w:r>
            <w:r w:rsidR="00AE2D13">
              <w:rPr>
                <w:noProof/>
                <w:webHidden/>
              </w:rPr>
              <w:fldChar w:fldCharType="separate"/>
            </w:r>
            <w:r w:rsidR="00C11502">
              <w:rPr>
                <w:noProof/>
                <w:webHidden/>
              </w:rPr>
              <w:t>10</w:t>
            </w:r>
            <w:r w:rsidR="00AE2D13">
              <w:rPr>
                <w:noProof/>
                <w:webHidden/>
              </w:rPr>
              <w:fldChar w:fldCharType="end"/>
            </w:r>
          </w:hyperlink>
        </w:p>
        <w:p w14:paraId="26BB78EC" w14:textId="70CE07FB" w:rsidR="00AE2D13" w:rsidRDefault="00D6632E">
          <w:pPr>
            <w:pStyle w:val="TOC3"/>
            <w:tabs>
              <w:tab w:val="right" w:leader="dot" w:pos="9060"/>
            </w:tabs>
            <w:rPr>
              <w:rFonts w:eastAsiaTheme="minorEastAsia" w:cstheme="minorBidi"/>
              <w:noProof/>
              <w:kern w:val="2"/>
              <w:sz w:val="22"/>
              <w:szCs w:val="22"/>
              <w:lang w:val="en-NZ" w:eastAsia="en-NZ"/>
              <w14:ligatures w14:val="standardContextual"/>
            </w:rPr>
          </w:pPr>
          <w:hyperlink w:anchor="_Toc196390899" w:history="1">
            <w:r w:rsidR="00AE2D13" w:rsidRPr="00C8180C">
              <w:rPr>
                <w:rStyle w:val="Hyperlink"/>
                <w:noProof/>
                <w:lang w:val="en-NZ"/>
              </w:rPr>
              <w:t>What scope will options be considered within?</w:t>
            </w:r>
            <w:r w:rsidR="00AE2D13">
              <w:rPr>
                <w:noProof/>
                <w:webHidden/>
              </w:rPr>
              <w:tab/>
            </w:r>
            <w:r w:rsidR="00AE2D13">
              <w:rPr>
                <w:noProof/>
                <w:webHidden/>
              </w:rPr>
              <w:fldChar w:fldCharType="begin"/>
            </w:r>
            <w:r w:rsidR="00AE2D13">
              <w:rPr>
                <w:noProof/>
                <w:webHidden/>
              </w:rPr>
              <w:instrText xml:space="preserve"> PAGEREF _Toc196390899 \h </w:instrText>
            </w:r>
            <w:r w:rsidR="00AE2D13">
              <w:rPr>
                <w:noProof/>
                <w:webHidden/>
              </w:rPr>
            </w:r>
            <w:r w:rsidR="00AE2D13">
              <w:rPr>
                <w:noProof/>
                <w:webHidden/>
              </w:rPr>
              <w:fldChar w:fldCharType="separate"/>
            </w:r>
            <w:r w:rsidR="00C11502">
              <w:rPr>
                <w:noProof/>
                <w:webHidden/>
              </w:rPr>
              <w:t>10</w:t>
            </w:r>
            <w:r w:rsidR="00AE2D13">
              <w:rPr>
                <w:noProof/>
                <w:webHidden/>
              </w:rPr>
              <w:fldChar w:fldCharType="end"/>
            </w:r>
          </w:hyperlink>
        </w:p>
        <w:p w14:paraId="011AB235" w14:textId="65CC6EEF" w:rsidR="00AE2D13" w:rsidRDefault="00D6632E">
          <w:pPr>
            <w:pStyle w:val="TOC3"/>
            <w:tabs>
              <w:tab w:val="right" w:leader="dot" w:pos="9060"/>
            </w:tabs>
            <w:rPr>
              <w:rFonts w:eastAsiaTheme="minorEastAsia" w:cstheme="minorBidi"/>
              <w:noProof/>
              <w:kern w:val="2"/>
              <w:sz w:val="22"/>
              <w:szCs w:val="22"/>
              <w:lang w:val="en-NZ" w:eastAsia="en-NZ"/>
              <w14:ligatures w14:val="standardContextual"/>
            </w:rPr>
          </w:pPr>
          <w:hyperlink w:anchor="_Toc196390900" w:history="1">
            <w:r w:rsidR="00AE2D13" w:rsidRPr="00C8180C">
              <w:rPr>
                <w:rStyle w:val="Hyperlink"/>
                <w:noProof/>
              </w:rPr>
              <w:t>What options were considered by Cabinet?</w:t>
            </w:r>
            <w:r w:rsidR="00AE2D13">
              <w:rPr>
                <w:noProof/>
                <w:webHidden/>
              </w:rPr>
              <w:tab/>
            </w:r>
            <w:r w:rsidR="00AE2D13">
              <w:rPr>
                <w:noProof/>
                <w:webHidden/>
              </w:rPr>
              <w:fldChar w:fldCharType="begin"/>
            </w:r>
            <w:r w:rsidR="00AE2D13">
              <w:rPr>
                <w:noProof/>
                <w:webHidden/>
              </w:rPr>
              <w:instrText xml:space="preserve"> PAGEREF _Toc196390900 \h </w:instrText>
            </w:r>
            <w:r w:rsidR="00AE2D13">
              <w:rPr>
                <w:noProof/>
                <w:webHidden/>
              </w:rPr>
            </w:r>
            <w:r w:rsidR="00AE2D13">
              <w:rPr>
                <w:noProof/>
                <w:webHidden/>
              </w:rPr>
              <w:fldChar w:fldCharType="separate"/>
            </w:r>
            <w:r w:rsidR="00C11502">
              <w:rPr>
                <w:noProof/>
                <w:webHidden/>
              </w:rPr>
              <w:t>10</w:t>
            </w:r>
            <w:r w:rsidR="00AE2D13">
              <w:rPr>
                <w:noProof/>
                <w:webHidden/>
              </w:rPr>
              <w:fldChar w:fldCharType="end"/>
            </w:r>
          </w:hyperlink>
        </w:p>
        <w:p w14:paraId="78333EC4" w14:textId="24CDA8A5" w:rsidR="00AE2D13" w:rsidRDefault="00D6632E">
          <w:pPr>
            <w:pStyle w:val="TOC3"/>
            <w:tabs>
              <w:tab w:val="right" w:leader="dot" w:pos="9060"/>
            </w:tabs>
            <w:rPr>
              <w:rFonts w:eastAsiaTheme="minorEastAsia" w:cstheme="minorBidi"/>
              <w:noProof/>
              <w:kern w:val="2"/>
              <w:sz w:val="22"/>
              <w:szCs w:val="22"/>
              <w:lang w:val="en-NZ" w:eastAsia="en-NZ"/>
              <w14:ligatures w14:val="standardContextual"/>
            </w:rPr>
          </w:pPr>
          <w:hyperlink w:anchor="_Toc196390901" w:history="1">
            <w:r w:rsidR="00AE2D13" w:rsidRPr="00C8180C">
              <w:rPr>
                <w:rStyle w:val="Hyperlink"/>
                <w:noProof/>
              </w:rPr>
              <w:t>Decisions taken by Joint Ministers under their delegated authority from Cabinet</w:t>
            </w:r>
            <w:r w:rsidR="00AE2D13">
              <w:rPr>
                <w:noProof/>
                <w:webHidden/>
              </w:rPr>
              <w:tab/>
            </w:r>
            <w:r w:rsidR="00AE2D13">
              <w:rPr>
                <w:noProof/>
                <w:webHidden/>
              </w:rPr>
              <w:fldChar w:fldCharType="begin"/>
            </w:r>
            <w:r w:rsidR="00AE2D13">
              <w:rPr>
                <w:noProof/>
                <w:webHidden/>
              </w:rPr>
              <w:instrText xml:space="preserve"> PAGEREF _Toc196390901 \h </w:instrText>
            </w:r>
            <w:r w:rsidR="00AE2D13">
              <w:rPr>
                <w:noProof/>
                <w:webHidden/>
              </w:rPr>
            </w:r>
            <w:r w:rsidR="00AE2D13">
              <w:rPr>
                <w:noProof/>
                <w:webHidden/>
              </w:rPr>
              <w:fldChar w:fldCharType="separate"/>
            </w:r>
            <w:r w:rsidR="00C11502">
              <w:rPr>
                <w:noProof/>
                <w:webHidden/>
              </w:rPr>
              <w:t>11</w:t>
            </w:r>
            <w:r w:rsidR="00AE2D13">
              <w:rPr>
                <w:noProof/>
                <w:webHidden/>
              </w:rPr>
              <w:fldChar w:fldCharType="end"/>
            </w:r>
          </w:hyperlink>
        </w:p>
        <w:p w14:paraId="60FBE927" w14:textId="18EE5557" w:rsidR="00AE2D13" w:rsidRDefault="00D6632E">
          <w:pPr>
            <w:pStyle w:val="TOC3"/>
            <w:tabs>
              <w:tab w:val="right" w:leader="dot" w:pos="9060"/>
            </w:tabs>
            <w:rPr>
              <w:rFonts w:eastAsiaTheme="minorEastAsia" w:cstheme="minorBidi"/>
              <w:noProof/>
              <w:kern w:val="2"/>
              <w:sz w:val="22"/>
              <w:szCs w:val="22"/>
              <w:lang w:val="en-NZ" w:eastAsia="en-NZ"/>
              <w14:ligatures w14:val="standardContextual"/>
            </w:rPr>
          </w:pPr>
          <w:hyperlink w:anchor="_Toc196390902" w:history="1">
            <w:r w:rsidR="00AE2D13" w:rsidRPr="00C8180C">
              <w:rPr>
                <w:rStyle w:val="Hyperlink"/>
                <w:noProof/>
              </w:rPr>
              <w:t>The impacts of the policy changes</w:t>
            </w:r>
            <w:r w:rsidR="00AE2D13">
              <w:rPr>
                <w:noProof/>
                <w:webHidden/>
              </w:rPr>
              <w:tab/>
            </w:r>
            <w:r w:rsidR="00AE2D13">
              <w:rPr>
                <w:noProof/>
                <w:webHidden/>
              </w:rPr>
              <w:fldChar w:fldCharType="begin"/>
            </w:r>
            <w:r w:rsidR="00AE2D13">
              <w:rPr>
                <w:noProof/>
                <w:webHidden/>
              </w:rPr>
              <w:instrText xml:space="preserve"> PAGEREF _Toc196390902 \h </w:instrText>
            </w:r>
            <w:r w:rsidR="00AE2D13">
              <w:rPr>
                <w:noProof/>
                <w:webHidden/>
              </w:rPr>
            </w:r>
            <w:r w:rsidR="00AE2D13">
              <w:rPr>
                <w:noProof/>
                <w:webHidden/>
              </w:rPr>
              <w:fldChar w:fldCharType="separate"/>
            </w:r>
            <w:r w:rsidR="00C11502">
              <w:rPr>
                <w:noProof/>
                <w:webHidden/>
              </w:rPr>
              <w:t>18</w:t>
            </w:r>
            <w:r w:rsidR="00AE2D13">
              <w:rPr>
                <w:noProof/>
                <w:webHidden/>
              </w:rPr>
              <w:fldChar w:fldCharType="end"/>
            </w:r>
          </w:hyperlink>
        </w:p>
        <w:p w14:paraId="3B2C5D9A" w14:textId="376233ED" w:rsidR="00AE2D13" w:rsidRDefault="00D6632E">
          <w:pPr>
            <w:pStyle w:val="TOC3"/>
            <w:tabs>
              <w:tab w:val="right" w:leader="dot" w:pos="9060"/>
            </w:tabs>
            <w:rPr>
              <w:rFonts w:eastAsiaTheme="minorEastAsia" w:cstheme="minorBidi"/>
              <w:noProof/>
              <w:kern w:val="2"/>
              <w:sz w:val="22"/>
              <w:szCs w:val="22"/>
              <w:lang w:val="en-NZ" w:eastAsia="en-NZ"/>
              <w14:ligatures w14:val="standardContextual"/>
            </w:rPr>
          </w:pPr>
          <w:hyperlink w:anchor="_Toc196390903" w:history="1">
            <w:r w:rsidR="00AE2D13" w:rsidRPr="00C8180C">
              <w:rPr>
                <w:rStyle w:val="Hyperlink"/>
                <w:noProof/>
              </w:rPr>
              <w:t>Risks of unintended consequences</w:t>
            </w:r>
            <w:r w:rsidR="00AE2D13">
              <w:rPr>
                <w:noProof/>
                <w:webHidden/>
              </w:rPr>
              <w:tab/>
            </w:r>
            <w:r w:rsidR="00AE2D13">
              <w:rPr>
                <w:noProof/>
                <w:webHidden/>
              </w:rPr>
              <w:fldChar w:fldCharType="begin"/>
            </w:r>
            <w:r w:rsidR="00AE2D13">
              <w:rPr>
                <w:noProof/>
                <w:webHidden/>
              </w:rPr>
              <w:instrText xml:space="preserve"> PAGEREF _Toc196390903 \h </w:instrText>
            </w:r>
            <w:r w:rsidR="00AE2D13">
              <w:rPr>
                <w:noProof/>
                <w:webHidden/>
              </w:rPr>
            </w:r>
            <w:r w:rsidR="00AE2D13">
              <w:rPr>
                <w:noProof/>
                <w:webHidden/>
              </w:rPr>
              <w:fldChar w:fldCharType="separate"/>
            </w:r>
            <w:r w:rsidR="00C11502">
              <w:rPr>
                <w:noProof/>
                <w:webHidden/>
              </w:rPr>
              <w:t>19</w:t>
            </w:r>
            <w:r w:rsidR="00AE2D13">
              <w:rPr>
                <w:noProof/>
                <w:webHidden/>
              </w:rPr>
              <w:fldChar w:fldCharType="end"/>
            </w:r>
          </w:hyperlink>
        </w:p>
        <w:p w14:paraId="300FAE05" w14:textId="301146D4" w:rsidR="00AE2D13" w:rsidRDefault="00D6632E">
          <w:pPr>
            <w:pStyle w:val="TOC3"/>
            <w:tabs>
              <w:tab w:val="right" w:leader="dot" w:pos="9060"/>
            </w:tabs>
            <w:rPr>
              <w:rFonts w:eastAsiaTheme="minorEastAsia" w:cstheme="minorBidi"/>
              <w:noProof/>
              <w:kern w:val="2"/>
              <w:sz w:val="22"/>
              <w:szCs w:val="22"/>
              <w:lang w:val="en-NZ" w:eastAsia="en-NZ"/>
              <w14:ligatures w14:val="standardContextual"/>
            </w:rPr>
          </w:pPr>
          <w:hyperlink w:anchor="_Toc196390904" w:history="1">
            <w:r w:rsidR="00AE2D13" w:rsidRPr="00C8180C">
              <w:rPr>
                <w:rStyle w:val="Hyperlink"/>
                <w:noProof/>
              </w:rPr>
              <w:t>The financial impacts of the policy changes</w:t>
            </w:r>
            <w:r w:rsidR="00AE2D13">
              <w:rPr>
                <w:noProof/>
                <w:webHidden/>
              </w:rPr>
              <w:tab/>
            </w:r>
            <w:r w:rsidR="00AE2D13">
              <w:rPr>
                <w:noProof/>
                <w:webHidden/>
              </w:rPr>
              <w:fldChar w:fldCharType="begin"/>
            </w:r>
            <w:r w:rsidR="00AE2D13">
              <w:rPr>
                <w:noProof/>
                <w:webHidden/>
              </w:rPr>
              <w:instrText xml:space="preserve"> PAGEREF _Toc196390904 \h </w:instrText>
            </w:r>
            <w:r w:rsidR="00AE2D13">
              <w:rPr>
                <w:noProof/>
                <w:webHidden/>
              </w:rPr>
            </w:r>
            <w:r w:rsidR="00AE2D13">
              <w:rPr>
                <w:noProof/>
                <w:webHidden/>
              </w:rPr>
              <w:fldChar w:fldCharType="separate"/>
            </w:r>
            <w:r w:rsidR="00C11502">
              <w:rPr>
                <w:noProof/>
                <w:webHidden/>
              </w:rPr>
              <w:t>21</w:t>
            </w:r>
            <w:r w:rsidR="00AE2D13">
              <w:rPr>
                <w:noProof/>
                <w:webHidden/>
              </w:rPr>
              <w:fldChar w:fldCharType="end"/>
            </w:r>
          </w:hyperlink>
        </w:p>
        <w:p w14:paraId="6493BDD2" w14:textId="4FE19894" w:rsidR="00AE2D13" w:rsidRDefault="00D6632E">
          <w:pPr>
            <w:pStyle w:val="TOC3"/>
            <w:tabs>
              <w:tab w:val="right" w:leader="dot" w:pos="9060"/>
            </w:tabs>
            <w:rPr>
              <w:rFonts w:eastAsiaTheme="minorEastAsia" w:cstheme="minorBidi"/>
              <w:noProof/>
              <w:kern w:val="2"/>
              <w:sz w:val="22"/>
              <w:szCs w:val="22"/>
              <w:lang w:val="en-NZ" w:eastAsia="en-NZ"/>
              <w14:ligatures w14:val="standardContextual"/>
            </w:rPr>
          </w:pPr>
          <w:hyperlink w:anchor="_Toc196390905" w:history="1">
            <w:r w:rsidR="00AE2D13" w:rsidRPr="00C8180C">
              <w:rPr>
                <w:rStyle w:val="Hyperlink"/>
                <w:noProof/>
              </w:rPr>
              <w:t>Distributional impacts</w:t>
            </w:r>
            <w:r w:rsidR="00AE2D13">
              <w:rPr>
                <w:noProof/>
                <w:webHidden/>
              </w:rPr>
              <w:tab/>
            </w:r>
            <w:r w:rsidR="00AE2D13">
              <w:rPr>
                <w:noProof/>
                <w:webHidden/>
              </w:rPr>
              <w:fldChar w:fldCharType="begin"/>
            </w:r>
            <w:r w:rsidR="00AE2D13">
              <w:rPr>
                <w:noProof/>
                <w:webHidden/>
              </w:rPr>
              <w:instrText xml:space="preserve"> PAGEREF _Toc196390905 \h </w:instrText>
            </w:r>
            <w:r w:rsidR="00AE2D13">
              <w:rPr>
                <w:noProof/>
                <w:webHidden/>
              </w:rPr>
            </w:r>
            <w:r w:rsidR="00AE2D13">
              <w:rPr>
                <w:noProof/>
                <w:webHidden/>
              </w:rPr>
              <w:fldChar w:fldCharType="separate"/>
            </w:r>
            <w:r w:rsidR="00C11502">
              <w:rPr>
                <w:noProof/>
                <w:webHidden/>
              </w:rPr>
              <w:t>23</w:t>
            </w:r>
            <w:r w:rsidR="00AE2D13">
              <w:rPr>
                <w:noProof/>
                <w:webHidden/>
              </w:rPr>
              <w:fldChar w:fldCharType="end"/>
            </w:r>
          </w:hyperlink>
        </w:p>
        <w:p w14:paraId="12E6107C" w14:textId="577F2C22" w:rsidR="00AE2D13" w:rsidRDefault="00D6632E">
          <w:pPr>
            <w:pStyle w:val="TOC3"/>
            <w:tabs>
              <w:tab w:val="right" w:leader="dot" w:pos="9060"/>
            </w:tabs>
            <w:rPr>
              <w:rFonts w:eastAsiaTheme="minorEastAsia" w:cstheme="minorBidi"/>
              <w:noProof/>
              <w:kern w:val="2"/>
              <w:sz w:val="22"/>
              <w:szCs w:val="22"/>
              <w:lang w:val="en-NZ" w:eastAsia="en-NZ"/>
              <w14:ligatures w14:val="standardContextual"/>
            </w:rPr>
          </w:pPr>
          <w:hyperlink w:anchor="_Toc196390906" w:history="1">
            <w:r w:rsidR="00AE2D13" w:rsidRPr="00C8180C">
              <w:rPr>
                <w:rStyle w:val="Hyperlink"/>
                <w:noProof/>
              </w:rPr>
              <w:t>Forecasted savings</w:t>
            </w:r>
            <w:r w:rsidR="00AE2D13">
              <w:rPr>
                <w:noProof/>
                <w:webHidden/>
              </w:rPr>
              <w:tab/>
            </w:r>
            <w:r w:rsidR="00AE2D13">
              <w:rPr>
                <w:noProof/>
                <w:webHidden/>
              </w:rPr>
              <w:fldChar w:fldCharType="begin"/>
            </w:r>
            <w:r w:rsidR="00AE2D13">
              <w:rPr>
                <w:noProof/>
                <w:webHidden/>
              </w:rPr>
              <w:instrText xml:space="preserve"> PAGEREF _Toc196390906 \h </w:instrText>
            </w:r>
            <w:r w:rsidR="00AE2D13">
              <w:rPr>
                <w:noProof/>
                <w:webHidden/>
              </w:rPr>
            </w:r>
            <w:r w:rsidR="00AE2D13">
              <w:rPr>
                <w:noProof/>
                <w:webHidden/>
              </w:rPr>
              <w:fldChar w:fldCharType="separate"/>
            </w:r>
            <w:r w:rsidR="00C11502">
              <w:rPr>
                <w:noProof/>
                <w:webHidden/>
              </w:rPr>
              <w:t>25</w:t>
            </w:r>
            <w:r w:rsidR="00AE2D13">
              <w:rPr>
                <w:noProof/>
                <w:webHidden/>
              </w:rPr>
              <w:fldChar w:fldCharType="end"/>
            </w:r>
          </w:hyperlink>
        </w:p>
        <w:p w14:paraId="1F132DCE" w14:textId="08727618" w:rsidR="00AE2D13" w:rsidRDefault="00D6632E">
          <w:pPr>
            <w:pStyle w:val="TOC3"/>
            <w:tabs>
              <w:tab w:val="right" w:leader="dot" w:pos="9060"/>
            </w:tabs>
            <w:rPr>
              <w:rFonts w:eastAsiaTheme="minorEastAsia" w:cstheme="minorBidi"/>
              <w:noProof/>
              <w:kern w:val="2"/>
              <w:sz w:val="22"/>
              <w:szCs w:val="22"/>
              <w:lang w:val="en-NZ" w:eastAsia="en-NZ"/>
              <w14:ligatures w14:val="standardContextual"/>
            </w:rPr>
          </w:pPr>
          <w:hyperlink w:anchor="_Toc196390907" w:history="1">
            <w:r w:rsidR="00AE2D13" w:rsidRPr="00C8180C">
              <w:rPr>
                <w:rStyle w:val="Hyperlink"/>
                <w:noProof/>
              </w:rPr>
              <w:t>The changes may have negative implications for consistency with the Government’s Treaty of Waitangi obligations</w:t>
            </w:r>
            <w:r w:rsidR="00AE2D13">
              <w:rPr>
                <w:noProof/>
                <w:webHidden/>
              </w:rPr>
              <w:tab/>
            </w:r>
            <w:r w:rsidR="00AE2D13">
              <w:rPr>
                <w:noProof/>
                <w:webHidden/>
              </w:rPr>
              <w:fldChar w:fldCharType="begin"/>
            </w:r>
            <w:r w:rsidR="00AE2D13">
              <w:rPr>
                <w:noProof/>
                <w:webHidden/>
              </w:rPr>
              <w:instrText xml:space="preserve"> PAGEREF _Toc196390907 \h </w:instrText>
            </w:r>
            <w:r w:rsidR="00AE2D13">
              <w:rPr>
                <w:noProof/>
                <w:webHidden/>
              </w:rPr>
            </w:r>
            <w:r w:rsidR="00AE2D13">
              <w:rPr>
                <w:noProof/>
                <w:webHidden/>
              </w:rPr>
              <w:fldChar w:fldCharType="separate"/>
            </w:r>
            <w:r w:rsidR="00C11502">
              <w:rPr>
                <w:noProof/>
                <w:webHidden/>
              </w:rPr>
              <w:t>26</w:t>
            </w:r>
            <w:r w:rsidR="00AE2D13">
              <w:rPr>
                <w:noProof/>
                <w:webHidden/>
              </w:rPr>
              <w:fldChar w:fldCharType="end"/>
            </w:r>
          </w:hyperlink>
        </w:p>
        <w:p w14:paraId="3DD0F9A0" w14:textId="060B6B72" w:rsidR="00AE2D13" w:rsidRDefault="00D6632E">
          <w:pPr>
            <w:pStyle w:val="TOC3"/>
            <w:tabs>
              <w:tab w:val="right" w:leader="dot" w:pos="9060"/>
            </w:tabs>
            <w:rPr>
              <w:rFonts w:eastAsiaTheme="minorEastAsia" w:cstheme="minorBidi"/>
              <w:noProof/>
              <w:kern w:val="2"/>
              <w:sz w:val="22"/>
              <w:szCs w:val="22"/>
              <w:lang w:val="en-NZ" w:eastAsia="en-NZ"/>
              <w14:ligatures w14:val="standardContextual"/>
            </w:rPr>
          </w:pPr>
          <w:hyperlink w:anchor="_Toc196390908" w:history="1">
            <w:r w:rsidR="00AE2D13" w:rsidRPr="00C8180C">
              <w:rPr>
                <w:rStyle w:val="Hyperlink"/>
                <w:noProof/>
              </w:rPr>
              <w:t>Stakeholder feedback</w:t>
            </w:r>
            <w:r w:rsidR="00AE2D13">
              <w:rPr>
                <w:noProof/>
                <w:webHidden/>
              </w:rPr>
              <w:tab/>
            </w:r>
            <w:r w:rsidR="00AE2D13">
              <w:rPr>
                <w:noProof/>
                <w:webHidden/>
              </w:rPr>
              <w:fldChar w:fldCharType="begin"/>
            </w:r>
            <w:r w:rsidR="00AE2D13">
              <w:rPr>
                <w:noProof/>
                <w:webHidden/>
              </w:rPr>
              <w:instrText xml:space="preserve"> PAGEREF _Toc196390908 \h </w:instrText>
            </w:r>
            <w:r w:rsidR="00AE2D13">
              <w:rPr>
                <w:noProof/>
                <w:webHidden/>
              </w:rPr>
            </w:r>
            <w:r w:rsidR="00AE2D13">
              <w:rPr>
                <w:noProof/>
                <w:webHidden/>
              </w:rPr>
              <w:fldChar w:fldCharType="separate"/>
            </w:r>
            <w:r w:rsidR="00C11502">
              <w:rPr>
                <w:noProof/>
                <w:webHidden/>
              </w:rPr>
              <w:t>26</w:t>
            </w:r>
            <w:r w:rsidR="00AE2D13">
              <w:rPr>
                <w:noProof/>
                <w:webHidden/>
              </w:rPr>
              <w:fldChar w:fldCharType="end"/>
            </w:r>
          </w:hyperlink>
        </w:p>
        <w:p w14:paraId="15053509" w14:textId="6422166D" w:rsidR="00AE2D13" w:rsidRDefault="00D6632E">
          <w:pPr>
            <w:pStyle w:val="TOC3"/>
            <w:tabs>
              <w:tab w:val="right" w:leader="dot" w:pos="9060"/>
            </w:tabs>
            <w:rPr>
              <w:rFonts w:eastAsiaTheme="minorEastAsia" w:cstheme="minorBidi"/>
              <w:noProof/>
              <w:kern w:val="2"/>
              <w:sz w:val="22"/>
              <w:szCs w:val="22"/>
              <w:lang w:val="en-NZ" w:eastAsia="en-NZ"/>
              <w14:ligatures w14:val="standardContextual"/>
            </w:rPr>
          </w:pPr>
          <w:hyperlink w:anchor="_Toc196390909" w:history="1">
            <w:r w:rsidR="00AE2D13" w:rsidRPr="00C8180C">
              <w:rPr>
                <w:rStyle w:val="Hyperlink"/>
                <w:noProof/>
              </w:rPr>
              <w:t>What are the marginal costs and benefits of the policy changes</w:t>
            </w:r>
            <w:r w:rsidR="00AE2D13">
              <w:rPr>
                <w:noProof/>
                <w:webHidden/>
              </w:rPr>
              <w:tab/>
            </w:r>
            <w:r w:rsidR="00AE2D13">
              <w:rPr>
                <w:noProof/>
                <w:webHidden/>
              </w:rPr>
              <w:fldChar w:fldCharType="begin"/>
            </w:r>
            <w:r w:rsidR="00AE2D13">
              <w:rPr>
                <w:noProof/>
                <w:webHidden/>
              </w:rPr>
              <w:instrText xml:space="preserve"> PAGEREF _Toc196390909 \h </w:instrText>
            </w:r>
            <w:r w:rsidR="00AE2D13">
              <w:rPr>
                <w:noProof/>
                <w:webHidden/>
              </w:rPr>
            </w:r>
            <w:r w:rsidR="00AE2D13">
              <w:rPr>
                <w:noProof/>
                <w:webHidden/>
              </w:rPr>
              <w:fldChar w:fldCharType="separate"/>
            </w:r>
            <w:r w:rsidR="00C11502">
              <w:rPr>
                <w:noProof/>
                <w:webHidden/>
              </w:rPr>
              <w:t>27</w:t>
            </w:r>
            <w:r w:rsidR="00AE2D13">
              <w:rPr>
                <w:noProof/>
                <w:webHidden/>
              </w:rPr>
              <w:fldChar w:fldCharType="end"/>
            </w:r>
          </w:hyperlink>
        </w:p>
        <w:p w14:paraId="03D05FCF" w14:textId="015EBD90" w:rsidR="00AE2D13" w:rsidRDefault="00D6632E">
          <w:pPr>
            <w:pStyle w:val="TOC2"/>
            <w:tabs>
              <w:tab w:val="right" w:leader="dot" w:pos="9060"/>
            </w:tabs>
            <w:rPr>
              <w:rFonts w:eastAsiaTheme="minorEastAsia" w:cstheme="minorBidi"/>
              <w:b w:val="0"/>
              <w:bCs w:val="0"/>
              <w:noProof/>
              <w:kern w:val="2"/>
              <w:sz w:val="22"/>
              <w:szCs w:val="22"/>
              <w:lang w:val="en-NZ" w:eastAsia="en-NZ"/>
              <w14:ligatures w14:val="standardContextual"/>
            </w:rPr>
          </w:pPr>
          <w:hyperlink w:anchor="_Toc196390910" w:history="1">
            <w:r w:rsidR="00AE2D13" w:rsidRPr="00C8180C">
              <w:rPr>
                <w:rStyle w:val="Hyperlink"/>
                <w:noProof/>
              </w:rPr>
              <w:t>Section 3: Delivering an option</w:t>
            </w:r>
            <w:r w:rsidR="00AE2D13">
              <w:rPr>
                <w:noProof/>
                <w:webHidden/>
              </w:rPr>
              <w:tab/>
            </w:r>
            <w:r w:rsidR="00AE2D13">
              <w:rPr>
                <w:noProof/>
                <w:webHidden/>
              </w:rPr>
              <w:fldChar w:fldCharType="begin"/>
            </w:r>
            <w:r w:rsidR="00AE2D13">
              <w:rPr>
                <w:noProof/>
                <w:webHidden/>
              </w:rPr>
              <w:instrText xml:space="preserve"> PAGEREF _Toc196390910 \h </w:instrText>
            </w:r>
            <w:r w:rsidR="00AE2D13">
              <w:rPr>
                <w:noProof/>
                <w:webHidden/>
              </w:rPr>
            </w:r>
            <w:r w:rsidR="00AE2D13">
              <w:rPr>
                <w:noProof/>
                <w:webHidden/>
              </w:rPr>
              <w:fldChar w:fldCharType="separate"/>
            </w:r>
            <w:r w:rsidR="00C11502">
              <w:rPr>
                <w:noProof/>
                <w:webHidden/>
              </w:rPr>
              <w:t>34</w:t>
            </w:r>
            <w:r w:rsidR="00AE2D13">
              <w:rPr>
                <w:noProof/>
                <w:webHidden/>
              </w:rPr>
              <w:fldChar w:fldCharType="end"/>
            </w:r>
          </w:hyperlink>
        </w:p>
        <w:p w14:paraId="6BF82AE3" w14:textId="16CEF324" w:rsidR="00AE2D13" w:rsidRDefault="00D6632E">
          <w:pPr>
            <w:pStyle w:val="TOC3"/>
            <w:tabs>
              <w:tab w:val="right" w:leader="dot" w:pos="9060"/>
            </w:tabs>
            <w:rPr>
              <w:rFonts w:eastAsiaTheme="minorEastAsia" w:cstheme="minorBidi"/>
              <w:noProof/>
              <w:kern w:val="2"/>
              <w:sz w:val="22"/>
              <w:szCs w:val="22"/>
              <w:lang w:val="en-NZ" w:eastAsia="en-NZ"/>
              <w14:ligatures w14:val="standardContextual"/>
            </w:rPr>
          </w:pPr>
          <w:hyperlink w:anchor="_Toc196390911" w:history="1">
            <w:r w:rsidR="00AE2D13" w:rsidRPr="00C8180C">
              <w:rPr>
                <w:rStyle w:val="Hyperlink"/>
                <w:noProof/>
                <w:lang w:val="en-NZ"/>
              </w:rPr>
              <w:t>How will the new arrangements be implemented?</w:t>
            </w:r>
            <w:r w:rsidR="00AE2D13">
              <w:rPr>
                <w:noProof/>
                <w:webHidden/>
              </w:rPr>
              <w:tab/>
            </w:r>
            <w:r w:rsidR="00AE2D13">
              <w:rPr>
                <w:noProof/>
                <w:webHidden/>
              </w:rPr>
              <w:fldChar w:fldCharType="begin"/>
            </w:r>
            <w:r w:rsidR="00AE2D13">
              <w:rPr>
                <w:noProof/>
                <w:webHidden/>
              </w:rPr>
              <w:instrText xml:space="preserve"> PAGEREF _Toc196390911 \h </w:instrText>
            </w:r>
            <w:r w:rsidR="00AE2D13">
              <w:rPr>
                <w:noProof/>
                <w:webHidden/>
              </w:rPr>
            </w:r>
            <w:r w:rsidR="00AE2D13">
              <w:rPr>
                <w:noProof/>
                <w:webHidden/>
              </w:rPr>
              <w:fldChar w:fldCharType="separate"/>
            </w:r>
            <w:r w:rsidR="00C11502">
              <w:rPr>
                <w:noProof/>
                <w:webHidden/>
              </w:rPr>
              <w:t>34</w:t>
            </w:r>
            <w:r w:rsidR="00AE2D13">
              <w:rPr>
                <w:noProof/>
                <w:webHidden/>
              </w:rPr>
              <w:fldChar w:fldCharType="end"/>
            </w:r>
          </w:hyperlink>
        </w:p>
        <w:p w14:paraId="2A924A7D" w14:textId="23713AEC" w:rsidR="00AE2D13" w:rsidRDefault="00D6632E">
          <w:pPr>
            <w:pStyle w:val="TOC3"/>
            <w:tabs>
              <w:tab w:val="right" w:leader="dot" w:pos="9060"/>
            </w:tabs>
            <w:rPr>
              <w:rFonts w:eastAsiaTheme="minorEastAsia" w:cstheme="minorBidi"/>
              <w:noProof/>
              <w:kern w:val="2"/>
              <w:sz w:val="22"/>
              <w:szCs w:val="22"/>
              <w:lang w:val="en-NZ" w:eastAsia="en-NZ"/>
              <w14:ligatures w14:val="standardContextual"/>
            </w:rPr>
          </w:pPr>
          <w:hyperlink w:anchor="_Toc196390912" w:history="1">
            <w:r w:rsidR="00AE2D13" w:rsidRPr="00C8180C">
              <w:rPr>
                <w:rStyle w:val="Hyperlink"/>
                <w:noProof/>
                <w:lang w:val="en-NZ"/>
              </w:rPr>
              <w:t>Information collection, use and retention</w:t>
            </w:r>
            <w:r w:rsidR="00AE2D13">
              <w:rPr>
                <w:noProof/>
                <w:webHidden/>
              </w:rPr>
              <w:tab/>
            </w:r>
            <w:r w:rsidR="00AE2D13">
              <w:rPr>
                <w:noProof/>
                <w:webHidden/>
              </w:rPr>
              <w:fldChar w:fldCharType="begin"/>
            </w:r>
            <w:r w:rsidR="00AE2D13">
              <w:rPr>
                <w:noProof/>
                <w:webHidden/>
              </w:rPr>
              <w:instrText xml:space="preserve"> PAGEREF _Toc196390912 \h </w:instrText>
            </w:r>
            <w:r w:rsidR="00AE2D13">
              <w:rPr>
                <w:noProof/>
                <w:webHidden/>
              </w:rPr>
            </w:r>
            <w:r w:rsidR="00AE2D13">
              <w:rPr>
                <w:noProof/>
                <w:webHidden/>
              </w:rPr>
              <w:fldChar w:fldCharType="separate"/>
            </w:r>
            <w:r w:rsidR="00C11502">
              <w:rPr>
                <w:noProof/>
                <w:webHidden/>
              </w:rPr>
              <w:t>36</w:t>
            </w:r>
            <w:r w:rsidR="00AE2D13">
              <w:rPr>
                <w:noProof/>
                <w:webHidden/>
              </w:rPr>
              <w:fldChar w:fldCharType="end"/>
            </w:r>
          </w:hyperlink>
        </w:p>
        <w:p w14:paraId="49407959" w14:textId="52B38EBA" w:rsidR="00AE2D13" w:rsidRDefault="00D6632E">
          <w:pPr>
            <w:pStyle w:val="TOC3"/>
            <w:tabs>
              <w:tab w:val="right" w:leader="dot" w:pos="9060"/>
            </w:tabs>
            <w:rPr>
              <w:rFonts w:eastAsiaTheme="minorEastAsia" w:cstheme="minorBidi"/>
              <w:noProof/>
              <w:kern w:val="2"/>
              <w:sz w:val="22"/>
              <w:szCs w:val="22"/>
              <w:lang w:val="en-NZ" w:eastAsia="en-NZ"/>
              <w14:ligatures w14:val="standardContextual"/>
            </w:rPr>
          </w:pPr>
          <w:hyperlink w:anchor="_Toc196390913" w:history="1">
            <w:r w:rsidR="00AE2D13" w:rsidRPr="00C8180C">
              <w:rPr>
                <w:rStyle w:val="Hyperlink"/>
                <w:noProof/>
                <w:lang w:val="en-NZ"/>
              </w:rPr>
              <w:t>How will the new arrangements be monitored, evaluated, and reviewed?</w:t>
            </w:r>
            <w:r w:rsidR="00AE2D13">
              <w:rPr>
                <w:noProof/>
                <w:webHidden/>
              </w:rPr>
              <w:tab/>
            </w:r>
            <w:r w:rsidR="00AE2D13">
              <w:rPr>
                <w:noProof/>
                <w:webHidden/>
              </w:rPr>
              <w:fldChar w:fldCharType="begin"/>
            </w:r>
            <w:r w:rsidR="00AE2D13">
              <w:rPr>
                <w:noProof/>
                <w:webHidden/>
              </w:rPr>
              <w:instrText xml:space="preserve"> PAGEREF _Toc196390913 \h </w:instrText>
            </w:r>
            <w:r w:rsidR="00AE2D13">
              <w:rPr>
                <w:noProof/>
                <w:webHidden/>
              </w:rPr>
            </w:r>
            <w:r w:rsidR="00AE2D13">
              <w:rPr>
                <w:noProof/>
                <w:webHidden/>
              </w:rPr>
              <w:fldChar w:fldCharType="separate"/>
            </w:r>
            <w:r w:rsidR="00C11502">
              <w:rPr>
                <w:noProof/>
                <w:webHidden/>
              </w:rPr>
              <w:t>36</w:t>
            </w:r>
            <w:r w:rsidR="00AE2D13">
              <w:rPr>
                <w:noProof/>
                <w:webHidden/>
              </w:rPr>
              <w:fldChar w:fldCharType="end"/>
            </w:r>
          </w:hyperlink>
        </w:p>
        <w:p w14:paraId="497C204D" w14:textId="78B1F856" w:rsidR="00AE2D13" w:rsidRDefault="00D6632E">
          <w:pPr>
            <w:pStyle w:val="TOC2"/>
            <w:tabs>
              <w:tab w:val="right" w:leader="dot" w:pos="9060"/>
            </w:tabs>
            <w:rPr>
              <w:rFonts w:eastAsiaTheme="minorEastAsia" w:cstheme="minorBidi"/>
              <w:b w:val="0"/>
              <w:bCs w:val="0"/>
              <w:noProof/>
              <w:kern w:val="2"/>
              <w:sz w:val="22"/>
              <w:szCs w:val="22"/>
              <w:lang w:val="en-NZ" w:eastAsia="en-NZ"/>
              <w14:ligatures w14:val="standardContextual"/>
            </w:rPr>
          </w:pPr>
          <w:hyperlink w:anchor="_Toc196390914" w:history="1">
            <w:r w:rsidR="00AE2D13" w:rsidRPr="00C8180C">
              <w:rPr>
                <w:rStyle w:val="Hyperlink"/>
                <w:rFonts w:eastAsia="Verdana"/>
                <w:noProof/>
              </w:rPr>
              <w:t>Annex 1 - How does the option compare to the counterfactual?</w:t>
            </w:r>
            <w:r w:rsidR="00AE2D13">
              <w:rPr>
                <w:noProof/>
                <w:webHidden/>
              </w:rPr>
              <w:tab/>
            </w:r>
            <w:r w:rsidR="00AE2D13">
              <w:rPr>
                <w:noProof/>
                <w:webHidden/>
              </w:rPr>
              <w:fldChar w:fldCharType="begin"/>
            </w:r>
            <w:r w:rsidR="00AE2D13">
              <w:rPr>
                <w:noProof/>
                <w:webHidden/>
              </w:rPr>
              <w:instrText xml:space="preserve"> PAGEREF _Toc196390914 \h </w:instrText>
            </w:r>
            <w:r w:rsidR="00AE2D13">
              <w:rPr>
                <w:noProof/>
                <w:webHidden/>
              </w:rPr>
            </w:r>
            <w:r w:rsidR="00AE2D13">
              <w:rPr>
                <w:noProof/>
                <w:webHidden/>
              </w:rPr>
              <w:fldChar w:fldCharType="separate"/>
            </w:r>
            <w:r w:rsidR="00C11502">
              <w:rPr>
                <w:noProof/>
                <w:webHidden/>
              </w:rPr>
              <w:t>38</w:t>
            </w:r>
            <w:r w:rsidR="00AE2D13">
              <w:rPr>
                <w:noProof/>
                <w:webHidden/>
              </w:rPr>
              <w:fldChar w:fldCharType="end"/>
            </w:r>
          </w:hyperlink>
        </w:p>
        <w:p w14:paraId="39F00310" w14:textId="7764E043" w:rsidR="00AE2D13" w:rsidRDefault="00D6632E">
          <w:pPr>
            <w:pStyle w:val="TOC2"/>
            <w:tabs>
              <w:tab w:val="right" w:leader="dot" w:pos="9060"/>
            </w:tabs>
            <w:rPr>
              <w:rFonts w:eastAsiaTheme="minorEastAsia" w:cstheme="minorBidi"/>
              <w:b w:val="0"/>
              <w:bCs w:val="0"/>
              <w:noProof/>
              <w:kern w:val="2"/>
              <w:sz w:val="22"/>
              <w:szCs w:val="22"/>
              <w:lang w:val="en-NZ" w:eastAsia="en-NZ"/>
              <w14:ligatures w14:val="standardContextual"/>
            </w:rPr>
          </w:pPr>
          <w:hyperlink w:anchor="_Toc196390915" w:history="1">
            <w:r w:rsidR="00AE2D13" w:rsidRPr="00C8180C">
              <w:rPr>
                <w:rStyle w:val="Hyperlink"/>
                <w:noProof/>
              </w:rPr>
              <w:t>Annex 2 - Current treatment of renters</w:t>
            </w:r>
            <w:r w:rsidR="00AE2D13">
              <w:rPr>
                <w:noProof/>
                <w:webHidden/>
              </w:rPr>
              <w:tab/>
            </w:r>
            <w:r w:rsidR="00AE2D13">
              <w:rPr>
                <w:noProof/>
                <w:webHidden/>
              </w:rPr>
              <w:fldChar w:fldCharType="begin"/>
            </w:r>
            <w:r w:rsidR="00AE2D13">
              <w:rPr>
                <w:noProof/>
                <w:webHidden/>
              </w:rPr>
              <w:instrText xml:space="preserve"> PAGEREF _Toc196390915 \h </w:instrText>
            </w:r>
            <w:r w:rsidR="00AE2D13">
              <w:rPr>
                <w:noProof/>
                <w:webHidden/>
              </w:rPr>
            </w:r>
            <w:r w:rsidR="00AE2D13">
              <w:rPr>
                <w:noProof/>
                <w:webHidden/>
              </w:rPr>
              <w:fldChar w:fldCharType="separate"/>
            </w:r>
            <w:r w:rsidR="00C11502">
              <w:rPr>
                <w:noProof/>
                <w:webHidden/>
              </w:rPr>
              <w:t>40</w:t>
            </w:r>
            <w:r w:rsidR="00AE2D13">
              <w:rPr>
                <w:noProof/>
                <w:webHidden/>
              </w:rPr>
              <w:fldChar w:fldCharType="end"/>
            </w:r>
          </w:hyperlink>
        </w:p>
        <w:p w14:paraId="47B25587" w14:textId="371436DC" w:rsidR="00AE2D13" w:rsidRDefault="00D6632E">
          <w:pPr>
            <w:pStyle w:val="TOC2"/>
            <w:tabs>
              <w:tab w:val="right" w:leader="dot" w:pos="9060"/>
            </w:tabs>
            <w:rPr>
              <w:rFonts w:eastAsiaTheme="minorEastAsia" w:cstheme="minorBidi"/>
              <w:b w:val="0"/>
              <w:bCs w:val="0"/>
              <w:noProof/>
              <w:kern w:val="2"/>
              <w:sz w:val="22"/>
              <w:szCs w:val="22"/>
              <w:lang w:val="en-NZ" w:eastAsia="en-NZ"/>
              <w14:ligatures w14:val="standardContextual"/>
            </w:rPr>
          </w:pPr>
          <w:hyperlink w:anchor="_Toc196390916" w:history="1">
            <w:r w:rsidR="00AE2D13" w:rsidRPr="00C8180C">
              <w:rPr>
                <w:rStyle w:val="Hyperlink"/>
                <w:rFonts w:eastAsia="Verdana"/>
                <w:noProof/>
              </w:rPr>
              <w:t>Annex 3 - Three step process for resolving a mismatch between information provided about the rate of board or rent paid, and the rate of board or rent received</w:t>
            </w:r>
            <w:r w:rsidR="00AE2D13">
              <w:rPr>
                <w:noProof/>
                <w:webHidden/>
              </w:rPr>
              <w:tab/>
            </w:r>
            <w:r w:rsidR="00AE2D13">
              <w:rPr>
                <w:noProof/>
                <w:webHidden/>
              </w:rPr>
              <w:fldChar w:fldCharType="begin"/>
            </w:r>
            <w:r w:rsidR="00AE2D13">
              <w:rPr>
                <w:noProof/>
                <w:webHidden/>
              </w:rPr>
              <w:instrText xml:space="preserve"> PAGEREF _Toc196390916 \h </w:instrText>
            </w:r>
            <w:r w:rsidR="00AE2D13">
              <w:rPr>
                <w:noProof/>
                <w:webHidden/>
              </w:rPr>
            </w:r>
            <w:r w:rsidR="00AE2D13">
              <w:rPr>
                <w:noProof/>
                <w:webHidden/>
              </w:rPr>
              <w:fldChar w:fldCharType="separate"/>
            </w:r>
            <w:r w:rsidR="00C11502">
              <w:rPr>
                <w:noProof/>
                <w:webHidden/>
              </w:rPr>
              <w:t>41</w:t>
            </w:r>
            <w:r w:rsidR="00AE2D13">
              <w:rPr>
                <w:noProof/>
                <w:webHidden/>
              </w:rPr>
              <w:fldChar w:fldCharType="end"/>
            </w:r>
          </w:hyperlink>
        </w:p>
        <w:p w14:paraId="290EF64F" w14:textId="58A00B94" w:rsidR="003934C8" w:rsidRPr="00536D50" w:rsidRDefault="009C1E42" w:rsidP="009C1E42">
          <w:pPr>
            <w:pStyle w:val="BodyText-Numbered"/>
            <w:rPr>
              <w:color w:val="0082AB"/>
              <w:spacing w:val="20"/>
              <w:w w:val="90"/>
              <w:sz w:val="44"/>
              <w:lang w:val="en-NZ"/>
            </w:rPr>
          </w:pPr>
          <w:r>
            <w:fldChar w:fldCharType="end"/>
          </w:r>
        </w:p>
      </w:sdtContent>
    </w:sdt>
    <w:bookmarkStart w:id="7" w:name="_Toc187824782" w:displacedByCustomXml="prev"/>
    <w:bookmarkStart w:id="8" w:name="_Toc193366254" w:displacedByCustomXml="prev"/>
    <w:bookmarkStart w:id="9" w:name="_Toc193892125" w:displacedByCustomXml="prev"/>
    <w:bookmarkStart w:id="10" w:name="_Toc193892766" w:displacedByCustomXml="prev"/>
    <w:p w14:paraId="47B97598" w14:textId="77777777" w:rsidR="009C1E42" w:rsidRDefault="009C1E42">
      <w:pPr>
        <w:spacing w:after="0" w:line="240" w:lineRule="auto"/>
        <w:rPr>
          <w:b/>
          <w:color w:val="5B9BD5" w:themeColor="accent1"/>
          <w:spacing w:val="20"/>
          <w:w w:val="90"/>
          <w:sz w:val="44"/>
          <w:szCs w:val="44"/>
        </w:rPr>
      </w:pPr>
      <w:bookmarkStart w:id="11" w:name="_Toc193892871"/>
      <w:bookmarkStart w:id="12" w:name="_Toc193892969"/>
      <w:r>
        <w:rPr>
          <w:color w:val="5B9BD5" w:themeColor="accent1"/>
        </w:rPr>
        <w:br w:type="page"/>
      </w:r>
    </w:p>
    <w:p w14:paraId="2E88B4AB" w14:textId="61869AF0" w:rsidR="00EF50FD" w:rsidRPr="00B61094" w:rsidRDefault="000F6451" w:rsidP="006C05B1">
      <w:pPr>
        <w:pStyle w:val="Heading1"/>
        <w:rPr>
          <w:color w:val="5B9BD5" w:themeColor="accent1"/>
        </w:rPr>
      </w:pPr>
      <w:r w:rsidRPr="00B61094">
        <w:rPr>
          <w:color w:val="5B9BD5" w:themeColor="accent1"/>
        </w:rPr>
        <w:lastRenderedPageBreak/>
        <w:t>Supplementary Analysis Report</w:t>
      </w:r>
      <w:r w:rsidR="00EF50FD" w:rsidRPr="00B61094">
        <w:rPr>
          <w:color w:val="5B9BD5" w:themeColor="accent1"/>
        </w:rPr>
        <w:t xml:space="preserve">: </w:t>
      </w:r>
      <w:r w:rsidR="001D2250" w:rsidRPr="00B61094">
        <w:rPr>
          <w:color w:val="5B9BD5" w:themeColor="accent1"/>
        </w:rPr>
        <w:t xml:space="preserve">Budget 2024 Cost-Savings Initiative: </w:t>
      </w:r>
      <w:bookmarkStart w:id="13" w:name="_Hlk187415909"/>
      <w:r w:rsidR="0071068B">
        <w:rPr>
          <w:color w:val="5B9BD5" w:themeColor="accent1"/>
        </w:rPr>
        <w:t xml:space="preserve">Including boarders' </w:t>
      </w:r>
      <w:r w:rsidR="001D2250" w:rsidRPr="00B61094">
        <w:rPr>
          <w:color w:val="5B9BD5" w:themeColor="accent1"/>
        </w:rPr>
        <w:t xml:space="preserve">contributions </w:t>
      </w:r>
      <w:bookmarkEnd w:id="11"/>
      <w:bookmarkEnd w:id="12"/>
      <w:bookmarkEnd w:id="13"/>
      <w:bookmarkEnd w:id="10"/>
      <w:bookmarkEnd w:id="9"/>
      <w:bookmarkEnd w:id="8"/>
      <w:bookmarkEnd w:id="7"/>
      <w:r w:rsidR="0071068B">
        <w:rPr>
          <w:color w:val="5B9BD5" w:themeColor="accent1"/>
        </w:rPr>
        <w:t>in the calculation of housing subsidies</w:t>
      </w:r>
    </w:p>
    <w:p w14:paraId="3BD94C32" w14:textId="2F835BE6" w:rsidR="0062657E" w:rsidRPr="00A864A5" w:rsidRDefault="0017116F" w:rsidP="00F42BE1">
      <w:pPr>
        <w:pStyle w:val="Heading2"/>
        <w:rPr>
          <w:lang w:val="en-NZ"/>
        </w:rPr>
      </w:pPr>
      <w:bookmarkStart w:id="14" w:name="_Toc196390893"/>
      <w:r w:rsidRPr="00A864A5">
        <w:rPr>
          <w:lang w:val="en-NZ"/>
        </w:rPr>
        <w:t>Covershee</w:t>
      </w:r>
      <w:r w:rsidR="00EF50FD" w:rsidRPr="00A864A5">
        <w:rPr>
          <w:lang w:val="en-NZ"/>
        </w:rPr>
        <w:t>t</w:t>
      </w:r>
      <w:bookmarkEnd w:id="14"/>
    </w:p>
    <w:p w14:paraId="6DD276F7" w14:textId="7DC5C400" w:rsidR="0062657E" w:rsidRPr="00A864A5" w:rsidRDefault="0062657E" w:rsidP="006C05B1">
      <w:pPr>
        <w:pStyle w:val="spacer"/>
        <w:rPr>
          <w:lang w:val="en-NZ"/>
        </w:rPr>
      </w:pPr>
    </w:p>
    <w:tbl>
      <w:tblPr>
        <w:tblW w:w="5000" w:type="pct"/>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600" w:firstRow="0" w:lastRow="0" w:firstColumn="0" w:lastColumn="0" w:noHBand="1" w:noVBand="1"/>
      </w:tblPr>
      <w:tblGrid>
        <w:gridCol w:w="2406"/>
        <w:gridCol w:w="6654"/>
      </w:tblGrid>
      <w:tr w:rsidR="00A27270" w:rsidRPr="00A864A5" w14:paraId="24CAC5A8" w14:textId="77777777" w:rsidTr="6C91EDF9">
        <w:tc>
          <w:tcPr>
            <w:tcW w:w="5000" w:type="pct"/>
            <w:gridSpan w:val="2"/>
            <w:tcBorders>
              <w:bottom w:val="single" w:sz="4" w:space="0" w:color="DDDDDD"/>
            </w:tcBorders>
            <w:shd w:val="clear" w:color="auto" w:fill="99CDDD"/>
            <w:hideMark/>
          </w:tcPr>
          <w:p w14:paraId="3273EFFF" w14:textId="48C848C9" w:rsidR="001F29E6" w:rsidRPr="003934C8" w:rsidRDefault="001F29E6" w:rsidP="006C05B1">
            <w:pPr>
              <w:pStyle w:val="BodyText-Numbered"/>
              <w:keepNext w:val="0"/>
              <w:rPr>
                <w:b/>
                <w:bCs/>
                <w:sz w:val="24"/>
                <w:szCs w:val="22"/>
                <w:lang w:val="en-NZ"/>
              </w:rPr>
            </w:pPr>
            <w:bookmarkStart w:id="15" w:name="_Hlk47357107"/>
            <w:r w:rsidRPr="003934C8">
              <w:rPr>
                <w:b/>
                <w:bCs/>
                <w:sz w:val="24"/>
                <w:szCs w:val="22"/>
                <w:lang w:val="en-NZ"/>
              </w:rPr>
              <w:t>Purpose</w:t>
            </w:r>
            <w:r w:rsidR="002C0E77" w:rsidRPr="003934C8">
              <w:rPr>
                <w:b/>
                <w:bCs/>
                <w:sz w:val="24"/>
                <w:szCs w:val="22"/>
                <w:lang w:val="en-NZ"/>
              </w:rPr>
              <w:t xml:space="preserve"> of Document</w:t>
            </w:r>
          </w:p>
        </w:tc>
      </w:tr>
      <w:tr w:rsidR="006C2B8D" w:rsidRPr="00A864A5" w14:paraId="24C44C49" w14:textId="77777777" w:rsidTr="6C91EDF9">
        <w:trPr>
          <w:trHeight w:val="414"/>
        </w:trPr>
        <w:tc>
          <w:tcPr>
            <w:tcW w:w="1328" w:type="pct"/>
            <w:tcBorders>
              <w:top w:val="nil"/>
            </w:tcBorders>
            <w:shd w:val="clear" w:color="auto" w:fill="EBF5F8"/>
          </w:tcPr>
          <w:p w14:paraId="120D8478" w14:textId="6F02F982" w:rsidR="001F29E6" w:rsidRPr="00A864A5" w:rsidRDefault="001F29E6" w:rsidP="006C05B1">
            <w:pPr>
              <w:pStyle w:val="BodyText-Numbered"/>
              <w:keepNext w:val="0"/>
              <w:rPr>
                <w:color w:val="000000"/>
                <w:lang w:val="en-NZ"/>
              </w:rPr>
            </w:pPr>
            <w:r w:rsidRPr="445BF07F">
              <w:rPr>
                <w:lang w:val="en-NZ"/>
              </w:rPr>
              <w:t xml:space="preserve">Decision </w:t>
            </w:r>
            <w:r w:rsidR="002C0E77" w:rsidRPr="445BF07F">
              <w:rPr>
                <w:lang w:val="en-NZ"/>
              </w:rPr>
              <w:t>s</w:t>
            </w:r>
            <w:r w:rsidRPr="445BF07F">
              <w:rPr>
                <w:lang w:val="en-NZ"/>
              </w:rPr>
              <w:t>ought</w:t>
            </w:r>
            <w:r w:rsidR="009E27A7" w:rsidRPr="445BF07F">
              <w:rPr>
                <w:lang w:val="en-NZ"/>
              </w:rPr>
              <w:t>/taken</w:t>
            </w:r>
            <w:r w:rsidRPr="445BF07F">
              <w:rPr>
                <w:lang w:val="en-NZ"/>
              </w:rPr>
              <w:t>:</w:t>
            </w:r>
          </w:p>
        </w:tc>
        <w:tc>
          <w:tcPr>
            <w:tcW w:w="3672" w:type="pct"/>
            <w:tcBorders>
              <w:top w:val="nil"/>
            </w:tcBorders>
            <w:shd w:val="clear" w:color="auto" w:fill="auto"/>
          </w:tcPr>
          <w:p w14:paraId="2B9F992E" w14:textId="609A5845" w:rsidR="001F29E6" w:rsidRPr="003D09E9" w:rsidRDefault="003D09E9" w:rsidP="006C05B1">
            <w:pPr>
              <w:pStyle w:val="BodyText-Numbered"/>
              <w:keepNext w:val="0"/>
              <w:rPr>
                <w:iCs/>
                <w:color w:val="000000"/>
                <w:szCs w:val="22"/>
                <w:lang w:val="en-NZ"/>
              </w:rPr>
            </w:pPr>
            <w:r w:rsidRPr="003D09E9">
              <w:rPr>
                <w:iCs/>
                <w:color w:val="000000"/>
                <w:szCs w:val="22"/>
                <w:lang w:val="en-NZ"/>
              </w:rPr>
              <w:t>This analysis has been developed in response to the Government’s agreement that the housing contributions from all boarders will be counted in the assessment of housing subsidies.</w:t>
            </w:r>
            <w:r w:rsidR="00A37542">
              <w:rPr>
                <w:rStyle w:val="FootnoteReference"/>
                <w:iCs/>
                <w:szCs w:val="22"/>
                <w:lang w:val="en-NZ"/>
              </w:rPr>
              <w:footnoteReference w:id="2"/>
            </w:r>
            <w:r w:rsidRPr="003D09E9">
              <w:rPr>
                <w:iCs/>
                <w:color w:val="000000"/>
                <w:szCs w:val="22"/>
                <w:lang w:val="en-NZ"/>
              </w:rPr>
              <w:t xml:space="preserve"> This will require </w:t>
            </w:r>
            <w:r w:rsidR="00F5609F">
              <w:rPr>
                <w:iCs/>
                <w:color w:val="000000"/>
                <w:szCs w:val="22"/>
                <w:lang w:val="en-NZ"/>
              </w:rPr>
              <w:t>a</w:t>
            </w:r>
            <w:r w:rsidR="00F5609F" w:rsidRPr="00F5609F">
              <w:rPr>
                <w:iCs/>
                <w:color w:val="000000"/>
                <w:szCs w:val="22"/>
                <w:lang w:val="en-NZ"/>
              </w:rPr>
              <w:t>mendments to primary and secondary legislation</w:t>
            </w:r>
            <w:r w:rsidRPr="003D09E9">
              <w:rPr>
                <w:iCs/>
                <w:color w:val="000000"/>
                <w:szCs w:val="22"/>
                <w:lang w:val="en-NZ"/>
              </w:rPr>
              <w:t>.</w:t>
            </w:r>
            <w:r w:rsidR="00E22227">
              <w:rPr>
                <w:iCs/>
                <w:color w:val="000000"/>
                <w:szCs w:val="22"/>
                <w:lang w:val="en-NZ"/>
              </w:rPr>
              <w:t xml:space="preserve"> </w:t>
            </w:r>
            <w:r w:rsidRPr="003D09E9">
              <w:rPr>
                <w:iCs/>
                <w:color w:val="000000"/>
                <w:szCs w:val="22"/>
                <w:lang w:val="en-NZ"/>
              </w:rPr>
              <w:t xml:space="preserve">The analysis assesses the impacts of the Government’s </w:t>
            </w:r>
            <w:r w:rsidR="00EF37E6">
              <w:rPr>
                <w:iCs/>
                <w:color w:val="000000"/>
                <w:szCs w:val="22"/>
                <w:lang w:val="en-NZ"/>
              </w:rPr>
              <w:t>agreed</w:t>
            </w:r>
            <w:r w:rsidR="00EF37E6" w:rsidRPr="003D09E9">
              <w:rPr>
                <w:iCs/>
                <w:color w:val="000000"/>
                <w:szCs w:val="22"/>
                <w:lang w:val="en-NZ"/>
              </w:rPr>
              <w:t xml:space="preserve"> </w:t>
            </w:r>
            <w:r w:rsidRPr="003D09E9">
              <w:rPr>
                <w:iCs/>
                <w:color w:val="000000"/>
                <w:szCs w:val="22"/>
                <w:lang w:val="en-NZ"/>
              </w:rPr>
              <w:t>approach, including the savings and costs, benefits, trade-offs</w:t>
            </w:r>
            <w:r w:rsidR="006524C6">
              <w:rPr>
                <w:iCs/>
                <w:color w:val="000000"/>
                <w:szCs w:val="22"/>
                <w:lang w:val="en-NZ"/>
              </w:rPr>
              <w:t>,</w:t>
            </w:r>
            <w:r w:rsidRPr="003D09E9">
              <w:rPr>
                <w:iCs/>
                <w:color w:val="000000"/>
                <w:szCs w:val="22"/>
                <w:lang w:val="en-NZ"/>
              </w:rPr>
              <w:t xml:space="preserve"> and risks.</w:t>
            </w:r>
          </w:p>
        </w:tc>
      </w:tr>
      <w:tr w:rsidR="006C2B8D" w:rsidRPr="00A864A5" w14:paraId="2895A1B0" w14:textId="77777777" w:rsidTr="6C91EDF9">
        <w:trPr>
          <w:trHeight w:val="506"/>
        </w:trPr>
        <w:tc>
          <w:tcPr>
            <w:tcW w:w="1328" w:type="pct"/>
            <w:tcBorders>
              <w:top w:val="nil"/>
            </w:tcBorders>
            <w:shd w:val="clear" w:color="auto" w:fill="EBF5F8"/>
          </w:tcPr>
          <w:p w14:paraId="19AF4671" w14:textId="697D59E7" w:rsidR="001F29E6" w:rsidRPr="00A864A5" w:rsidRDefault="002C0E77" w:rsidP="006C05B1">
            <w:pPr>
              <w:pStyle w:val="BodyText-Numbered"/>
              <w:keepNext w:val="0"/>
              <w:rPr>
                <w:iCs/>
                <w:color w:val="000000"/>
                <w:szCs w:val="22"/>
                <w:lang w:val="en-NZ"/>
              </w:rPr>
            </w:pPr>
            <w:r>
              <w:rPr>
                <w:iCs/>
                <w:color w:val="000000"/>
                <w:szCs w:val="22"/>
                <w:lang w:val="en-NZ"/>
              </w:rPr>
              <w:t>Advising agencies</w:t>
            </w:r>
            <w:r w:rsidR="007F3B1C">
              <w:rPr>
                <w:iCs/>
                <w:color w:val="000000"/>
                <w:szCs w:val="22"/>
                <w:lang w:val="en-NZ"/>
              </w:rPr>
              <w:t>:</w:t>
            </w:r>
          </w:p>
        </w:tc>
        <w:tc>
          <w:tcPr>
            <w:tcW w:w="3672" w:type="pct"/>
            <w:tcBorders>
              <w:top w:val="nil"/>
            </w:tcBorders>
            <w:shd w:val="clear" w:color="auto" w:fill="auto"/>
          </w:tcPr>
          <w:p w14:paraId="742E202F" w14:textId="019F0E6D" w:rsidR="001F29E6" w:rsidRPr="00FD5E90" w:rsidRDefault="00FD5E90" w:rsidP="006C05B1">
            <w:pPr>
              <w:pStyle w:val="BodyText-Numbered"/>
              <w:keepNext w:val="0"/>
              <w:rPr>
                <w:iCs/>
                <w:color w:val="000000"/>
                <w:szCs w:val="22"/>
                <w:lang w:val="en-NZ"/>
              </w:rPr>
            </w:pPr>
            <w:r w:rsidRPr="00FD5E90">
              <w:rPr>
                <w:iCs/>
                <w:color w:val="000000"/>
                <w:szCs w:val="22"/>
                <w:lang w:val="en-NZ"/>
              </w:rPr>
              <w:t>Ministry of Social Developmen</w:t>
            </w:r>
            <w:r w:rsidR="00231351">
              <w:rPr>
                <w:iCs/>
                <w:color w:val="000000"/>
                <w:szCs w:val="22"/>
                <w:lang w:val="en-NZ"/>
              </w:rPr>
              <w:t>t</w:t>
            </w:r>
            <w:r w:rsidR="00B41EB9">
              <w:rPr>
                <w:iCs/>
                <w:color w:val="000000"/>
                <w:szCs w:val="22"/>
                <w:lang w:val="en-NZ"/>
              </w:rPr>
              <w:t xml:space="preserve"> </w:t>
            </w:r>
          </w:p>
        </w:tc>
      </w:tr>
      <w:tr w:rsidR="006C2B8D" w:rsidRPr="00A864A5" w14:paraId="568C5BEC" w14:textId="77777777" w:rsidTr="6C91EDF9">
        <w:trPr>
          <w:trHeight w:val="317"/>
        </w:trPr>
        <w:tc>
          <w:tcPr>
            <w:tcW w:w="1328" w:type="pct"/>
            <w:tcBorders>
              <w:top w:val="nil"/>
            </w:tcBorders>
            <w:shd w:val="clear" w:color="auto" w:fill="EBF5F8"/>
          </w:tcPr>
          <w:p w14:paraId="0F68A519" w14:textId="4F678206" w:rsidR="001F29E6" w:rsidRPr="00A864A5" w:rsidRDefault="001F29E6" w:rsidP="006C05B1">
            <w:pPr>
              <w:pStyle w:val="BodyText-Numbered"/>
              <w:keepNext w:val="0"/>
              <w:rPr>
                <w:iCs/>
                <w:color w:val="000000"/>
                <w:szCs w:val="22"/>
                <w:lang w:val="en-NZ"/>
              </w:rPr>
            </w:pPr>
            <w:r w:rsidRPr="00A864A5">
              <w:rPr>
                <w:iCs/>
                <w:color w:val="000000"/>
                <w:szCs w:val="22"/>
                <w:lang w:val="en-NZ"/>
              </w:rPr>
              <w:t>Proposing Minister</w:t>
            </w:r>
            <w:r w:rsidR="000C29FA">
              <w:rPr>
                <w:iCs/>
                <w:color w:val="000000"/>
                <w:szCs w:val="22"/>
                <w:lang w:val="en-NZ"/>
              </w:rPr>
              <w:t>s:</w:t>
            </w:r>
          </w:p>
        </w:tc>
        <w:tc>
          <w:tcPr>
            <w:tcW w:w="3672" w:type="pct"/>
            <w:tcBorders>
              <w:top w:val="nil"/>
            </w:tcBorders>
            <w:shd w:val="clear" w:color="auto" w:fill="auto"/>
          </w:tcPr>
          <w:p w14:paraId="3C92607C" w14:textId="231DF942" w:rsidR="001F29E6" w:rsidRPr="00FD5E90" w:rsidRDefault="00FD5E90" w:rsidP="006C05B1">
            <w:pPr>
              <w:pStyle w:val="BodyText-Numbered"/>
              <w:keepNext w:val="0"/>
              <w:rPr>
                <w:iCs/>
                <w:color w:val="000000"/>
                <w:szCs w:val="22"/>
                <w:lang w:val="en-NZ"/>
              </w:rPr>
            </w:pPr>
            <w:r w:rsidRPr="00FD5E90">
              <w:rPr>
                <w:iCs/>
                <w:color w:val="000000"/>
                <w:szCs w:val="22"/>
                <w:lang w:val="en-NZ"/>
              </w:rPr>
              <w:t>Minister for Social Developmen</w:t>
            </w:r>
            <w:r w:rsidR="00F74FD0">
              <w:rPr>
                <w:iCs/>
                <w:color w:val="000000"/>
                <w:szCs w:val="22"/>
                <w:lang w:val="en-NZ"/>
              </w:rPr>
              <w:t>t</w:t>
            </w:r>
            <w:r w:rsidR="006B1BC6">
              <w:rPr>
                <w:iCs/>
                <w:color w:val="000000"/>
                <w:szCs w:val="22"/>
                <w:lang w:val="en-NZ"/>
              </w:rPr>
              <w:t xml:space="preserve"> and Employment</w:t>
            </w:r>
          </w:p>
        </w:tc>
      </w:tr>
      <w:tr w:rsidR="006C2B8D" w:rsidRPr="00A864A5" w14:paraId="73C7C7FD" w14:textId="77777777" w:rsidTr="6C91EDF9">
        <w:trPr>
          <w:trHeight w:val="202"/>
        </w:trPr>
        <w:tc>
          <w:tcPr>
            <w:tcW w:w="1328" w:type="pct"/>
            <w:tcBorders>
              <w:top w:val="nil"/>
            </w:tcBorders>
            <w:shd w:val="clear" w:color="auto" w:fill="EBF5F8"/>
          </w:tcPr>
          <w:p w14:paraId="5B57759D" w14:textId="6F936C83" w:rsidR="00C11B3B" w:rsidRPr="00A864A5" w:rsidRDefault="00C11B3B" w:rsidP="006C05B1">
            <w:pPr>
              <w:pStyle w:val="BodyText-Numbered"/>
              <w:keepNext w:val="0"/>
              <w:rPr>
                <w:iCs/>
                <w:color w:val="000000"/>
                <w:szCs w:val="22"/>
                <w:lang w:val="en-NZ"/>
              </w:rPr>
            </w:pPr>
            <w:r w:rsidRPr="00A864A5">
              <w:rPr>
                <w:iCs/>
                <w:color w:val="000000"/>
                <w:szCs w:val="22"/>
                <w:lang w:val="en-NZ"/>
              </w:rPr>
              <w:t>Date</w:t>
            </w:r>
            <w:r w:rsidR="002C0E77">
              <w:rPr>
                <w:iCs/>
                <w:color w:val="000000"/>
                <w:szCs w:val="22"/>
                <w:lang w:val="en-NZ"/>
              </w:rPr>
              <w:t xml:space="preserve"> finalised</w:t>
            </w:r>
            <w:r w:rsidRPr="00A864A5">
              <w:rPr>
                <w:iCs/>
                <w:color w:val="000000"/>
                <w:szCs w:val="22"/>
                <w:lang w:val="en-NZ"/>
              </w:rPr>
              <w:t>:</w:t>
            </w:r>
          </w:p>
        </w:tc>
        <w:tc>
          <w:tcPr>
            <w:tcW w:w="3672" w:type="pct"/>
            <w:tcBorders>
              <w:top w:val="nil"/>
            </w:tcBorders>
            <w:shd w:val="clear" w:color="auto" w:fill="auto"/>
          </w:tcPr>
          <w:p w14:paraId="4547EFD0" w14:textId="03F2DC6E" w:rsidR="00C11B3B" w:rsidRPr="00FD5E90" w:rsidRDefault="000B3DCE" w:rsidP="006C05B1">
            <w:pPr>
              <w:pStyle w:val="BodyText-Numbered"/>
              <w:keepNext w:val="0"/>
              <w:rPr>
                <w:iCs/>
                <w:color w:val="000000"/>
                <w:szCs w:val="22"/>
                <w:lang w:val="en-NZ"/>
              </w:rPr>
            </w:pPr>
            <w:r>
              <w:rPr>
                <w:iCs/>
                <w:color w:val="000000"/>
                <w:szCs w:val="22"/>
                <w:lang w:val="en-NZ"/>
              </w:rPr>
              <w:t>30 April 2025</w:t>
            </w:r>
          </w:p>
        </w:tc>
      </w:tr>
      <w:tr w:rsidR="00A27270" w:rsidRPr="00A864A5" w14:paraId="7F643A0E" w14:textId="77777777" w:rsidTr="6C91EDF9">
        <w:tc>
          <w:tcPr>
            <w:tcW w:w="5000" w:type="pct"/>
            <w:gridSpan w:val="2"/>
            <w:tcBorders>
              <w:bottom w:val="single" w:sz="4" w:space="0" w:color="DDDDDD"/>
            </w:tcBorders>
            <w:shd w:val="clear" w:color="auto" w:fill="99CDDD"/>
            <w:hideMark/>
          </w:tcPr>
          <w:p w14:paraId="7F446F06" w14:textId="570ED786" w:rsidR="0079435C" w:rsidRPr="003934C8" w:rsidRDefault="0079435C" w:rsidP="006C05B1">
            <w:pPr>
              <w:pStyle w:val="BodyText-Numbered"/>
              <w:keepNext w:val="0"/>
              <w:rPr>
                <w:b/>
                <w:bCs/>
                <w:sz w:val="24"/>
                <w:szCs w:val="22"/>
                <w:lang w:val="en-NZ"/>
              </w:rPr>
            </w:pPr>
            <w:r w:rsidRPr="003934C8">
              <w:rPr>
                <w:b/>
                <w:bCs/>
                <w:sz w:val="24"/>
                <w:szCs w:val="22"/>
                <w:lang w:val="en-NZ"/>
              </w:rPr>
              <w:t>Problem Definition</w:t>
            </w:r>
          </w:p>
        </w:tc>
      </w:tr>
      <w:tr w:rsidR="0079435C" w:rsidRPr="00A864A5" w14:paraId="058C86B2" w14:textId="77777777" w:rsidTr="6C91EDF9">
        <w:trPr>
          <w:trHeight w:val="824"/>
        </w:trPr>
        <w:tc>
          <w:tcPr>
            <w:tcW w:w="5000" w:type="pct"/>
            <w:gridSpan w:val="2"/>
            <w:tcBorders>
              <w:top w:val="nil"/>
            </w:tcBorders>
            <w:shd w:val="clear" w:color="auto" w:fill="auto"/>
          </w:tcPr>
          <w:p w14:paraId="4EBB6131" w14:textId="4B229F88" w:rsidR="0079435C" w:rsidRPr="00A864A5" w:rsidRDefault="00BF089C" w:rsidP="006C05B1">
            <w:pPr>
              <w:pStyle w:val="BodyText-Numbered"/>
              <w:keepNext w:val="0"/>
              <w:rPr>
                <w:lang w:val="en-NZ"/>
              </w:rPr>
            </w:pPr>
            <w:r w:rsidRPr="009B52C8">
              <w:rPr>
                <w:lang w:val="en-NZ"/>
              </w:rPr>
              <w:t xml:space="preserve">Currently, </w:t>
            </w:r>
            <w:r w:rsidR="00A46863">
              <w:rPr>
                <w:lang w:val="en-NZ"/>
              </w:rPr>
              <w:t>housing contributions that</w:t>
            </w:r>
            <w:r w:rsidR="00A46863" w:rsidRPr="009B52C8">
              <w:rPr>
                <w:lang w:val="en-NZ"/>
              </w:rPr>
              <w:t xml:space="preserve"> </w:t>
            </w:r>
            <w:r w:rsidR="00E21F76">
              <w:rPr>
                <w:lang w:val="en-NZ"/>
              </w:rPr>
              <w:t xml:space="preserve">a person </w:t>
            </w:r>
            <w:r w:rsidRPr="009B52C8">
              <w:rPr>
                <w:lang w:val="en-NZ"/>
              </w:rPr>
              <w:t>receive</w:t>
            </w:r>
            <w:r w:rsidR="00E21F76">
              <w:rPr>
                <w:lang w:val="en-NZ"/>
              </w:rPr>
              <w:t>s</w:t>
            </w:r>
            <w:r w:rsidRPr="009B52C8">
              <w:rPr>
                <w:lang w:val="en-NZ"/>
              </w:rPr>
              <w:t xml:space="preserve"> from </w:t>
            </w:r>
            <w:r w:rsidR="00E21F76">
              <w:rPr>
                <w:lang w:val="en-NZ"/>
              </w:rPr>
              <w:t>a</w:t>
            </w:r>
            <w:r w:rsidR="007D3E8E">
              <w:rPr>
                <w:lang w:val="en-NZ"/>
              </w:rPr>
              <w:t xml:space="preserve"> first </w:t>
            </w:r>
            <w:r w:rsidR="00E21F76">
              <w:rPr>
                <w:lang w:val="en-NZ"/>
              </w:rPr>
              <w:t xml:space="preserve">or </w:t>
            </w:r>
            <w:r w:rsidR="007D3E8E">
              <w:rPr>
                <w:lang w:val="en-NZ"/>
              </w:rPr>
              <w:t>second</w:t>
            </w:r>
            <w:r w:rsidRPr="009B52C8">
              <w:rPr>
                <w:lang w:val="en-NZ"/>
              </w:rPr>
              <w:t xml:space="preserve"> boarder are not counted when assessing </w:t>
            </w:r>
            <w:r w:rsidR="00E21F76">
              <w:rPr>
                <w:lang w:val="en-NZ"/>
              </w:rPr>
              <w:t xml:space="preserve">that person’s entitlement to </w:t>
            </w:r>
            <w:r w:rsidR="00982E78">
              <w:rPr>
                <w:lang w:val="en-NZ"/>
              </w:rPr>
              <w:t>housing subsidies</w:t>
            </w:r>
            <w:r w:rsidRPr="009B52C8">
              <w:rPr>
                <w:lang w:val="en-NZ"/>
              </w:rPr>
              <w:t xml:space="preserve">. </w:t>
            </w:r>
            <w:r w:rsidR="00A46863">
              <w:rPr>
                <w:lang w:val="en-NZ"/>
              </w:rPr>
              <w:t xml:space="preserve">Housing contributions </w:t>
            </w:r>
            <w:r w:rsidRPr="009B52C8">
              <w:rPr>
                <w:lang w:val="en-NZ"/>
              </w:rPr>
              <w:t xml:space="preserve">from </w:t>
            </w:r>
            <w:r w:rsidR="00344355">
              <w:rPr>
                <w:lang w:val="en-NZ"/>
              </w:rPr>
              <w:t>the first and second boarder</w:t>
            </w:r>
            <w:r w:rsidRPr="009B52C8">
              <w:rPr>
                <w:lang w:val="en-NZ"/>
              </w:rPr>
              <w:t xml:space="preserve"> are also disregarded when assessing a person’s income </w:t>
            </w:r>
            <w:r w:rsidR="004A6AE6">
              <w:rPr>
                <w:lang w:val="en-NZ"/>
              </w:rPr>
              <w:t>for the purpose of</w:t>
            </w:r>
            <w:r w:rsidR="004A6AE6" w:rsidRPr="009B52C8">
              <w:rPr>
                <w:lang w:val="en-NZ"/>
              </w:rPr>
              <w:t xml:space="preserve"> </w:t>
            </w:r>
            <w:r w:rsidRPr="009B52C8">
              <w:rPr>
                <w:lang w:val="en-NZ"/>
              </w:rPr>
              <w:t xml:space="preserve">calculating entitlements to other assistance under the Social Security Act </w:t>
            </w:r>
            <w:r w:rsidR="007F73B3">
              <w:rPr>
                <w:lang w:val="en-NZ"/>
              </w:rPr>
              <w:t>2018</w:t>
            </w:r>
            <w:r w:rsidRPr="009B52C8">
              <w:rPr>
                <w:lang w:val="en-NZ"/>
              </w:rPr>
              <w:t>.</w:t>
            </w:r>
            <w:r>
              <w:rPr>
                <w:lang w:val="en-NZ"/>
              </w:rPr>
              <w:t xml:space="preserve"> As a</w:t>
            </w:r>
            <w:r w:rsidR="00526F04">
              <w:rPr>
                <w:lang w:val="en-NZ"/>
              </w:rPr>
              <w:t xml:space="preserve"> </w:t>
            </w:r>
            <w:r w:rsidR="003041FD">
              <w:rPr>
                <w:lang w:val="en-NZ"/>
              </w:rPr>
              <w:t>result</w:t>
            </w:r>
            <w:r w:rsidR="00925B7B">
              <w:rPr>
                <w:lang w:val="en-NZ"/>
              </w:rPr>
              <w:t xml:space="preserve">, </w:t>
            </w:r>
            <w:r w:rsidR="003041FD">
              <w:rPr>
                <w:lang w:val="en-NZ"/>
              </w:rPr>
              <w:t xml:space="preserve">the same accommodation costs </w:t>
            </w:r>
            <w:r w:rsidR="00185D74">
              <w:rPr>
                <w:lang w:val="en-NZ"/>
              </w:rPr>
              <w:t>can be</w:t>
            </w:r>
            <w:r w:rsidR="003041FD">
              <w:rPr>
                <w:lang w:val="en-NZ"/>
              </w:rPr>
              <w:t xml:space="preserve"> subsidised more than once</w:t>
            </w:r>
            <w:r>
              <w:rPr>
                <w:lang w:val="en-NZ"/>
              </w:rPr>
              <w:t xml:space="preserve"> by the </w:t>
            </w:r>
            <w:r w:rsidR="00CF05CE">
              <w:rPr>
                <w:lang w:val="en-NZ"/>
              </w:rPr>
              <w:t>G</w:t>
            </w:r>
            <w:r>
              <w:rPr>
                <w:lang w:val="en-NZ"/>
              </w:rPr>
              <w:t>overnment</w:t>
            </w:r>
            <w:r w:rsidR="003C60C4">
              <w:t xml:space="preserve"> </w:t>
            </w:r>
            <w:r w:rsidR="003C60C4" w:rsidRPr="003C60C4">
              <w:rPr>
                <w:lang w:val="en-NZ"/>
              </w:rPr>
              <w:t>and households with boarders are advantaged in the calculation of housing subsidies over households who do not have boarders</w:t>
            </w:r>
            <w:r>
              <w:rPr>
                <w:lang w:val="en-NZ"/>
              </w:rPr>
              <w:t>.</w:t>
            </w:r>
            <w:r w:rsidR="0079435C" w:rsidRPr="00A864A5">
              <w:rPr>
                <w:lang w:val="en-NZ"/>
              </w:rPr>
              <w:tab/>
            </w:r>
          </w:p>
        </w:tc>
      </w:tr>
      <w:tr w:rsidR="00A27270" w:rsidRPr="00A864A5" w14:paraId="7CED8916" w14:textId="77777777" w:rsidTr="6C91EDF9">
        <w:tc>
          <w:tcPr>
            <w:tcW w:w="5000" w:type="pct"/>
            <w:gridSpan w:val="2"/>
            <w:tcBorders>
              <w:bottom w:val="single" w:sz="4" w:space="0" w:color="DDDDDD"/>
            </w:tcBorders>
            <w:shd w:val="clear" w:color="auto" w:fill="99CDDD"/>
            <w:hideMark/>
          </w:tcPr>
          <w:p w14:paraId="163B530B" w14:textId="0ACEE607" w:rsidR="00C93549" w:rsidRPr="003934C8" w:rsidRDefault="00063943" w:rsidP="006C05B1">
            <w:pPr>
              <w:pStyle w:val="BodyText-Numbered"/>
              <w:keepNext w:val="0"/>
              <w:rPr>
                <w:b/>
                <w:bCs/>
                <w:sz w:val="24"/>
                <w:szCs w:val="22"/>
                <w:lang w:val="en-NZ"/>
              </w:rPr>
            </w:pPr>
            <w:bookmarkStart w:id="16" w:name="_Hlk57202117"/>
            <w:r w:rsidRPr="003934C8">
              <w:rPr>
                <w:b/>
                <w:bCs/>
                <w:sz w:val="24"/>
                <w:szCs w:val="22"/>
                <w:lang w:val="en-NZ"/>
              </w:rPr>
              <w:t>Exe</w:t>
            </w:r>
            <w:r w:rsidR="0079435C" w:rsidRPr="003934C8">
              <w:rPr>
                <w:b/>
                <w:bCs/>
                <w:sz w:val="24"/>
                <w:szCs w:val="22"/>
                <w:lang w:val="en-NZ"/>
              </w:rPr>
              <w:t>cutive Summary</w:t>
            </w:r>
          </w:p>
        </w:tc>
      </w:tr>
      <w:tr w:rsidR="00FE3199" w:rsidRPr="00A864A5" w14:paraId="6B25993E" w14:textId="77777777" w:rsidTr="6C91EDF9">
        <w:trPr>
          <w:trHeight w:val="944"/>
        </w:trPr>
        <w:tc>
          <w:tcPr>
            <w:tcW w:w="5000" w:type="pct"/>
            <w:gridSpan w:val="2"/>
            <w:tcBorders>
              <w:top w:val="nil"/>
            </w:tcBorders>
            <w:shd w:val="clear" w:color="auto" w:fill="auto"/>
          </w:tcPr>
          <w:p w14:paraId="698C7533" w14:textId="0DF70521" w:rsidR="00561153" w:rsidRPr="00453DC9" w:rsidRDefault="00561153" w:rsidP="006C05B1">
            <w:pPr>
              <w:pStyle w:val="BodyText-Numbered"/>
              <w:keepNext w:val="0"/>
              <w:rPr>
                <w:b/>
                <w:bCs/>
              </w:rPr>
            </w:pPr>
            <w:r w:rsidRPr="00453DC9">
              <w:rPr>
                <w:b/>
                <w:bCs/>
                <w:lang w:val="en-NZ"/>
              </w:rPr>
              <w:t>Ministers have agreed to count the housing contributions from all boarders in the assessment of housing subsidies</w:t>
            </w:r>
          </w:p>
          <w:p w14:paraId="4C79123F" w14:textId="16FF2960" w:rsidR="00561153" w:rsidRPr="00561153" w:rsidRDefault="00561153" w:rsidP="006C05B1">
            <w:pPr>
              <w:pStyle w:val="BodyText-Numbered"/>
              <w:keepNext w:val="0"/>
              <w:rPr>
                <w:lang w:val="en-NZ"/>
              </w:rPr>
            </w:pPr>
            <w:r w:rsidRPr="00561153">
              <w:rPr>
                <w:lang w:val="en-NZ"/>
              </w:rPr>
              <w:t xml:space="preserve">As part of </w:t>
            </w:r>
            <w:r w:rsidR="003A3CDB">
              <w:rPr>
                <w:lang w:val="en-NZ"/>
              </w:rPr>
              <w:t xml:space="preserve">the 2024 </w:t>
            </w:r>
            <w:r w:rsidRPr="00561153">
              <w:rPr>
                <w:lang w:val="en-NZ"/>
              </w:rPr>
              <w:t xml:space="preserve">Budget, </w:t>
            </w:r>
            <w:r w:rsidR="005E2EDA">
              <w:rPr>
                <w:lang w:val="en-NZ"/>
              </w:rPr>
              <w:t>in</w:t>
            </w:r>
            <w:r w:rsidRPr="00561153">
              <w:rPr>
                <w:lang w:val="en-NZ"/>
              </w:rPr>
              <w:t xml:space="preserve"> seeking more effective and sustainable public services, Cabinet agreed to progress an initiative that reduces expenditure on housing subsidies by changing the way accommodation costs are calculated when a person receives board payments [CAB-24-MIN-0148.74 refers]. </w:t>
            </w:r>
            <w:r w:rsidR="00577746">
              <w:rPr>
                <w:lang w:val="en-NZ"/>
              </w:rPr>
              <w:t xml:space="preserve">In situations where there are two or more boarders, </w:t>
            </w:r>
            <w:r w:rsidRPr="00561153">
              <w:rPr>
                <w:lang w:val="en-NZ"/>
              </w:rPr>
              <w:t xml:space="preserve">MSD currently disregards the </w:t>
            </w:r>
            <w:r w:rsidR="00577746">
              <w:rPr>
                <w:lang w:val="en-NZ"/>
              </w:rPr>
              <w:t xml:space="preserve">board </w:t>
            </w:r>
            <w:r w:rsidRPr="00561153">
              <w:rPr>
                <w:lang w:val="en-NZ"/>
              </w:rPr>
              <w:t xml:space="preserve">contributions of the first two boarders. This </w:t>
            </w:r>
            <w:r w:rsidR="0076611F">
              <w:rPr>
                <w:lang w:val="en-NZ"/>
              </w:rPr>
              <w:t>initiative</w:t>
            </w:r>
            <w:r w:rsidRPr="00561153">
              <w:rPr>
                <w:lang w:val="en-NZ"/>
              </w:rPr>
              <w:t xml:space="preserve"> will align the treatment of boarder contributions with rent contributions and address a current issue where accommodation costs can be counted more than once in the calculation of subsidies for </w:t>
            </w:r>
            <w:r w:rsidR="00C8405E">
              <w:rPr>
                <w:lang w:val="en-NZ"/>
              </w:rPr>
              <w:t>the person receiving the board payments</w:t>
            </w:r>
            <w:r w:rsidRPr="00561153">
              <w:rPr>
                <w:lang w:val="en-NZ"/>
              </w:rPr>
              <w:t xml:space="preserve"> and their boarder</w:t>
            </w:r>
            <w:r w:rsidR="00131217">
              <w:rPr>
                <w:lang w:val="en-NZ"/>
              </w:rPr>
              <w:t>(s)</w:t>
            </w:r>
            <w:r w:rsidRPr="00561153">
              <w:rPr>
                <w:lang w:val="en-NZ"/>
              </w:rPr>
              <w:t xml:space="preserve">. </w:t>
            </w:r>
          </w:p>
          <w:p w14:paraId="5BBDEA3B" w14:textId="674DE6A7" w:rsidR="00561153" w:rsidRPr="00804BD8" w:rsidRDefault="00561153" w:rsidP="006C05B1">
            <w:pPr>
              <w:pStyle w:val="BodyText-Numbered"/>
              <w:keepNext w:val="0"/>
              <w:rPr>
                <w:lang w:val="en-NZ"/>
              </w:rPr>
            </w:pPr>
            <w:r w:rsidRPr="00561153">
              <w:rPr>
                <w:lang w:val="en-NZ"/>
              </w:rPr>
              <w:t xml:space="preserve">This initiative will change the way </w:t>
            </w:r>
            <w:r w:rsidR="00D93DAA">
              <w:rPr>
                <w:lang w:val="en-NZ"/>
              </w:rPr>
              <w:t>the Ministry of Social Development (</w:t>
            </w:r>
            <w:r w:rsidRPr="00561153">
              <w:rPr>
                <w:lang w:val="en-NZ"/>
              </w:rPr>
              <w:t>MSD</w:t>
            </w:r>
            <w:r w:rsidR="00D93DAA">
              <w:rPr>
                <w:lang w:val="en-NZ"/>
              </w:rPr>
              <w:t>)</w:t>
            </w:r>
            <w:r w:rsidRPr="00561153">
              <w:rPr>
                <w:lang w:val="en-NZ"/>
              </w:rPr>
              <w:t xml:space="preserve"> calculates the accommodation costs </w:t>
            </w:r>
            <w:r w:rsidR="00B2746C">
              <w:rPr>
                <w:lang w:val="en-NZ"/>
              </w:rPr>
              <w:t>for</w:t>
            </w:r>
            <w:r w:rsidRPr="00561153">
              <w:rPr>
                <w:lang w:val="en-NZ"/>
              </w:rPr>
              <w:t xml:space="preserve"> people receiving payments from </w:t>
            </w:r>
            <w:r w:rsidR="008B779D">
              <w:rPr>
                <w:lang w:val="en-NZ"/>
              </w:rPr>
              <w:t>a</w:t>
            </w:r>
            <w:r w:rsidR="003C2932">
              <w:rPr>
                <w:lang w:val="en-NZ"/>
              </w:rPr>
              <w:t xml:space="preserve"> </w:t>
            </w:r>
            <w:r w:rsidRPr="00561153">
              <w:rPr>
                <w:lang w:val="en-NZ"/>
              </w:rPr>
              <w:t>boarder</w:t>
            </w:r>
            <w:r w:rsidR="003C2932">
              <w:rPr>
                <w:lang w:val="en-NZ"/>
              </w:rPr>
              <w:t>(</w:t>
            </w:r>
            <w:r w:rsidRPr="00561153">
              <w:rPr>
                <w:lang w:val="en-NZ"/>
              </w:rPr>
              <w:t>s</w:t>
            </w:r>
            <w:r w:rsidR="003C2932">
              <w:rPr>
                <w:lang w:val="en-NZ"/>
              </w:rPr>
              <w:t>)</w:t>
            </w:r>
            <w:r w:rsidRPr="00561153">
              <w:rPr>
                <w:lang w:val="en-NZ"/>
              </w:rPr>
              <w:t xml:space="preserve"> and receiving housing subsidies, </w:t>
            </w:r>
            <w:r w:rsidR="00336638">
              <w:rPr>
                <w:lang w:val="en-NZ"/>
              </w:rPr>
              <w:t>including</w:t>
            </w:r>
            <w:r w:rsidRPr="00561153">
              <w:rPr>
                <w:lang w:val="en-NZ"/>
              </w:rPr>
              <w:t xml:space="preserve"> the Accommodation Supplement (AS)</w:t>
            </w:r>
            <w:r w:rsidR="00336638">
              <w:rPr>
                <w:lang w:val="en-NZ"/>
              </w:rPr>
              <w:t xml:space="preserve"> and</w:t>
            </w:r>
            <w:r w:rsidRPr="00561153">
              <w:rPr>
                <w:lang w:val="en-NZ"/>
              </w:rPr>
              <w:t xml:space="preserve"> Temporary </w:t>
            </w:r>
            <w:r w:rsidRPr="00561153">
              <w:rPr>
                <w:lang w:val="en-NZ"/>
              </w:rPr>
              <w:lastRenderedPageBreak/>
              <w:t xml:space="preserve">Additional Support and Special Benefit. It will also change how MSD calculates the </w:t>
            </w:r>
            <w:r w:rsidR="00804BD8" w:rsidRPr="00836976">
              <w:t>Income Related Rent (IRR) for social housing tenants who receive payments from a boarder(s)</w:t>
            </w:r>
            <w:r w:rsidR="00804BD8">
              <w:t>.</w:t>
            </w:r>
          </w:p>
          <w:p w14:paraId="1FCFB021" w14:textId="646BD8C8" w:rsidR="00561153" w:rsidRPr="00561153" w:rsidRDefault="00561153" w:rsidP="006C05B1">
            <w:pPr>
              <w:pStyle w:val="BodyText-Numbered"/>
              <w:keepNext w:val="0"/>
              <w:rPr>
                <w:lang w:val="en-NZ"/>
              </w:rPr>
            </w:pPr>
            <w:r w:rsidRPr="00561153">
              <w:rPr>
                <w:lang w:val="en-NZ"/>
              </w:rPr>
              <w:t xml:space="preserve">This cost saving initiative is expected to return $150.96 million in </w:t>
            </w:r>
            <w:r w:rsidR="338E2E8A" w:rsidRPr="488EDA6E">
              <w:rPr>
                <w:lang w:val="en-NZ"/>
              </w:rPr>
              <w:t xml:space="preserve">net </w:t>
            </w:r>
            <w:r w:rsidRPr="00561153">
              <w:rPr>
                <w:lang w:val="en-NZ"/>
              </w:rPr>
              <w:t>operating funding over four years. This includes a reduction of $76.</w:t>
            </w:r>
            <w:r w:rsidR="00EC514B" w:rsidRPr="00561153">
              <w:rPr>
                <w:lang w:val="en-NZ"/>
              </w:rPr>
              <w:t>85</w:t>
            </w:r>
            <w:r w:rsidR="00EC514B">
              <w:rPr>
                <w:lang w:val="en-NZ"/>
              </w:rPr>
              <w:t>4</w:t>
            </w:r>
            <w:r w:rsidR="00EC514B" w:rsidRPr="00561153">
              <w:rPr>
                <w:lang w:val="en-NZ"/>
              </w:rPr>
              <w:t xml:space="preserve"> </w:t>
            </w:r>
            <w:r w:rsidRPr="00561153">
              <w:rPr>
                <w:lang w:val="en-NZ"/>
              </w:rPr>
              <w:t xml:space="preserve">million in expenditure on the AS, $21.416 million on the </w:t>
            </w:r>
            <w:r w:rsidR="007E6DB1">
              <w:rPr>
                <w:lang w:val="en-NZ"/>
              </w:rPr>
              <w:t xml:space="preserve">Income-Related Rent </w:t>
            </w:r>
            <w:r w:rsidR="0038091D">
              <w:rPr>
                <w:lang w:val="en-NZ"/>
              </w:rPr>
              <w:t>Subsidy (</w:t>
            </w:r>
            <w:r w:rsidRPr="00561153">
              <w:rPr>
                <w:lang w:val="en-NZ"/>
              </w:rPr>
              <w:t>IRRS</w:t>
            </w:r>
            <w:r w:rsidR="0038091D">
              <w:rPr>
                <w:lang w:val="en-NZ"/>
              </w:rPr>
              <w:t>)</w:t>
            </w:r>
            <w:r w:rsidRPr="00561153">
              <w:rPr>
                <w:lang w:val="en-NZ"/>
              </w:rPr>
              <w:t xml:space="preserve">, and $63.353 million on </w:t>
            </w:r>
            <w:r w:rsidR="00C413C5" w:rsidRPr="00C413C5">
              <w:rPr>
                <w:lang w:val="en-NZ"/>
              </w:rPr>
              <w:t>Temporary Additional Support</w:t>
            </w:r>
            <w:r w:rsidRPr="00561153">
              <w:rPr>
                <w:lang w:val="en-NZ"/>
              </w:rPr>
              <w:t xml:space="preserve"> and </w:t>
            </w:r>
            <w:r w:rsidR="00D86BE8" w:rsidRPr="00561153">
              <w:rPr>
                <w:lang w:val="en-NZ"/>
              </w:rPr>
              <w:t>Special Benefit</w:t>
            </w:r>
            <w:r w:rsidRPr="00561153">
              <w:rPr>
                <w:lang w:val="en-NZ"/>
              </w:rPr>
              <w:t xml:space="preserve"> over the forecast period. Net savings from this initiative have been returned to the Crown.</w:t>
            </w:r>
          </w:p>
          <w:p w14:paraId="7EFEC07D" w14:textId="63493668" w:rsidR="00FD17DE" w:rsidRPr="00776538" w:rsidRDefault="00FD17DE" w:rsidP="006C05B1">
            <w:pPr>
              <w:pStyle w:val="BodyText-Numbered"/>
              <w:keepNext w:val="0"/>
              <w:rPr>
                <w:b/>
                <w:highlight w:val="yellow"/>
                <w:lang w:val="en-NZ"/>
              </w:rPr>
            </w:pPr>
            <w:r w:rsidRPr="00FD17DE">
              <w:rPr>
                <w:b/>
                <w:lang w:val="en-NZ"/>
              </w:rPr>
              <w:t>Joint Ministers agreed to policy changes that will ensure more equitable treatment of board and rent payments when receiving housing subsidies</w:t>
            </w:r>
          </w:p>
          <w:p w14:paraId="0E2B77F2" w14:textId="25B83CD6" w:rsidR="00FD17DE" w:rsidRPr="00FD17DE" w:rsidRDefault="00FD17DE" w:rsidP="006C05B1">
            <w:pPr>
              <w:pStyle w:val="BodyText-Numbered"/>
              <w:keepNext w:val="0"/>
              <w:rPr>
                <w:lang w:val="en-NZ"/>
              </w:rPr>
            </w:pPr>
            <w:r w:rsidRPr="00FD17DE">
              <w:rPr>
                <w:lang w:val="en-NZ"/>
              </w:rPr>
              <w:t xml:space="preserve">In October </w:t>
            </w:r>
            <w:r w:rsidRPr="00271D06">
              <w:rPr>
                <w:lang w:val="en-NZ"/>
              </w:rPr>
              <w:t>2024, Joint Ministers</w:t>
            </w:r>
            <w:r w:rsidR="00271D06" w:rsidRPr="00271D06">
              <w:rPr>
                <w:rStyle w:val="FootnoteReference"/>
                <w:bCs/>
                <w:lang w:val="en-NZ"/>
              </w:rPr>
              <w:footnoteReference w:id="3"/>
            </w:r>
            <w:r w:rsidRPr="00271D06">
              <w:rPr>
                <w:lang w:val="en-NZ"/>
              </w:rPr>
              <w:t xml:space="preserve"> agreed</w:t>
            </w:r>
            <w:r w:rsidRPr="00FD17DE">
              <w:rPr>
                <w:lang w:val="en-NZ"/>
              </w:rPr>
              <w:t xml:space="preserve"> to the following policy changes to the treatment of boarder contributions:</w:t>
            </w:r>
          </w:p>
          <w:p w14:paraId="34A52E32" w14:textId="302CA3C1" w:rsidR="00FD17DE" w:rsidRPr="00FD17DE" w:rsidRDefault="00FD17DE" w:rsidP="006C05B1">
            <w:pPr>
              <w:pStyle w:val="BodyText-Numbered"/>
              <w:keepNext w:val="0"/>
              <w:numPr>
                <w:ilvl w:val="0"/>
                <w:numId w:val="27"/>
              </w:numPr>
            </w:pPr>
            <w:r w:rsidRPr="3E129211">
              <w:t>Recognise housing contributions from all boarders (i.e. 62 percent of payments received</w:t>
            </w:r>
            <w:r w:rsidR="00E717B9" w:rsidRPr="3E129211">
              <w:rPr>
                <w:rStyle w:val="FootnoteReference"/>
              </w:rPr>
              <w:footnoteReference w:id="4"/>
            </w:r>
            <w:r w:rsidRPr="3E129211">
              <w:t xml:space="preserve">) as reducing the allowable accommodation costs for the person receiving the board payment, for the purpose of receiving housing subsidies under the </w:t>
            </w:r>
            <w:r w:rsidR="000421C5" w:rsidRPr="3E129211">
              <w:t>Social Security Act</w:t>
            </w:r>
            <w:r w:rsidRPr="3E129211">
              <w:t xml:space="preserve">.  </w:t>
            </w:r>
          </w:p>
          <w:p w14:paraId="3FE9FF3E" w14:textId="3D69C1FD" w:rsidR="00FD17DE" w:rsidRPr="00FD17DE" w:rsidRDefault="004D658E" w:rsidP="006C05B1">
            <w:pPr>
              <w:pStyle w:val="BodyText-Numbered"/>
              <w:keepNext w:val="0"/>
              <w:numPr>
                <w:ilvl w:val="0"/>
                <w:numId w:val="27"/>
              </w:numPr>
              <w:rPr>
                <w:lang w:val="en-NZ"/>
              </w:rPr>
            </w:pPr>
            <w:r>
              <w:rPr>
                <w:lang w:val="en-NZ"/>
              </w:rPr>
              <w:t>R</w:t>
            </w:r>
            <w:r w:rsidRPr="004D658E">
              <w:rPr>
                <w:lang w:val="en-NZ"/>
              </w:rPr>
              <w:t xml:space="preserve">ecognise </w:t>
            </w:r>
            <w:r w:rsidR="008B148C">
              <w:rPr>
                <w:lang w:val="en-NZ"/>
              </w:rPr>
              <w:t xml:space="preserve">all </w:t>
            </w:r>
            <w:r w:rsidRPr="004D658E">
              <w:rPr>
                <w:lang w:val="en-NZ"/>
              </w:rPr>
              <w:t>housing contribution</w:t>
            </w:r>
            <w:r w:rsidR="008B148C">
              <w:rPr>
                <w:lang w:val="en-NZ"/>
              </w:rPr>
              <w:t>s</w:t>
            </w:r>
            <w:r w:rsidRPr="004D658E">
              <w:rPr>
                <w:lang w:val="en-NZ"/>
              </w:rPr>
              <w:t xml:space="preserve"> from boarders </w:t>
            </w:r>
            <w:r w:rsidR="00ED0897" w:rsidRPr="004D658E">
              <w:rPr>
                <w:lang w:val="en-NZ"/>
              </w:rPr>
              <w:t>in the IRR calculation</w:t>
            </w:r>
            <w:r w:rsidR="00FD17DE" w:rsidRPr="00FD17DE">
              <w:rPr>
                <w:lang w:val="en-NZ"/>
              </w:rPr>
              <w:t>.</w:t>
            </w:r>
          </w:p>
          <w:p w14:paraId="72C194ED" w14:textId="77E63B6E" w:rsidR="00A30A57" w:rsidRDefault="00A30A57" w:rsidP="006C05B1">
            <w:pPr>
              <w:pStyle w:val="BodyText-Numbered"/>
              <w:keepNext w:val="0"/>
              <w:numPr>
                <w:ilvl w:val="0"/>
                <w:numId w:val="27"/>
              </w:numPr>
              <w:rPr>
                <w:lang w:val="en-NZ"/>
              </w:rPr>
            </w:pPr>
            <w:r>
              <w:rPr>
                <w:lang w:val="en-NZ"/>
              </w:rPr>
              <w:t>W</w:t>
            </w:r>
            <w:r w:rsidRPr="00A30A57">
              <w:rPr>
                <w:lang w:val="en-NZ"/>
              </w:rPr>
              <w:t xml:space="preserve">hen </w:t>
            </w:r>
            <w:bookmarkStart w:id="17" w:name="_Hlk189663529"/>
            <w:r w:rsidRPr="00A30A57">
              <w:rPr>
                <w:lang w:val="en-NZ"/>
              </w:rPr>
              <w:t>housing contributions from boarders exceed the total allowable accommodation costs or the market rent applicable for the social housing property of the person receiving board payments</w:t>
            </w:r>
            <w:bookmarkEnd w:id="17"/>
            <w:r w:rsidRPr="00A30A57">
              <w:rPr>
                <w:lang w:val="en-NZ"/>
              </w:rPr>
              <w:t xml:space="preserve">, this excess </w:t>
            </w:r>
            <w:r w:rsidR="00542445">
              <w:rPr>
                <w:lang w:val="en-NZ"/>
              </w:rPr>
              <w:t>(excess income)</w:t>
            </w:r>
            <w:r w:rsidR="007639D2">
              <w:rPr>
                <w:rStyle w:val="FootnoteReference"/>
                <w:lang w:val="en-NZ"/>
              </w:rPr>
              <w:footnoteReference w:id="5"/>
            </w:r>
            <w:r w:rsidR="00542445">
              <w:rPr>
                <w:lang w:val="en-NZ"/>
              </w:rPr>
              <w:t xml:space="preserve"> </w:t>
            </w:r>
            <w:r w:rsidRPr="00A30A57">
              <w:rPr>
                <w:lang w:val="en-NZ"/>
              </w:rPr>
              <w:t>will be included as income for any other income-tested assistance under the S</w:t>
            </w:r>
            <w:r w:rsidR="000B76EF">
              <w:rPr>
                <w:lang w:val="en-NZ"/>
              </w:rPr>
              <w:t xml:space="preserve">ocial </w:t>
            </w:r>
            <w:r w:rsidRPr="00A30A57">
              <w:rPr>
                <w:lang w:val="en-NZ"/>
              </w:rPr>
              <w:t>S</w:t>
            </w:r>
            <w:r w:rsidR="000B76EF">
              <w:rPr>
                <w:lang w:val="en-NZ"/>
              </w:rPr>
              <w:t xml:space="preserve">ecurity </w:t>
            </w:r>
            <w:r w:rsidRPr="00A30A57">
              <w:rPr>
                <w:lang w:val="en-NZ"/>
              </w:rPr>
              <w:t>A</w:t>
            </w:r>
            <w:r w:rsidR="000B76EF">
              <w:rPr>
                <w:lang w:val="en-NZ"/>
              </w:rPr>
              <w:t>ct</w:t>
            </w:r>
            <w:r w:rsidRPr="00A30A57">
              <w:rPr>
                <w:lang w:val="en-NZ"/>
              </w:rPr>
              <w:t xml:space="preserve"> and/or any income-tested assistance that uses the S</w:t>
            </w:r>
            <w:r w:rsidR="000B76EF">
              <w:rPr>
                <w:lang w:val="en-NZ"/>
              </w:rPr>
              <w:t xml:space="preserve">ocial </w:t>
            </w:r>
            <w:r w:rsidRPr="00A30A57">
              <w:rPr>
                <w:lang w:val="en-NZ"/>
              </w:rPr>
              <w:t>S</w:t>
            </w:r>
            <w:r w:rsidR="000B76EF">
              <w:rPr>
                <w:lang w:val="en-NZ"/>
              </w:rPr>
              <w:t xml:space="preserve">ecurity </w:t>
            </w:r>
            <w:r w:rsidRPr="00A30A57">
              <w:rPr>
                <w:lang w:val="en-NZ"/>
              </w:rPr>
              <w:t>A</w:t>
            </w:r>
            <w:r w:rsidR="000B76EF">
              <w:rPr>
                <w:lang w:val="en-NZ"/>
              </w:rPr>
              <w:t>ct</w:t>
            </w:r>
            <w:r w:rsidRPr="00A30A57">
              <w:rPr>
                <w:lang w:val="en-NZ"/>
              </w:rPr>
              <w:t xml:space="preserve"> definition of income</w:t>
            </w:r>
            <w:r w:rsidR="00E721B6">
              <w:rPr>
                <w:lang w:val="en-NZ"/>
              </w:rPr>
              <w:t>.</w:t>
            </w:r>
          </w:p>
          <w:p w14:paraId="6C7FCC32" w14:textId="78222B17" w:rsidR="00FD17DE" w:rsidRPr="00FD17DE" w:rsidRDefault="00EC026B" w:rsidP="006C05B1">
            <w:pPr>
              <w:pStyle w:val="BodyText-Numbered"/>
              <w:keepNext w:val="0"/>
              <w:rPr>
                <w:lang w:val="en-NZ"/>
              </w:rPr>
            </w:pPr>
            <w:r>
              <w:rPr>
                <w:lang w:val="en-NZ"/>
              </w:rPr>
              <w:t xml:space="preserve">Joint </w:t>
            </w:r>
            <w:r w:rsidR="00FD17DE" w:rsidRPr="00FD17DE">
              <w:rPr>
                <w:lang w:val="en-NZ"/>
              </w:rPr>
              <w:t xml:space="preserve">Ministers </w:t>
            </w:r>
            <w:r w:rsidR="00FB28F6">
              <w:rPr>
                <w:lang w:val="en-NZ"/>
              </w:rPr>
              <w:t xml:space="preserve">also </w:t>
            </w:r>
            <w:r w:rsidR="00FD17DE" w:rsidRPr="00FD17DE">
              <w:rPr>
                <w:lang w:val="en-NZ"/>
              </w:rPr>
              <w:t>agreed to the following to ensure effective implementation of the policy changes:</w:t>
            </w:r>
          </w:p>
          <w:p w14:paraId="2FE6D24B" w14:textId="735FCE86" w:rsidR="00893543" w:rsidRPr="001527BA" w:rsidRDefault="009A5F48" w:rsidP="006C05B1">
            <w:pPr>
              <w:pStyle w:val="BodyText-Numbered"/>
              <w:keepNext w:val="0"/>
              <w:numPr>
                <w:ilvl w:val="0"/>
                <w:numId w:val="27"/>
              </w:numPr>
              <w:rPr>
                <w:lang w:val="en-NZ"/>
              </w:rPr>
            </w:pPr>
            <w:r w:rsidRPr="00816541">
              <w:rPr>
                <w:lang w:val="en-NZ"/>
              </w:rPr>
              <w:t>A</w:t>
            </w:r>
            <w:r w:rsidRPr="009A5F48">
              <w:rPr>
                <w:lang w:val="en-NZ"/>
              </w:rPr>
              <w:t xml:space="preserve">llow the use of </w:t>
            </w:r>
            <w:r w:rsidR="003856D0" w:rsidRPr="009A5F48">
              <w:rPr>
                <w:lang w:val="en-NZ"/>
              </w:rPr>
              <w:t xml:space="preserve">Automated Decision-Making </w:t>
            </w:r>
            <w:r w:rsidR="003856D0">
              <w:rPr>
                <w:lang w:val="en-NZ"/>
              </w:rPr>
              <w:t xml:space="preserve">(ADM) </w:t>
            </w:r>
            <w:r w:rsidRPr="009A5F48">
              <w:rPr>
                <w:lang w:val="en-NZ"/>
              </w:rPr>
              <w:t xml:space="preserve">in the administration of the Accommodation Supplement as part of enacting this </w:t>
            </w:r>
            <w:r w:rsidR="00871428">
              <w:rPr>
                <w:lang w:val="en-NZ"/>
              </w:rPr>
              <w:t xml:space="preserve">policy </w:t>
            </w:r>
            <w:r w:rsidRPr="009A5F48">
              <w:rPr>
                <w:lang w:val="en-NZ"/>
              </w:rPr>
              <w:t>change</w:t>
            </w:r>
            <w:r w:rsidR="00183D86">
              <w:rPr>
                <w:lang w:val="en-NZ"/>
              </w:rPr>
              <w:t>.</w:t>
            </w:r>
          </w:p>
          <w:p w14:paraId="7DC991AC" w14:textId="1261390D" w:rsidR="00FD17DE" w:rsidRPr="003E637B" w:rsidRDefault="00FD17DE" w:rsidP="006C05B1">
            <w:pPr>
              <w:pStyle w:val="BodyText-Numbered"/>
              <w:keepNext w:val="0"/>
              <w:numPr>
                <w:ilvl w:val="0"/>
                <w:numId w:val="27"/>
              </w:numPr>
              <w:rPr>
                <w:lang w:val="en-NZ"/>
              </w:rPr>
            </w:pPr>
            <w:r w:rsidRPr="00FD17DE">
              <w:rPr>
                <w:lang w:val="en-NZ"/>
              </w:rPr>
              <w:t xml:space="preserve">Amend the </w:t>
            </w:r>
            <w:r w:rsidR="000421C5" w:rsidRPr="000421C5">
              <w:rPr>
                <w:lang w:val="en-NZ"/>
              </w:rPr>
              <w:t>Social Security Act</w:t>
            </w:r>
            <w:r w:rsidR="00E717B9">
              <w:rPr>
                <w:rStyle w:val="FootnoteReference"/>
                <w:iCs/>
                <w:lang w:val="en-NZ"/>
              </w:rPr>
              <w:footnoteReference w:id="6"/>
            </w:r>
            <w:r w:rsidRPr="00FD17DE">
              <w:rPr>
                <w:lang w:val="en-NZ"/>
              </w:rPr>
              <w:t xml:space="preserve"> so that a grant of AS is no longer discretionary, which will allow the use of </w:t>
            </w:r>
            <w:r w:rsidR="00735283">
              <w:rPr>
                <w:lang w:val="en-NZ"/>
              </w:rPr>
              <w:t>ADM</w:t>
            </w:r>
            <w:r w:rsidRPr="00FD17DE">
              <w:rPr>
                <w:lang w:val="en-NZ"/>
              </w:rPr>
              <w:t xml:space="preserve"> in the administration of the AS</w:t>
            </w:r>
            <w:r w:rsidRPr="003E637B">
              <w:rPr>
                <w:lang w:val="en-NZ"/>
              </w:rPr>
              <w:t>.</w:t>
            </w:r>
          </w:p>
          <w:p w14:paraId="653DC5D4" w14:textId="3E5AF082" w:rsidR="00DF4D74" w:rsidRPr="00FD17DE" w:rsidRDefault="00C94DDF" w:rsidP="006C05B1">
            <w:pPr>
              <w:pStyle w:val="ListParagraph"/>
              <w:numPr>
                <w:ilvl w:val="0"/>
                <w:numId w:val="27"/>
              </w:numPr>
              <w:rPr>
                <w:lang w:val="en-NZ"/>
              </w:rPr>
            </w:pPr>
            <w:r>
              <w:rPr>
                <w:rFonts w:cs="Arial"/>
                <w:lang w:val="en-NZ"/>
              </w:rPr>
              <w:t>D</w:t>
            </w:r>
            <w:r w:rsidR="00ED425E" w:rsidRPr="00ED425E">
              <w:rPr>
                <w:rFonts w:cs="Arial"/>
                <w:lang w:val="en-NZ"/>
              </w:rPr>
              <w:t>escribe</w:t>
            </w:r>
            <w:r w:rsidR="00CE617B">
              <w:rPr>
                <w:rFonts w:cs="Arial"/>
                <w:lang w:val="en-NZ"/>
              </w:rPr>
              <w:t xml:space="preserve"> b</w:t>
            </w:r>
            <w:r w:rsidR="00341CFD" w:rsidRPr="00ED425E">
              <w:rPr>
                <w:rFonts w:cs="Arial"/>
                <w:lang w:val="en-NZ"/>
              </w:rPr>
              <w:t xml:space="preserve">oarders </w:t>
            </w:r>
            <w:r w:rsidR="00ED425E" w:rsidRPr="00ED425E">
              <w:rPr>
                <w:rFonts w:cs="Arial"/>
                <w:lang w:val="en-NZ"/>
              </w:rPr>
              <w:t>in the legislation for the purposes of AS, and if a person is not identified as a boarder, they will be treated as a renter (meaning 100 percent of their contribution towards accommodation will be treated as</w:t>
            </w:r>
            <w:r w:rsidR="00B832D9">
              <w:t xml:space="preserve"> </w:t>
            </w:r>
            <w:r w:rsidR="00B832D9" w:rsidRPr="00B832D9">
              <w:rPr>
                <w:rFonts w:cs="Arial"/>
                <w:lang w:val="en-NZ"/>
              </w:rPr>
              <w:t>a contribution towards</w:t>
            </w:r>
            <w:r w:rsidR="00ED425E" w:rsidRPr="00ED425E">
              <w:rPr>
                <w:rFonts w:cs="Arial"/>
                <w:lang w:val="en-NZ"/>
              </w:rPr>
              <w:t xml:space="preserve"> accommodation costs, instead of 62 percent)</w:t>
            </w:r>
            <w:r w:rsidR="0031749E">
              <w:rPr>
                <w:rFonts w:cs="Arial"/>
                <w:lang w:val="en-NZ"/>
              </w:rPr>
              <w:t>.</w:t>
            </w:r>
          </w:p>
          <w:p w14:paraId="7A530B4E" w14:textId="159FCCFE" w:rsidR="00FD17DE" w:rsidRPr="00FD17DE" w:rsidRDefault="00FD17DE" w:rsidP="006C05B1">
            <w:pPr>
              <w:pStyle w:val="BodyText-Numbered"/>
              <w:keepNext w:val="0"/>
              <w:rPr>
                <w:lang w:val="en-NZ"/>
              </w:rPr>
            </w:pPr>
            <w:r w:rsidRPr="00FD17DE">
              <w:rPr>
                <w:lang w:val="en-NZ"/>
              </w:rPr>
              <w:t xml:space="preserve">In October 2024 Ministers agreed to these recommendations and to Budget night legislation for Budget 2025 </w:t>
            </w:r>
            <w:r w:rsidRPr="003E637B">
              <w:rPr>
                <w:lang w:val="en-NZ"/>
              </w:rPr>
              <w:t>as the legislative vehicle.</w:t>
            </w:r>
          </w:p>
          <w:p w14:paraId="5EE5A1AD" w14:textId="4E6543E9" w:rsidR="00FD17DE" w:rsidRPr="00DB3B19" w:rsidRDefault="00FD17DE" w:rsidP="006C05B1">
            <w:pPr>
              <w:pStyle w:val="BodyText-Numbered"/>
              <w:keepNext w:val="0"/>
              <w:rPr>
                <w:b/>
                <w:bCs/>
                <w:lang w:val="en-NZ"/>
              </w:rPr>
            </w:pPr>
            <w:r w:rsidRPr="00DB3B19">
              <w:rPr>
                <w:b/>
                <w:bCs/>
                <w:lang w:val="en-NZ"/>
              </w:rPr>
              <w:t xml:space="preserve">How </w:t>
            </w:r>
            <w:r w:rsidR="004E77E9" w:rsidRPr="00DB3B19">
              <w:rPr>
                <w:b/>
                <w:bCs/>
                <w:lang w:val="en-NZ"/>
              </w:rPr>
              <w:t xml:space="preserve">will </w:t>
            </w:r>
            <w:r w:rsidRPr="00DB3B19">
              <w:rPr>
                <w:b/>
                <w:bCs/>
                <w:lang w:val="en-NZ"/>
              </w:rPr>
              <w:t>housing contributions from boarders</w:t>
            </w:r>
            <w:r w:rsidRPr="00DB3B19" w:rsidDel="004E77E9">
              <w:rPr>
                <w:b/>
                <w:bCs/>
                <w:lang w:val="en-NZ"/>
              </w:rPr>
              <w:t xml:space="preserve"> </w:t>
            </w:r>
            <w:r w:rsidRPr="00DB3B19">
              <w:rPr>
                <w:b/>
                <w:bCs/>
                <w:lang w:val="en-NZ"/>
              </w:rPr>
              <w:t>be recognised for Social Security Act assistance?</w:t>
            </w:r>
          </w:p>
          <w:p w14:paraId="11F5445B" w14:textId="6E736D84" w:rsidR="008F44D4" w:rsidRPr="00FD17DE" w:rsidRDefault="00FD17DE" w:rsidP="006C05B1">
            <w:pPr>
              <w:pStyle w:val="BodyText-Numbered"/>
              <w:keepNext w:val="0"/>
              <w:rPr>
                <w:lang w:val="en-NZ"/>
              </w:rPr>
            </w:pPr>
            <w:r w:rsidRPr="00FD17DE">
              <w:rPr>
                <w:lang w:val="en-NZ"/>
              </w:rPr>
              <w:t xml:space="preserve">MSD will recognise housing contributions from all boarders (i.e. 62 percent of payments received) as reducing the allowable accommodation costs for the person receiving the </w:t>
            </w:r>
            <w:r w:rsidRPr="00FD17DE">
              <w:rPr>
                <w:lang w:val="en-NZ"/>
              </w:rPr>
              <w:lastRenderedPageBreak/>
              <w:t xml:space="preserve">board payment for housing subsidies under the </w:t>
            </w:r>
            <w:r w:rsidR="00DB188F" w:rsidRPr="00DB188F">
              <w:rPr>
                <w:lang w:val="en-NZ"/>
              </w:rPr>
              <w:t>Social Security Act</w:t>
            </w:r>
            <w:r w:rsidRPr="00FD17DE">
              <w:rPr>
                <w:lang w:val="en-NZ"/>
              </w:rPr>
              <w:t>. This will ensure that housing contributions are not subsidised twice</w:t>
            </w:r>
            <w:r w:rsidR="003E637B">
              <w:rPr>
                <w:lang w:val="en-NZ"/>
              </w:rPr>
              <w:t>.</w:t>
            </w:r>
          </w:p>
          <w:p w14:paraId="11D2F6EB" w14:textId="7193155B" w:rsidR="00D429E4" w:rsidRPr="00453DC9" w:rsidRDefault="00D429E4" w:rsidP="006C05B1">
            <w:pPr>
              <w:pStyle w:val="BodyText-Numbered"/>
              <w:keepNext w:val="0"/>
              <w:rPr>
                <w:b/>
                <w:bCs/>
                <w:lang w:val="en-NZ"/>
              </w:rPr>
            </w:pPr>
            <w:r w:rsidRPr="00453DC9">
              <w:rPr>
                <w:b/>
                <w:bCs/>
                <w:lang w:val="en-NZ"/>
              </w:rPr>
              <w:t xml:space="preserve">How </w:t>
            </w:r>
            <w:r w:rsidR="00DF5932" w:rsidRPr="00453DC9">
              <w:rPr>
                <w:b/>
                <w:bCs/>
                <w:lang w:val="en-NZ"/>
              </w:rPr>
              <w:t xml:space="preserve">will </w:t>
            </w:r>
            <w:r w:rsidRPr="00453DC9">
              <w:rPr>
                <w:b/>
                <w:bCs/>
                <w:lang w:val="en-NZ"/>
              </w:rPr>
              <w:t>housing contributions from boarders</w:t>
            </w:r>
            <w:r w:rsidRPr="00453DC9" w:rsidDel="00DF5932">
              <w:rPr>
                <w:b/>
                <w:bCs/>
                <w:lang w:val="en-NZ"/>
              </w:rPr>
              <w:t xml:space="preserve"> </w:t>
            </w:r>
            <w:r w:rsidRPr="00453DC9">
              <w:rPr>
                <w:b/>
                <w:bCs/>
                <w:lang w:val="en-NZ"/>
              </w:rPr>
              <w:t xml:space="preserve">be recognised for </w:t>
            </w:r>
            <w:r w:rsidR="004718DB" w:rsidRPr="00453DC9">
              <w:rPr>
                <w:b/>
                <w:bCs/>
                <w:lang w:val="en-NZ"/>
              </w:rPr>
              <w:t xml:space="preserve">social housing </w:t>
            </w:r>
            <w:r w:rsidRPr="00453DC9">
              <w:rPr>
                <w:b/>
                <w:bCs/>
                <w:lang w:val="en-NZ"/>
              </w:rPr>
              <w:t>tenants?</w:t>
            </w:r>
          </w:p>
          <w:p w14:paraId="655755CF" w14:textId="0AF6B9C6" w:rsidR="00D429E4" w:rsidRPr="00D429E4" w:rsidRDefault="00D429E4" w:rsidP="006C05B1">
            <w:pPr>
              <w:pStyle w:val="BodyText-Numbered"/>
              <w:keepNext w:val="0"/>
              <w:rPr>
                <w:lang w:val="en-NZ"/>
              </w:rPr>
            </w:pPr>
            <w:r w:rsidRPr="00D429E4">
              <w:rPr>
                <w:lang w:val="en-NZ"/>
              </w:rPr>
              <w:t xml:space="preserve">The calculation of IRR will be modified to ensure that the full housing contribution from all boarders (i.e. 62 percent of payments received) is </w:t>
            </w:r>
            <w:r w:rsidR="00095B82">
              <w:rPr>
                <w:lang w:val="en-NZ"/>
              </w:rPr>
              <w:t xml:space="preserve">included </w:t>
            </w:r>
            <w:r w:rsidR="00281E49">
              <w:rPr>
                <w:lang w:val="en-NZ"/>
              </w:rPr>
              <w:t>when determining</w:t>
            </w:r>
            <w:r w:rsidRPr="00D429E4">
              <w:rPr>
                <w:lang w:val="en-NZ"/>
              </w:rPr>
              <w:t xml:space="preserve"> the IRR </w:t>
            </w:r>
            <w:r w:rsidR="004718DB">
              <w:rPr>
                <w:lang w:val="en-NZ"/>
              </w:rPr>
              <w:t>a social housing</w:t>
            </w:r>
            <w:r w:rsidRPr="00D429E4">
              <w:rPr>
                <w:lang w:val="en-NZ"/>
              </w:rPr>
              <w:t xml:space="preserve"> tenant must pay. See the </w:t>
            </w:r>
            <w:r w:rsidRPr="002A14D5">
              <w:rPr>
                <w:lang w:val="en-NZ"/>
              </w:rPr>
              <w:t xml:space="preserve">table </w:t>
            </w:r>
            <w:r w:rsidR="00470BAC">
              <w:rPr>
                <w:lang w:val="en-NZ"/>
              </w:rPr>
              <w:t>in</w:t>
            </w:r>
            <w:r w:rsidR="00470BAC" w:rsidRPr="002A14D5">
              <w:rPr>
                <w:lang w:val="en-NZ"/>
              </w:rPr>
              <w:t xml:space="preserve"> </w:t>
            </w:r>
            <w:r w:rsidR="00D140BB" w:rsidRPr="002A14D5">
              <w:rPr>
                <w:lang w:val="en-NZ"/>
              </w:rPr>
              <w:t xml:space="preserve">paragraph </w:t>
            </w:r>
            <w:r w:rsidR="00D53926" w:rsidRPr="002A14D5">
              <w:rPr>
                <w:lang w:val="en-NZ"/>
              </w:rPr>
              <w:t>25</w:t>
            </w:r>
            <w:r w:rsidR="00D140BB" w:rsidRPr="002A14D5">
              <w:rPr>
                <w:lang w:val="en-NZ"/>
              </w:rPr>
              <w:t xml:space="preserve"> </w:t>
            </w:r>
            <w:r w:rsidRPr="002A14D5">
              <w:rPr>
                <w:lang w:val="en-NZ"/>
              </w:rPr>
              <w:t>for</w:t>
            </w:r>
            <w:r w:rsidRPr="00D429E4">
              <w:rPr>
                <w:lang w:val="en-NZ"/>
              </w:rPr>
              <w:t xml:space="preserve"> a description of the</w:t>
            </w:r>
            <w:r w:rsidR="00463346">
              <w:rPr>
                <w:lang w:val="en-NZ"/>
              </w:rPr>
              <w:t xml:space="preserve"> agreed</w:t>
            </w:r>
            <w:r w:rsidRPr="00D429E4">
              <w:rPr>
                <w:lang w:val="en-NZ"/>
              </w:rPr>
              <w:t xml:space="preserve"> modified IRR calculation and how the boarder contributions will be reflected.</w:t>
            </w:r>
          </w:p>
          <w:p w14:paraId="7145F4EC" w14:textId="261353A5" w:rsidR="00AB0D19" w:rsidRPr="00D429E4" w:rsidRDefault="00D429E4" w:rsidP="006C05B1">
            <w:pPr>
              <w:pStyle w:val="BodyText-Numbered"/>
              <w:keepNext w:val="0"/>
              <w:rPr>
                <w:lang w:val="en-NZ"/>
              </w:rPr>
            </w:pPr>
            <w:bookmarkStart w:id="18" w:name="_Hlk187754364"/>
            <w:r w:rsidRPr="00D429E4">
              <w:rPr>
                <w:iCs/>
                <w:lang w:val="en-NZ"/>
              </w:rPr>
              <w:t xml:space="preserve">When housing contributions from </w:t>
            </w:r>
            <w:r w:rsidR="00DD75D9">
              <w:rPr>
                <w:iCs/>
                <w:lang w:val="en-NZ"/>
              </w:rPr>
              <w:t xml:space="preserve">a </w:t>
            </w:r>
            <w:r w:rsidRPr="00D429E4">
              <w:rPr>
                <w:iCs/>
                <w:lang w:val="en-NZ"/>
              </w:rPr>
              <w:t>boarder</w:t>
            </w:r>
            <w:r w:rsidR="00DD75D9">
              <w:rPr>
                <w:iCs/>
                <w:lang w:val="en-NZ"/>
              </w:rPr>
              <w:t>(</w:t>
            </w:r>
            <w:r w:rsidRPr="00D429E4">
              <w:rPr>
                <w:iCs/>
                <w:lang w:val="en-NZ"/>
              </w:rPr>
              <w:t>s</w:t>
            </w:r>
            <w:r w:rsidR="00DD75D9">
              <w:rPr>
                <w:iCs/>
                <w:lang w:val="en-NZ"/>
              </w:rPr>
              <w:t>)</w:t>
            </w:r>
            <w:r w:rsidRPr="00D429E4">
              <w:rPr>
                <w:iCs/>
                <w:lang w:val="en-NZ"/>
              </w:rPr>
              <w:t xml:space="preserve"> exceed the total accommodation costs (for </w:t>
            </w:r>
            <w:r w:rsidR="00DB188F" w:rsidRPr="00DB188F">
              <w:rPr>
                <w:iCs/>
                <w:lang w:val="en-NZ"/>
              </w:rPr>
              <w:t xml:space="preserve">Social Security Act </w:t>
            </w:r>
            <w:r w:rsidRPr="00D429E4">
              <w:rPr>
                <w:iCs/>
                <w:lang w:val="en-NZ"/>
              </w:rPr>
              <w:t xml:space="preserve">assistance) or the </w:t>
            </w:r>
            <w:r w:rsidR="005D285C" w:rsidRPr="00D429E4">
              <w:rPr>
                <w:iCs/>
                <w:lang w:val="en-NZ"/>
              </w:rPr>
              <w:t xml:space="preserve">applicable </w:t>
            </w:r>
            <w:r w:rsidRPr="00D429E4">
              <w:rPr>
                <w:iCs/>
                <w:lang w:val="en-NZ"/>
              </w:rPr>
              <w:t xml:space="preserve">market rent (for the </w:t>
            </w:r>
            <w:bookmarkStart w:id="19" w:name="_Hlk188886548"/>
            <w:r w:rsidR="00825FB1">
              <w:rPr>
                <w:iCs/>
                <w:lang w:val="en-NZ"/>
              </w:rPr>
              <w:t>social housing</w:t>
            </w:r>
            <w:r w:rsidRPr="00D429E4">
              <w:rPr>
                <w:iCs/>
                <w:lang w:val="en-NZ"/>
              </w:rPr>
              <w:t xml:space="preserve"> </w:t>
            </w:r>
            <w:bookmarkEnd w:id="19"/>
            <w:r w:rsidRPr="00D429E4">
              <w:rPr>
                <w:iCs/>
                <w:lang w:val="en-NZ"/>
              </w:rPr>
              <w:t xml:space="preserve">property) of the person receiving board payments, </w:t>
            </w:r>
            <w:r w:rsidR="00667252">
              <w:rPr>
                <w:iCs/>
                <w:lang w:val="en-NZ"/>
              </w:rPr>
              <w:t>the excess income</w:t>
            </w:r>
            <w:r w:rsidRPr="00D429E4">
              <w:rPr>
                <w:iCs/>
                <w:lang w:val="en-NZ"/>
              </w:rPr>
              <w:t xml:space="preserve"> will be included as income for </w:t>
            </w:r>
            <w:r w:rsidRPr="00D429E4">
              <w:rPr>
                <w:lang w:val="en-NZ"/>
              </w:rPr>
              <w:t xml:space="preserve">all income-tested assistance that uses the </w:t>
            </w:r>
            <w:r w:rsidR="00DB188F" w:rsidRPr="00DB188F">
              <w:rPr>
                <w:lang w:val="en-NZ"/>
              </w:rPr>
              <w:t xml:space="preserve">Social Security Act </w:t>
            </w:r>
            <w:r w:rsidRPr="00D429E4">
              <w:rPr>
                <w:lang w:val="en-NZ"/>
              </w:rPr>
              <w:t>definition of income</w:t>
            </w:r>
            <w:r w:rsidR="00643D8A" w:rsidRPr="00643D8A">
              <w:rPr>
                <w:lang w:val="en-NZ"/>
              </w:rPr>
              <w:t xml:space="preserve"> (e.g. main benefits)</w:t>
            </w:r>
            <w:r w:rsidRPr="00D429E4">
              <w:rPr>
                <w:lang w:val="en-NZ"/>
              </w:rPr>
              <w:t xml:space="preserve">, including when a client is not accessing a housing subsidy. </w:t>
            </w:r>
          </w:p>
          <w:bookmarkEnd w:id="18"/>
          <w:p w14:paraId="17D714F2" w14:textId="77777777" w:rsidR="00D429E4" w:rsidRPr="00DB3B19" w:rsidRDefault="00D429E4" w:rsidP="006C05B1">
            <w:pPr>
              <w:pStyle w:val="BodyText-Numbered"/>
              <w:keepNext w:val="0"/>
              <w:rPr>
                <w:b/>
                <w:bCs/>
                <w:lang w:val="en-NZ"/>
              </w:rPr>
            </w:pPr>
            <w:r w:rsidRPr="00DB3B19">
              <w:rPr>
                <w:b/>
                <w:bCs/>
                <w:lang w:val="en-NZ"/>
              </w:rPr>
              <w:t>The number of impacted households and the scale of the impacts</w:t>
            </w:r>
          </w:p>
          <w:p w14:paraId="314B4FD9" w14:textId="1D22A253" w:rsidR="00D429E4" w:rsidRPr="00F32FE2" w:rsidRDefault="00D429E4" w:rsidP="006C05B1">
            <w:pPr>
              <w:pStyle w:val="BodyText-Numbered"/>
              <w:keepNext w:val="0"/>
              <w:rPr>
                <w:lang w:val="en-NZ"/>
              </w:rPr>
            </w:pPr>
            <w:r w:rsidRPr="00D429E4">
              <w:rPr>
                <w:iCs/>
                <w:lang w:val="en-NZ"/>
              </w:rPr>
              <w:t xml:space="preserve">Of the </w:t>
            </w:r>
            <w:r w:rsidR="002901C8">
              <w:rPr>
                <w:lang w:val="en-NZ"/>
              </w:rPr>
              <w:t>8,200</w:t>
            </w:r>
            <w:r w:rsidRPr="00D429E4">
              <w:rPr>
                <w:iCs/>
                <w:lang w:val="en-NZ"/>
              </w:rPr>
              <w:t xml:space="preserve"> households who receive the AS </w:t>
            </w:r>
            <w:r w:rsidR="00FE0594">
              <w:rPr>
                <w:iCs/>
                <w:lang w:val="en-NZ"/>
              </w:rPr>
              <w:t xml:space="preserve">and </w:t>
            </w:r>
            <w:r w:rsidRPr="00D429E4">
              <w:rPr>
                <w:iCs/>
                <w:lang w:val="en-NZ"/>
              </w:rPr>
              <w:t xml:space="preserve">have </w:t>
            </w:r>
            <w:r w:rsidR="00DD75D9">
              <w:rPr>
                <w:iCs/>
                <w:lang w:val="en-NZ"/>
              </w:rPr>
              <w:t xml:space="preserve">a </w:t>
            </w:r>
            <w:r w:rsidRPr="00D429E4">
              <w:rPr>
                <w:iCs/>
                <w:lang w:val="en-NZ"/>
              </w:rPr>
              <w:t>boarder</w:t>
            </w:r>
            <w:r w:rsidR="00DD75D9">
              <w:rPr>
                <w:iCs/>
                <w:lang w:val="en-NZ"/>
              </w:rPr>
              <w:t>(</w:t>
            </w:r>
            <w:r w:rsidRPr="00D429E4">
              <w:rPr>
                <w:iCs/>
                <w:lang w:val="en-NZ"/>
              </w:rPr>
              <w:t>s</w:t>
            </w:r>
            <w:r w:rsidR="00DD75D9">
              <w:rPr>
                <w:iCs/>
                <w:lang w:val="en-NZ"/>
              </w:rPr>
              <w:t>)</w:t>
            </w:r>
            <w:r w:rsidRPr="00D429E4">
              <w:rPr>
                <w:iCs/>
                <w:lang w:val="en-NZ"/>
              </w:rPr>
              <w:t xml:space="preserve">, approximately </w:t>
            </w:r>
            <w:r w:rsidR="00D326CA">
              <w:rPr>
                <w:lang w:val="en-NZ"/>
              </w:rPr>
              <w:t>7,000</w:t>
            </w:r>
            <w:r w:rsidRPr="00D429E4">
              <w:rPr>
                <w:iCs/>
                <w:lang w:val="en-NZ"/>
              </w:rPr>
              <w:t xml:space="preserve"> are expected to have a reduction in </w:t>
            </w:r>
            <w:r w:rsidR="006747E5">
              <w:rPr>
                <w:iCs/>
                <w:lang w:val="en-NZ"/>
              </w:rPr>
              <w:t>MSD support</w:t>
            </w:r>
            <w:r w:rsidRPr="00D429E4">
              <w:rPr>
                <w:iCs/>
                <w:lang w:val="en-NZ"/>
              </w:rPr>
              <w:t xml:space="preserve"> as a result of this change. </w:t>
            </w:r>
            <w:r w:rsidRPr="00F32FE2">
              <w:rPr>
                <w:lang w:val="en-NZ"/>
              </w:rPr>
              <w:t xml:space="preserve">The average loss per week for the </w:t>
            </w:r>
            <w:r w:rsidR="00745A88">
              <w:rPr>
                <w:lang w:val="en-NZ"/>
              </w:rPr>
              <w:t>AS client</w:t>
            </w:r>
            <w:r w:rsidRPr="00F32FE2">
              <w:rPr>
                <w:lang w:val="en-NZ"/>
              </w:rPr>
              <w:t xml:space="preserve"> receiving board payments is $100 per week.</w:t>
            </w:r>
          </w:p>
          <w:p w14:paraId="3142F9B2" w14:textId="72792535" w:rsidR="00D429E4" w:rsidRPr="00D429E4" w:rsidRDefault="00D429E4" w:rsidP="006C05B1">
            <w:pPr>
              <w:pStyle w:val="BodyText-Numbered"/>
              <w:keepNext w:val="0"/>
              <w:rPr>
                <w:lang w:val="en-NZ"/>
              </w:rPr>
            </w:pPr>
            <w:r w:rsidRPr="00F32FE2">
              <w:rPr>
                <w:lang w:val="en-NZ"/>
              </w:rPr>
              <w:t xml:space="preserve">Approximately 6,200 </w:t>
            </w:r>
            <w:r w:rsidR="00825FB1" w:rsidRPr="00825FB1">
              <w:rPr>
                <w:lang w:val="en-NZ"/>
              </w:rPr>
              <w:t>social housing</w:t>
            </w:r>
            <w:r w:rsidRPr="00825FB1">
              <w:rPr>
                <w:lang w:val="en-NZ"/>
              </w:rPr>
              <w:t xml:space="preserve"> </w:t>
            </w:r>
            <w:r w:rsidR="00C12780" w:rsidRPr="00F32FE2">
              <w:rPr>
                <w:lang w:val="en-NZ"/>
              </w:rPr>
              <w:t>households</w:t>
            </w:r>
            <w:r w:rsidRPr="00F32FE2">
              <w:rPr>
                <w:lang w:val="en-NZ"/>
              </w:rPr>
              <w:t xml:space="preserve"> </w:t>
            </w:r>
            <w:r w:rsidR="00A723DA" w:rsidRPr="00F32FE2">
              <w:rPr>
                <w:lang w:val="en-NZ"/>
              </w:rPr>
              <w:t xml:space="preserve">that are receiving board payments </w:t>
            </w:r>
            <w:r w:rsidRPr="00F32FE2">
              <w:rPr>
                <w:lang w:val="en-NZ"/>
              </w:rPr>
              <w:t xml:space="preserve">are expected to be impacted by this policy change at an average </w:t>
            </w:r>
            <w:r w:rsidR="00D820CA" w:rsidRPr="00D820CA">
              <w:rPr>
                <w:lang w:val="en-NZ"/>
              </w:rPr>
              <w:t xml:space="preserve">increase in IRR </w:t>
            </w:r>
            <w:r w:rsidRPr="00F32FE2">
              <w:rPr>
                <w:lang w:val="en-NZ"/>
              </w:rPr>
              <w:t>of $132 per week.</w:t>
            </w:r>
          </w:p>
          <w:p w14:paraId="11389B54" w14:textId="08BA4A0A" w:rsidR="00A87D31" w:rsidRPr="00A87D31" w:rsidRDefault="00A87D31" w:rsidP="006C05B1">
            <w:pPr>
              <w:pStyle w:val="BodyText-Numbered"/>
              <w:keepNext w:val="0"/>
              <w:rPr>
                <w:lang w:val="en-NZ"/>
              </w:rPr>
            </w:pPr>
            <w:r w:rsidRPr="00A87D31">
              <w:rPr>
                <w:lang w:val="en-NZ"/>
              </w:rPr>
              <w:t xml:space="preserve">Risks associated with the changes include a disproportionate impact on marginalised communities and impacts on </w:t>
            </w:r>
            <w:r w:rsidR="00D81141">
              <w:rPr>
                <w:lang w:val="en-NZ"/>
              </w:rPr>
              <w:t>social housing</w:t>
            </w:r>
            <w:r w:rsidRPr="00A87D31">
              <w:rPr>
                <w:lang w:val="en-NZ"/>
              </w:rPr>
              <w:t xml:space="preserve"> tenants</w:t>
            </w:r>
            <w:r w:rsidR="00681E63">
              <w:rPr>
                <w:lang w:val="en-NZ"/>
              </w:rPr>
              <w:t>.</w:t>
            </w:r>
          </w:p>
          <w:p w14:paraId="43AB92FF" w14:textId="77777777" w:rsidR="00A87D31" w:rsidRPr="00DB3B19" w:rsidRDefault="00A87D31" w:rsidP="006C05B1">
            <w:pPr>
              <w:pStyle w:val="BodyText-Numbered"/>
              <w:keepNext w:val="0"/>
              <w:rPr>
                <w:i/>
                <w:iCs/>
                <w:lang w:val="en-NZ"/>
              </w:rPr>
            </w:pPr>
            <w:r w:rsidRPr="00DB3B19">
              <w:rPr>
                <w:i/>
                <w:iCs/>
                <w:lang w:val="en-NZ"/>
              </w:rPr>
              <w:t>The policy change may prompt behavioural changes that reduce the utilisation of housing</w:t>
            </w:r>
          </w:p>
          <w:p w14:paraId="2833244B" w14:textId="4B9C6A9C" w:rsidR="00A87D31" w:rsidRPr="00A87D31" w:rsidRDefault="00A87D31" w:rsidP="006C05B1">
            <w:pPr>
              <w:pStyle w:val="BodyText-Numbered"/>
              <w:keepNext w:val="0"/>
              <w:rPr>
                <w:lang w:val="en-NZ"/>
              </w:rPr>
            </w:pPr>
            <w:r w:rsidRPr="00A87D31">
              <w:rPr>
                <w:lang w:val="en-NZ"/>
              </w:rPr>
              <w:t xml:space="preserve">Reducing the amount of </w:t>
            </w:r>
            <w:r w:rsidR="00120958">
              <w:rPr>
                <w:lang w:val="en-NZ"/>
              </w:rPr>
              <w:t>g</w:t>
            </w:r>
            <w:r w:rsidR="00120958" w:rsidRPr="00A87D31">
              <w:rPr>
                <w:lang w:val="en-NZ"/>
              </w:rPr>
              <w:t xml:space="preserve">overnment </w:t>
            </w:r>
            <w:r w:rsidRPr="00A87D31">
              <w:rPr>
                <w:lang w:val="en-NZ"/>
              </w:rPr>
              <w:t xml:space="preserve">support received by MSD clients who receive payments from </w:t>
            </w:r>
            <w:r w:rsidR="00DD75D9">
              <w:rPr>
                <w:lang w:val="en-NZ"/>
              </w:rPr>
              <w:t xml:space="preserve">a </w:t>
            </w:r>
            <w:r w:rsidRPr="00A87D31">
              <w:rPr>
                <w:lang w:val="en-NZ"/>
              </w:rPr>
              <w:t>boarder</w:t>
            </w:r>
            <w:r w:rsidR="00DD75D9">
              <w:rPr>
                <w:lang w:val="en-NZ"/>
              </w:rPr>
              <w:t>(</w:t>
            </w:r>
            <w:r w:rsidRPr="00A87D31">
              <w:rPr>
                <w:lang w:val="en-NZ"/>
              </w:rPr>
              <w:t>s</w:t>
            </w:r>
            <w:r w:rsidR="00DD75D9">
              <w:rPr>
                <w:lang w:val="en-NZ"/>
              </w:rPr>
              <w:t xml:space="preserve">) </w:t>
            </w:r>
            <w:r w:rsidRPr="00A87D31">
              <w:rPr>
                <w:lang w:val="en-NZ"/>
              </w:rPr>
              <w:t xml:space="preserve">will make offering boarding arrangements less attractive for homeowners and renters. As a result, fewer households may take in </w:t>
            </w:r>
            <w:r w:rsidR="00DD75D9">
              <w:rPr>
                <w:lang w:val="en-NZ"/>
              </w:rPr>
              <w:t xml:space="preserve">a </w:t>
            </w:r>
            <w:r w:rsidRPr="00A87D31">
              <w:rPr>
                <w:lang w:val="en-NZ"/>
              </w:rPr>
              <w:t>boarder</w:t>
            </w:r>
            <w:r w:rsidR="00DD75D9">
              <w:rPr>
                <w:lang w:val="en-NZ"/>
              </w:rPr>
              <w:t>(</w:t>
            </w:r>
            <w:r w:rsidRPr="00A87D31">
              <w:rPr>
                <w:lang w:val="en-NZ"/>
              </w:rPr>
              <w:t>s</w:t>
            </w:r>
            <w:r w:rsidR="00DD75D9">
              <w:rPr>
                <w:lang w:val="en-NZ"/>
              </w:rPr>
              <w:t>)</w:t>
            </w:r>
            <w:r w:rsidRPr="00A87D31">
              <w:rPr>
                <w:lang w:val="en-NZ"/>
              </w:rPr>
              <w:t xml:space="preserve"> </w:t>
            </w:r>
            <w:r w:rsidR="00E73D7E">
              <w:rPr>
                <w:lang w:val="en-NZ"/>
              </w:rPr>
              <w:t>and s</w:t>
            </w:r>
            <w:r w:rsidRPr="00A87D31">
              <w:rPr>
                <w:lang w:val="en-NZ"/>
              </w:rPr>
              <w:t xml:space="preserve">ome households </w:t>
            </w:r>
            <w:r w:rsidR="00DB5B7B">
              <w:rPr>
                <w:lang w:val="en-NZ"/>
              </w:rPr>
              <w:t>that</w:t>
            </w:r>
            <w:r w:rsidR="00DB5B7B" w:rsidRPr="00A87D31">
              <w:rPr>
                <w:lang w:val="en-NZ"/>
              </w:rPr>
              <w:t xml:space="preserve"> </w:t>
            </w:r>
            <w:r w:rsidRPr="00A87D31">
              <w:rPr>
                <w:lang w:val="en-NZ"/>
              </w:rPr>
              <w:t>have a number of boarders may choose to have less.</w:t>
            </w:r>
            <w:r w:rsidR="000D4BDF">
              <w:t xml:space="preserve"> </w:t>
            </w:r>
            <w:r w:rsidR="000D4BDF" w:rsidRPr="000D4BDF">
              <w:rPr>
                <w:lang w:val="en-NZ"/>
              </w:rPr>
              <w:t>In cases where board arrangements reflect family responsibilities (e.g. boarders are adult children or an older parent) the impact may be less.</w:t>
            </w:r>
          </w:p>
          <w:p w14:paraId="3B636EAC" w14:textId="77777777" w:rsidR="00DA3220" w:rsidRPr="00DB3B19" w:rsidRDefault="00DA3220" w:rsidP="006C05B1">
            <w:pPr>
              <w:pStyle w:val="BodyText-Numbered"/>
              <w:keepNext w:val="0"/>
              <w:rPr>
                <w:i/>
                <w:iCs/>
                <w:lang w:val="en-NZ"/>
              </w:rPr>
            </w:pPr>
            <w:r w:rsidRPr="00DB3B19">
              <w:rPr>
                <w:i/>
                <w:iCs/>
                <w:lang w:val="en-NZ"/>
              </w:rPr>
              <w:t>Certain population groups may be disproportionately impacted</w:t>
            </w:r>
          </w:p>
          <w:p w14:paraId="4E346AD1" w14:textId="0E163B42" w:rsidR="00DA3220" w:rsidRPr="00DA3220" w:rsidRDefault="00DA3220" w:rsidP="006C05B1">
            <w:pPr>
              <w:pStyle w:val="BodyText-Numbered"/>
              <w:keepNext w:val="0"/>
              <w:rPr>
                <w:lang w:val="en-NZ"/>
              </w:rPr>
            </w:pPr>
            <w:r w:rsidRPr="00DA3220">
              <w:rPr>
                <w:lang w:val="en-NZ"/>
              </w:rPr>
              <w:t xml:space="preserve">For households that rely on </w:t>
            </w:r>
            <w:r w:rsidR="00DF6B13">
              <w:rPr>
                <w:lang w:val="en-NZ"/>
              </w:rPr>
              <w:t>g</w:t>
            </w:r>
            <w:r w:rsidRPr="00DA3220">
              <w:rPr>
                <w:lang w:val="en-NZ"/>
              </w:rPr>
              <w:t xml:space="preserve">overnment support and boarder income, these changes may make it harder to continue to afford their current accommodation arrangement. </w:t>
            </w:r>
            <w:r w:rsidR="00577746">
              <w:rPr>
                <w:lang w:val="en-NZ"/>
              </w:rPr>
              <w:t xml:space="preserve">A </w:t>
            </w:r>
            <w:r w:rsidR="00577746" w:rsidRPr="00577746">
              <w:rPr>
                <w:lang w:val="en-NZ"/>
              </w:rPr>
              <w:t xml:space="preserve">number of cohorts are likely to be disproportionately impacted, including Māori, Pacific peoples, older people, disabled people and </w:t>
            </w:r>
            <w:r w:rsidR="00C25978">
              <w:rPr>
                <w:lang w:val="en-NZ"/>
              </w:rPr>
              <w:t>young people</w:t>
            </w:r>
            <w:r w:rsidR="00577746" w:rsidRPr="00577746">
              <w:rPr>
                <w:lang w:val="en-NZ"/>
              </w:rPr>
              <w:t>.</w:t>
            </w:r>
            <w:r w:rsidR="00577746">
              <w:rPr>
                <w:lang w:val="en-NZ"/>
              </w:rPr>
              <w:t xml:space="preserve"> The </w:t>
            </w:r>
            <w:r w:rsidRPr="00DA3220">
              <w:rPr>
                <w:lang w:val="en-NZ"/>
              </w:rPr>
              <w:t xml:space="preserve">policy changes may </w:t>
            </w:r>
            <w:r w:rsidR="00577746">
              <w:rPr>
                <w:lang w:val="en-NZ"/>
              </w:rPr>
              <w:t xml:space="preserve">also </w:t>
            </w:r>
            <w:r w:rsidRPr="00DA3220">
              <w:rPr>
                <w:lang w:val="en-NZ"/>
              </w:rPr>
              <w:t>have negative implications for consistency with the Government’s obligations related to housing under the Treaty of Waitangi.</w:t>
            </w:r>
          </w:p>
          <w:p w14:paraId="61C341E1" w14:textId="17D8AD81" w:rsidR="00516171" w:rsidRPr="00516171" w:rsidRDefault="00516171" w:rsidP="006C05B1">
            <w:pPr>
              <w:rPr>
                <w:i/>
                <w:lang w:val="en-NZ"/>
              </w:rPr>
            </w:pPr>
            <w:r w:rsidRPr="00516171">
              <w:rPr>
                <w:i/>
                <w:lang w:val="en-NZ"/>
              </w:rPr>
              <w:t>There may be flow</w:t>
            </w:r>
            <w:r w:rsidR="0016681F">
              <w:rPr>
                <w:i/>
                <w:lang w:val="en-NZ"/>
              </w:rPr>
              <w:t>-</w:t>
            </w:r>
            <w:r w:rsidRPr="00516171">
              <w:rPr>
                <w:i/>
                <w:lang w:val="en-NZ"/>
              </w:rPr>
              <w:t>on impacts related to social housing</w:t>
            </w:r>
          </w:p>
          <w:p w14:paraId="1AC34DC0" w14:textId="77777777" w:rsidR="00516171" w:rsidRPr="00DB3B19" w:rsidRDefault="00516171" w:rsidP="006C05B1">
            <w:pPr>
              <w:pStyle w:val="BodyText-Numbered"/>
              <w:keepNext w:val="0"/>
              <w:rPr>
                <w:lang w:val="en-NZ"/>
              </w:rPr>
            </w:pPr>
            <w:r w:rsidRPr="00DB3B19">
              <w:rPr>
                <w:lang w:val="en-NZ"/>
              </w:rPr>
              <w:t>The risks associated with the modified IRR calculation include:</w:t>
            </w:r>
          </w:p>
          <w:p w14:paraId="518A7FA3" w14:textId="7E88D80E" w:rsidR="00516171" w:rsidRPr="00516171" w:rsidRDefault="00B5122C" w:rsidP="006C05B1">
            <w:pPr>
              <w:pStyle w:val="BodyText-Numbered"/>
              <w:keepNext w:val="0"/>
              <w:numPr>
                <w:ilvl w:val="2"/>
                <w:numId w:val="27"/>
              </w:numPr>
              <w:ind w:left="463" w:hanging="283"/>
              <w:rPr>
                <w:lang w:val="en-NZ"/>
              </w:rPr>
            </w:pPr>
            <w:r>
              <w:rPr>
                <w:lang w:val="en-NZ"/>
              </w:rPr>
              <w:t>i</w:t>
            </w:r>
            <w:r w:rsidRPr="00516171">
              <w:rPr>
                <w:lang w:val="en-NZ"/>
              </w:rPr>
              <w:t xml:space="preserve">ncreased </w:t>
            </w:r>
            <w:r w:rsidR="00516171" w:rsidRPr="00516171">
              <w:rPr>
                <w:lang w:val="en-NZ"/>
              </w:rPr>
              <w:t xml:space="preserve">tenancy reviews as some </w:t>
            </w:r>
            <w:r w:rsidR="00825FB1" w:rsidRPr="00825FB1">
              <w:rPr>
                <w:lang w:val="en-NZ"/>
              </w:rPr>
              <w:t>social housing</w:t>
            </w:r>
            <w:r w:rsidR="00516171" w:rsidRPr="00516171">
              <w:rPr>
                <w:lang w:val="en-NZ"/>
              </w:rPr>
              <w:t xml:space="preserve"> tenants may pay market rent due to this policy</w:t>
            </w:r>
          </w:p>
          <w:p w14:paraId="494F7598" w14:textId="3E0C12A3" w:rsidR="00516171" w:rsidRPr="00516171" w:rsidRDefault="00B5122C" w:rsidP="006C05B1">
            <w:pPr>
              <w:pStyle w:val="BodyText-Numbered"/>
              <w:keepNext w:val="0"/>
              <w:numPr>
                <w:ilvl w:val="2"/>
                <w:numId w:val="27"/>
              </w:numPr>
              <w:ind w:left="463" w:hanging="283"/>
              <w:rPr>
                <w:lang w:val="en-NZ"/>
              </w:rPr>
            </w:pPr>
            <w:r>
              <w:rPr>
                <w:lang w:val="en-NZ"/>
              </w:rPr>
              <w:t>i</w:t>
            </w:r>
            <w:r w:rsidRPr="00516171">
              <w:rPr>
                <w:lang w:val="en-NZ"/>
              </w:rPr>
              <w:t xml:space="preserve">ncreased </w:t>
            </w:r>
            <w:r w:rsidR="00516171" w:rsidRPr="00516171">
              <w:rPr>
                <w:lang w:val="en-NZ"/>
              </w:rPr>
              <w:t xml:space="preserve">demand for temporary housing if </w:t>
            </w:r>
            <w:r w:rsidR="00825FB1" w:rsidRPr="00825FB1">
              <w:rPr>
                <w:lang w:val="en-NZ"/>
              </w:rPr>
              <w:t>social housing</w:t>
            </w:r>
            <w:r w:rsidR="00516171" w:rsidRPr="00516171">
              <w:rPr>
                <w:lang w:val="en-NZ"/>
              </w:rPr>
              <w:t xml:space="preserve"> tenants choose not to take on boarders</w:t>
            </w:r>
            <w:r w:rsidR="00267560">
              <w:rPr>
                <w:lang w:val="en-NZ"/>
              </w:rPr>
              <w:t>, or to evict current boarder</w:t>
            </w:r>
            <w:r w:rsidR="008D0178">
              <w:rPr>
                <w:lang w:val="en-NZ"/>
              </w:rPr>
              <w:t>s</w:t>
            </w:r>
            <w:r w:rsidR="00EF0838">
              <w:rPr>
                <w:lang w:val="en-NZ"/>
              </w:rPr>
              <w:t>,</w:t>
            </w:r>
            <w:r w:rsidR="00F066EA">
              <w:rPr>
                <w:lang w:val="en-NZ"/>
              </w:rPr>
              <w:t xml:space="preserve"> </w:t>
            </w:r>
            <w:r w:rsidR="00516171" w:rsidRPr="00516171">
              <w:rPr>
                <w:lang w:val="en-NZ"/>
              </w:rPr>
              <w:t>in response to this policy</w:t>
            </w:r>
          </w:p>
          <w:p w14:paraId="085F18D8" w14:textId="11C5332B" w:rsidR="00516171" w:rsidRPr="00516171" w:rsidRDefault="00B5122C" w:rsidP="006C05B1">
            <w:pPr>
              <w:pStyle w:val="BodyText-Numbered"/>
              <w:keepNext w:val="0"/>
              <w:numPr>
                <w:ilvl w:val="2"/>
                <w:numId w:val="27"/>
              </w:numPr>
              <w:ind w:left="463" w:hanging="283"/>
              <w:rPr>
                <w:lang w:val="en-NZ"/>
              </w:rPr>
            </w:pPr>
            <w:r>
              <w:rPr>
                <w:lang w:val="en-NZ"/>
              </w:rPr>
              <w:t>r</w:t>
            </w:r>
            <w:r w:rsidRPr="00516171">
              <w:rPr>
                <w:lang w:val="en-NZ"/>
              </w:rPr>
              <w:t xml:space="preserve">educed </w:t>
            </w:r>
            <w:r w:rsidR="00516171" w:rsidRPr="00516171">
              <w:rPr>
                <w:lang w:val="en-NZ"/>
              </w:rPr>
              <w:t xml:space="preserve">savings from this initiative if some </w:t>
            </w:r>
            <w:r w:rsidR="00825FB1" w:rsidRPr="00825FB1">
              <w:rPr>
                <w:lang w:val="en-NZ"/>
              </w:rPr>
              <w:t>social housing</w:t>
            </w:r>
            <w:r w:rsidR="00516171" w:rsidRPr="00516171">
              <w:rPr>
                <w:lang w:val="en-NZ"/>
              </w:rPr>
              <w:t xml:space="preserve"> tenants stop </w:t>
            </w:r>
            <w:r w:rsidR="00A63F13">
              <w:rPr>
                <w:lang w:val="en-NZ"/>
              </w:rPr>
              <w:t xml:space="preserve">declaring </w:t>
            </w:r>
            <w:r w:rsidR="002F08F5">
              <w:rPr>
                <w:lang w:val="en-NZ"/>
              </w:rPr>
              <w:t>board</w:t>
            </w:r>
            <w:r w:rsidR="00963515">
              <w:rPr>
                <w:lang w:val="en-NZ"/>
              </w:rPr>
              <w:t xml:space="preserve"> payments received</w:t>
            </w:r>
            <w:r w:rsidR="00135662">
              <w:rPr>
                <w:lang w:val="en-NZ"/>
              </w:rPr>
              <w:t>.</w:t>
            </w:r>
          </w:p>
          <w:p w14:paraId="4348DB07" w14:textId="6018AEB3" w:rsidR="00516171" w:rsidRPr="00516171" w:rsidRDefault="00B5122C" w:rsidP="006C05B1">
            <w:pPr>
              <w:pStyle w:val="BodyText-Numbered"/>
              <w:keepNext w:val="0"/>
              <w:numPr>
                <w:ilvl w:val="2"/>
                <w:numId w:val="27"/>
              </w:numPr>
              <w:ind w:left="463" w:hanging="283"/>
              <w:rPr>
                <w:lang w:val="en-NZ"/>
              </w:rPr>
            </w:pPr>
            <w:r>
              <w:rPr>
                <w:lang w:val="en-NZ"/>
              </w:rPr>
              <w:t>i</w:t>
            </w:r>
            <w:r w:rsidRPr="00516171">
              <w:rPr>
                <w:lang w:val="en-NZ"/>
              </w:rPr>
              <w:t xml:space="preserve">ncreased </w:t>
            </w:r>
            <w:r w:rsidR="00516171" w:rsidRPr="00516171">
              <w:rPr>
                <w:lang w:val="en-NZ"/>
              </w:rPr>
              <w:t xml:space="preserve">hardship among </w:t>
            </w:r>
            <w:r w:rsidR="00825FB1" w:rsidRPr="00825FB1">
              <w:rPr>
                <w:lang w:val="en-NZ"/>
              </w:rPr>
              <w:t>social housing</w:t>
            </w:r>
            <w:r w:rsidR="00516171" w:rsidRPr="00516171">
              <w:rPr>
                <w:lang w:val="en-NZ"/>
              </w:rPr>
              <w:t xml:space="preserve"> tenants if their IRR increases.</w:t>
            </w:r>
          </w:p>
          <w:p w14:paraId="20FFB9FE" w14:textId="0A7A4533" w:rsidR="00376862" w:rsidRPr="00DB3B19" w:rsidRDefault="00376862" w:rsidP="006C05B1">
            <w:pPr>
              <w:pStyle w:val="BodyText-Numbered"/>
              <w:keepNext w:val="0"/>
              <w:rPr>
                <w:lang w:val="en-NZ"/>
              </w:rPr>
            </w:pPr>
            <w:r w:rsidRPr="00DB3B19">
              <w:rPr>
                <w:lang w:val="en-NZ"/>
              </w:rPr>
              <w:t xml:space="preserve">There was limited stakeholder engagement undertaken after Budget 2024 decisions were made by Cabinet to progress this initiative. </w:t>
            </w:r>
            <w:bookmarkStart w:id="20" w:name="_Hlk192595753"/>
            <w:r w:rsidR="00B55040">
              <w:rPr>
                <w:lang w:val="en-NZ"/>
              </w:rPr>
              <w:t>Stakeho</w:t>
            </w:r>
            <w:r w:rsidR="00E74490">
              <w:rPr>
                <w:lang w:val="en-NZ"/>
              </w:rPr>
              <w:t>lders</w:t>
            </w:r>
            <w:r w:rsidR="00B55040" w:rsidRPr="00B55040">
              <w:rPr>
                <w:lang w:val="en-NZ"/>
              </w:rPr>
              <w:t xml:space="preserve"> understood the Government had </w:t>
            </w:r>
            <w:r w:rsidR="00B55040" w:rsidRPr="00B55040">
              <w:rPr>
                <w:lang w:val="en-NZ"/>
              </w:rPr>
              <w:lastRenderedPageBreak/>
              <w:t>already decided policy changes would take place</w:t>
            </w:r>
            <w:r w:rsidR="00E74490">
              <w:rPr>
                <w:lang w:val="en-NZ"/>
              </w:rPr>
              <w:t>, however,</w:t>
            </w:r>
            <w:r w:rsidR="00B55040" w:rsidRPr="00B55040">
              <w:rPr>
                <w:lang w:val="en-NZ"/>
              </w:rPr>
              <w:t xml:space="preserve"> </w:t>
            </w:r>
            <w:r w:rsidRPr="00DB3B19">
              <w:rPr>
                <w:lang w:val="en-NZ"/>
              </w:rPr>
              <w:t xml:space="preserve">the feedback received from stakeholder groups was broadly critical.  </w:t>
            </w:r>
            <w:bookmarkEnd w:id="20"/>
          </w:p>
          <w:p w14:paraId="678BB70B" w14:textId="524B68A1" w:rsidR="0099101B" w:rsidRPr="00DB3B19" w:rsidRDefault="0099101B" w:rsidP="006C05B1">
            <w:pPr>
              <w:pStyle w:val="BodyText-Numbered"/>
              <w:keepNext w:val="0"/>
              <w:rPr>
                <w:b/>
                <w:bCs/>
                <w:lang w:val="en-NZ"/>
              </w:rPr>
            </w:pPr>
            <w:r w:rsidRPr="36F828A6">
              <w:rPr>
                <w:b/>
                <w:bCs/>
                <w:lang w:val="en-NZ"/>
              </w:rPr>
              <w:t xml:space="preserve">The implementation of these policy changes will occur through a two-stage </w:t>
            </w:r>
            <w:r w:rsidR="61930F3F" w:rsidRPr="36F828A6">
              <w:rPr>
                <w:b/>
                <w:bCs/>
                <w:lang w:val="en-NZ"/>
              </w:rPr>
              <w:t>phase</w:t>
            </w:r>
            <w:r w:rsidR="7047C9EF" w:rsidRPr="36F828A6">
              <w:rPr>
                <w:b/>
                <w:bCs/>
                <w:lang w:val="en-NZ"/>
              </w:rPr>
              <w:t xml:space="preserve"> </w:t>
            </w:r>
            <w:r w:rsidRPr="36F828A6">
              <w:rPr>
                <w:b/>
                <w:bCs/>
                <w:lang w:val="en-NZ"/>
              </w:rPr>
              <w:t>approach</w:t>
            </w:r>
          </w:p>
          <w:p w14:paraId="75FA0F96" w14:textId="3969E409" w:rsidR="0099101B" w:rsidRPr="00DB3B19" w:rsidRDefault="0099101B" w:rsidP="006C05B1">
            <w:pPr>
              <w:pStyle w:val="BodyText-Numbered"/>
              <w:keepNext w:val="0"/>
              <w:rPr>
                <w:lang w:val="en-NZ"/>
              </w:rPr>
            </w:pPr>
            <w:r w:rsidRPr="36F828A6">
              <w:rPr>
                <w:lang w:val="en-NZ"/>
              </w:rPr>
              <w:t xml:space="preserve">The first phase </w:t>
            </w:r>
            <w:r w:rsidR="00210EFF" w:rsidRPr="36F828A6">
              <w:rPr>
                <w:lang w:val="en-NZ"/>
              </w:rPr>
              <w:t>provides for</w:t>
            </w:r>
            <w:r w:rsidRPr="36F828A6">
              <w:rPr>
                <w:lang w:val="en-NZ"/>
              </w:rPr>
              <w:t xml:space="preserve"> information collection, and the second </w:t>
            </w:r>
            <w:r w:rsidR="0A6A10E0" w:rsidRPr="36F828A6">
              <w:rPr>
                <w:lang w:val="en-NZ"/>
              </w:rPr>
              <w:t xml:space="preserve">phase </w:t>
            </w:r>
            <w:r w:rsidRPr="36F828A6">
              <w:rPr>
                <w:lang w:val="en-NZ"/>
              </w:rPr>
              <w:t xml:space="preserve">is the policy implementation. </w:t>
            </w:r>
          </w:p>
          <w:p w14:paraId="1534F198" w14:textId="545FF724" w:rsidR="0099101B" w:rsidRPr="0099101B" w:rsidRDefault="0099101B" w:rsidP="006C05B1">
            <w:pPr>
              <w:pStyle w:val="BodyText-Numbered"/>
              <w:keepNext w:val="0"/>
              <w:rPr>
                <w:lang w:val="en-NZ"/>
              </w:rPr>
            </w:pPr>
            <w:r w:rsidRPr="0099101B">
              <w:rPr>
                <w:lang w:val="en-NZ"/>
              </w:rPr>
              <w:t>The first phase will begin in mid-2025</w:t>
            </w:r>
            <w:r w:rsidR="003C5E16">
              <w:rPr>
                <w:lang w:val="en-NZ"/>
              </w:rPr>
              <w:t>, upon the Bill being enacted,</w:t>
            </w:r>
            <w:r w:rsidRPr="0099101B">
              <w:rPr>
                <w:lang w:val="en-NZ"/>
              </w:rPr>
              <w:t xml:space="preserve"> </w:t>
            </w:r>
            <w:r w:rsidR="0011320C">
              <w:rPr>
                <w:lang w:val="en-NZ"/>
              </w:rPr>
              <w:t>and</w:t>
            </w:r>
            <w:r w:rsidRPr="0099101B" w:rsidDel="00C95735">
              <w:rPr>
                <w:lang w:val="en-NZ"/>
              </w:rPr>
              <w:t xml:space="preserve"> </w:t>
            </w:r>
            <w:r w:rsidR="00480C8D">
              <w:rPr>
                <w:lang w:val="en-NZ"/>
              </w:rPr>
              <w:t>will utilise</w:t>
            </w:r>
            <w:r w:rsidRPr="0099101B">
              <w:rPr>
                <w:lang w:val="en-NZ"/>
              </w:rPr>
              <w:t xml:space="preserve"> existing client engagements (such as annual reviews) to gather boarder and renter information. This information will be collected from clients, stored, and maintained until payments are reassessed in early 2026. Household circumstances for boarders can frequently change, so staff will need to keep the records up to date as new information is received. During phase one</w:t>
            </w:r>
            <w:r w:rsidR="00EF7AF8">
              <w:rPr>
                <w:lang w:val="en-NZ"/>
              </w:rPr>
              <w:t>,</w:t>
            </w:r>
            <w:r w:rsidRPr="0099101B">
              <w:rPr>
                <w:lang w:val="en-NZ"/>
              </w:rPr>
              <w:t xml:space="preserve"> correspondence will be sent to clients who are most likely to be affected</w:t>
            </w:r>
            <w:r w:rsidR="00213D64">
              <w:rPr>
                <w:lang w:val="en-NZ"/>
              </w:rPr>
              <w:t>. C</w:t>
            </w:r>
            <w:r w:rsidRPr="0099101B">
              <w:rPr>
                <w:lang w:val="en-NZ"/>
              </w:rPr>
              <w:t xml:space="preserve">ommunications will </w:t>
            </w:r>
            <w:r w:rsidR="00213D64">
              <w:rPr>
                <w:lang w:val="en-NZ"/>
              </w:rPr>
              <w:t xml:space="preserve">also </w:t>
            </w:r>
            <w:r w:rsidRPr="0099101B">
              <w:rPr>
                <w:lang w:val="en-NZ"/>
              </w:rPr>
              <w:t>occur to raise general awareness of the changes</w:t>
            </w:r>
            <w:r w:rsidR="036597F8" w:rsidRPr="05D53EA2">
              <w:rPr>
                <w:lang w:val="en-NZ"/>
              </w:rPr>
              <w:t>, so that affected clients know to declare their household circumstances to MSD online</w:t>
            </w:r>
            <w:r w:rsidR="00213D64">
              <w:rPr>
                <w:lang w:val="en-NZ"/>
              </w:rPr>
              <w:t>,</w:t>
            </w:r>
            <w:r w:rsidR="036597F8" w:rsidRPr="05D53EA2">
              <w:rPr>
                <w:lang w:val="en-NZ"/>
              </w:rPr>
              <w:t xml:space="preserve"> through MyMSD</w:t>
            </w:r>
            <w:r w:rsidRPr="05D53EA2">
              <w:rPr>
                <w:lang w:val="en-NZ"/>
              </w:rPr>
              <w:t>.</w:t>
            </w:r>
          </w:p>
          <w:p w14:paraId="2B2510B0" w14:textId="424DCE14" w:rsidR="0099101B" w:rsidRPr="00DB3B19" w:rsidRDefault="0099101B" w:rsidP="006C05B1">
            <w:pPr>
              <w:pStyle w:val="BodyText-Numbered"/>
              <w:keepNext w:val="0"/>
              <w:rPr>
                <w:lang w:val="en-NZ"/>
              </w:rPr>
            </w:pPr>
            <w:r w:rsidRPr="6C91EDF9">
              <w:rPr>
                <w:lang w:val="en-NZ"/>
              </w:rPr>
              <w:t>Phase two is to be implemented from when the legislation comes into effect</w:t>
            </w:r>
            <w:r w:rsidR="00253DC9" w:rsidRPr="6C91EDF9">
              <w:rPr>
                <w:lang w:val="en-NZ"/>
              </w:rPr>
              <w:t xml:space="preserve"> on 2 March 2026</w:t>
            </w:r>
            <w:r w:rsidRPr="6C91EDF9">
              <w:rPr>
                <w:lang w:val="en-NZ"/>
              </w:rPr>
              <w:t xml:space="preserve">. Phase two will include notifying the clients that are impacted by the changes </w:t>
            </w:r>
            <w:r w:rsidR="437B044B" w:rsidRPr="6C91EDF9">
              <w:rPr>
                <w:lang w:val="en-NZ"/>
              </w:rPr>
              <w:t>prior to</w:t>
            </w:r>
            <w:r w:rsidRPr="6C91EDF9">
              <w:rPr>
                <w:lang w:val="en-NZ"/>
              </w:rPr>
              <w:t xml:space="preserve"> reassessing </w:t>
            </w:r>
            <w:r w:rsidR="0A70CF9F" w:rsidRPr="6C91EDF9">
              <w:rPr>
                <w:lang w:val="en-NZ"/>
              </w:rPr>
              <w:t>their</w:t>
            </w:r>
            <w:r w:rsidRPr="6C91EDF9">
              <w:rPr>
                <w:lang w:val="en-NZ"/>
              </w:rPr>
              <w:t xml:space="preserve"> payments, </w:t>
            </w:r>
            <w:r w:rsidR="00C561A0" w:rsidRPr="6C91EDF9">
              <w:rPr>
                <w:lang w:val="en-NZ"/>
              </w:rPr>
              <w:t>and</w:t>
            </w:r>
            <w:r w:rsidRPr="6C91EDF9">
              <w:rPr>
                <w:lang w:val="en-NZ"/>
              </w:rPr>
              <w:t xml:space="preserve"> completing any transitional arrangements, and </w:t>
            </w:r>
            <w:r w:rsidR="5C8A42BE" w:rsidRPr="6C91EDF9">
              <w:rPr>
                <w:lang w:val="en-NZ"/>
              </w:rPr>
              <w:t>annual housing</w:t>
            </w:r>
            <w:r w:rsidRPr="6C91EDF9">
              <w:rPr>
                <w:lang w:val="en-NZ"/>
              </w:rPr>
              <w:t xml:space="preserve"> reviews for </w:t>
            </w:r>
            <w:r w:rsidR="00373F2B" w:rsidRPr="6C91EDF9">
              <w:rPr>
                <w:lang w:val="en-NZ"/>
              </w:rPr>
              <w:t>social housing</w:t>
            </w:r>
            <w:r w:rsidRPr="6C91EDF9">
              <w:rPr>
                <w:lang w:val="en-NZ"/>
              </w:rPr>
              <w:t xml:space="preserve"> tenants will begin to include the housing contributions from </w:t>
            </w:r>
            <w:r w:rsidR="144D13F4" w:rsidRPr="6C91EDF9">
              <w:rPr>
                <w:lang w:val="en-NZ"/>
              </w:rPr>
              <w:t>all</w:t>
            </w:r>
            <w:r w:rsidRPr="6C91EDF9">
              <w:rPr>
                <w:lang w:val="en-NZ"/>
              </w:rPr>
              <w:t xml:space="preserve"> boarders when considering their eligibility for social housing.</w:t>
            </w:r>
          </w:p>
          <w:p w14:paraId="6002F733" w14:textId="76B51F47" w:rsidR="0099101B" w:rsidRPr="0099101B" w:rsidRDefault="00200078" w:rsidP="006C05B1">
            <w:pPr>
              <w:pStyle w:val="BodyText-Numbered"/>
              <w:keepNext w:val="0"/>
              <w:rPr>
                <w:lang w:val="en-NZ"/>
              </w:rPr>
            </w:pPr>
            <w:r>
              <w:rPr>
                <w:lang w:val="en-NZ"/>
              </w:rPr>
              <w:t xml:space="preserve">Where </w:t>
            </w:r>
            <w:r w:rsidR="00FA106A">
              <w:rPr>
                <w:lang w:val="en-NZ"/>
              </w:rPr>
              <w:t>a social housing</w:t>
            </w:r>
            <w:r>
              <w:rPr>
                <w:lang w:val="en-NZ"/>
              </w:rPr>
              <w:t xml:space="preserve"> tenant is receiving payments from </w:t>
            </w:r>
            <w:r w:rsidR="00DD75D9">
              <w:rPr>
                <w:lang w:val="en-NZ"/>
              </w:rPr>
              <w:t xml:space="preserve">a </w:t>
            </w:r>
            <w:r>
              <w:rPr>
                <w:lang w:val="en-NZ"/>
              </w:rPr>
              <w:t>boarder</w:t>
            </w:r>
            <w:r w:rsidR="00DD75D9">
              <w:rPr>
                <w:lang w:val="en-NZ"/>
              </w:rPr>
              <w:t>(</w:t>
            </w:r>
            <w:r>
              <w:rPr>
                <w:lang w:val="en-NZ"/>
              </w:rPr>
              <w:t>s</w:t>
            </w:r>
            <w:r w:rsidR="00DD75D9">
              <w:rPr>
                <w:lang w:val="en-NZ"/>
              </w:rPr>
              <w:t>)</w:t>
            </w:r>
            <w:r>
              <w:rPr>
                <w:lang w:val="en-NZ"/>
              </w:rPr>
              <w:t xml:space="preserve">, </w:t>
            </w:r>
            <w:r w:rsidR="0099101B" w:rsidRPr="0099101B">
              <w:rPr>
                <w:lang w:val="en-NZ"/>
              </w:rPr>
              <w:t xml:space="preserve">their IRR will </w:t>
            </w:r>
            <w:r>
              <w:rPr>
                <w:lang w:val="en-NZ"/>
              </w:rPr>
              <w:t>be recalculated</w:t>
            </w:r>
            <w:r w:rsidRPr="0099101B">
              <w:rPr>
                <w:lang w:val="en-NZ"/>
              </w:rPr>
              <w:t xml:space="preserve"> </w:t>
            </w:r>
            <w:r w:rsidR="0099101B" w:rsidRPr="0099101B">
              <w:rPr>
                <w:lang w:val="en-NZ"/>
              </w:rPr>
              <w:t>at the time of their annual review</w:t>
            </w:r>
            <w:r>
              <w:rPr>
                <w:lang w:val="en-NZ"/>
              </w:rPr>
              <w:t>,</w:t>
            </w:r>
            <w:r w:rsidR="0099101B" w:rsidRPr="0099101B">
              <w:rPr>
                <w:lang w:val="en-NZ"/>
              </w:rPr>
              <w:t xml:space="preserve"> or their next change in circumstances, whichever comes first. This is because </w:t>
            </w:r>
            <w:r w:rsidR="00FA106A">
              <w:rPr>
                <w:lang w:val="en-NZ"/>
              </w:rPr>
              <w:t>a social housing</w:t>
            </w:r>
            <w:r w:rsidR="0099101B" w:rsidRPr="0099101B">
              <w:rPr>
                <w:lang w:val="en-NZ"/>
              </w:rPr>
              <w:t xml:space="preserve"> tenant’s IRR can only be increased when the tenant has a change in circumstances</w:t>
            </w:r>
            <w:r w:rsidR="00FA106A">
              <w:rPr>
                <w:lang w:val="en-NZ"/>
              </w:rPr>
              <w:t>,</w:t>
            </w:r>
            <w:r w:rsidR="0099101B" w:rsidRPr="0099101B">
              <w:rPr>
                <w:lang w:val="en-NZ"/>
              </w:rPr>
              <w:t xml:space="preserve"> or at their annual review (not when a policy change is implemented).</w:t>
            </w:r>
            <w:r w:rsidR="00E717B9">
              <w:rPr>
                <w:rStyle w:val="FootnoteReference"/>
                <w:lang w:val="en-NZ"/>
              </w:rPr>
              <w:footnoteReference w:id="7"/>
            </w:r>
          </w:p>
          <w:p w14:paraId="17EDBFF3" w14:textId="77777777" w:rsidR="00C7191F" w:rsidRPr="00C7191F" w:rsidRDefault="00C7191F" w:rsidP="006C05B1">
            <w:pPr>
              <w:pStyle w:val="BodyText-Numbered"/>
              <w:keepNext w:val="0"/>
              <w:rPr>
                <w:b/>
                <w:lang w:val="en-NZ"/>
              </w:rPr>
            </w:pPr>
            <w:r w:rsidRPr="00C7191F">
              <w:rPr>
                <w:b/>
                <w:lang w:val="en-NZ"/>
              </w:rPr>
              <w:t>Monitoring, reporting and measuring outcomes</w:t>
            </w:r>
          </w:p>
          <w:p w14:paraId="32A1256D" w14:textId="58E103C4" w:rsidR="000132F6" w:rsidRPr="00A864A5" w:rsidRDefault="00F038E5" w:rsidP="006C05B1">
            <w:pPr>
              <w:pStyle w:val="BodyText-Numbered"/>
              <w:keepNext w:val="0"/>
              <w:rPr>
                <w:lang w:val="en-NZ"/>
              </w:rPr>
            </w:pPr>
            <w:r>
              <w:rPr>
                <w:lang w:val="en-NZ"/>
              </w:rPr>
              <w:t xml:space="preserve">MSD will </w:t>
            </w:r>
            <w:r w:rsidR="00EC4CF9">
              <w:rPr>
                <w:lang w:val="en-NZ"/>
              </w:rPr>
              <w:t>track the savings realised</w:t>
            </w:r>
            <w:r w:rsidR="005A531C">
              <w:rPr>
                <w:lang w:val="en-NZ"/>
              </w:rPr>
              <w:t xml:space="preserve"> on housing subsidies</w:t>
            </w:r>
            <w:r w:rsidR="0002254B">
              <w:rPr>
                <w:lang w:val="en-NZ"/>
              </w:rPr>
              <w:t xml:space="preserve"> and </w:t>
            </w:r>
            <w:r w:rsidR="00EC4CF9">
              <w:rPr>
                <w:lang w:val="en-NZ"/>
              </w:rPr>
              <w:t xml:space="preserve">the impacts on </w:t>
            </w:r>
            <w:r w:rsidR="0002254B">
              <w:rPr>
                <w:lang w:val="en-NZ"/>
              </w:rPr>
              <w:t>affected population</w:t>
            </w:r>
            <w:r w:rsidR="001C6C20">
              <w:rPr>
                <w:lang w:val="en-NZ"/>
              </w:rPr>
              <w:t xml:space="preserve"> </w:t>
            </w:r>
            <w:r w:rsidR="00EC4CF9">
              <w:rPr>
                <w:lang w:val="en-NZ"/>
              </w:rPr>
              <w:t>groups.</w:t>
            </w:r>
            <w:r w:rsidR="00BD05EA">
              <w:rPr>
                <w:lang w:val="en-NZ"/>
              </w:rPr>
              <w:t xml:space="preserve"> MSD will also provide updates to relevant Ministers and report back to the Treasury on the </w:t>
            </w:r>
            <w:r w:rsidR="000B2ADE">
              <w:rPr>
                <w:lang w:val="en-NZ"/>
              </w:rPr>
              <w:t>outcomes of this initiative.</w:t>
            </w:r>
          </w:p>
        </w:tc>
      </w:tr>
      <w:tr w:rsidR="00A27270" w:rsidRPr="00A864A5" w14:paraId="42ED5650" w14:textId="77777777" w:rsidTr="6C91EDF9">
        <w:tc>
          <w:tcPr>
            <w:tcW w:w="5000" w:type="pct"/>
            <w:gridSpan w:val="2"/>
            <w:tcBorders>
              <w:bottom w:val="single" w:sz="4" w:space="0" w:color="DDDDDD"/>
            </w:tcBorders>
            <w:shd w:val="clear" w:color="auto" w:fill="99CDDD"/>
            <w:hideMark/>
          </w:tcPr>
          <w:p w14:paraId="195A9405" w14:textId="74F1F41C" w:rsidR="00E8143E" w:rsidRPr="003934C8" w:rsidRDefault="00E8143E" w:rsidP="006C05B1">
            <w:pPr>
              <w:pStyle w:val="BodyText-Numbered"/>
              <w:keepNext w:val="0"/>
              <w:rPr>
                <w:b/>
                <w:bCs/>
                <w:sz w:val="24"/>
                <w:szCs w:val="22"/>
                <w:lang w:val="en-NZ"/>
              </w:rPr>
            </w:pPr>
            <w:bookmarkStart w:id="21" w:name="_Hlk57203483"/>
            <w:bookmarkEnd w:id="15"/>
            <w:bookmarkEnd w:id="16"/>
            <w:r w:rsidRPr="003934C8">
              <w:rPr>
                <w:b/>
                <w:bCs/>
                <w:sz w:val="24"/>
                <w:szCs w:val="22"/>
                <w:lang w:val="en-NZ"/>
              </w:rPr>
              <w:lastRenderedPageBreak/>
              <w:t xml:space="preserve">Limitations </w:t>
            </w:r>
            <w:r w:rsidR="003F775E" w:rsidRPr="003934C8">
              <w:rPr>
                <w:b/>
                <w:bCs/>
                <w:sz w:val="24"/>
                <w:szCs w:val="22"/>
                <w:lang w:val="en-NZ"/>
              </w:rPr>
              <w:t>and</w:t>
            </w:r>
            <w:r w:rsidRPr="003934C8">
              <w:rPr>
                <w:b/>
                <w:bCs/>
                <w:sz w:val="24"/>
                <w:szCs w:val="22"/>
                <w:lang w:val="en-NZ"/>
              </w:rPr>
              <w:t xml:space="preserve"> Constraints on Analysis</w:t>
            </w:r>
          </w:p>
        </w:tc>
      </w:tr>
      <w:tr w:rsidR="00E8143E" w:rsidRPr="00A864A5" w14:paraId="2E89EDEC" w14:textId="77777777" w:rsidTr="6C91EDF9">
        <w:trPr>
          <w:trHeight w:val="978"/>
        </w:trPr>
        <w:tc>
          <w:tcPr>
            <w:tcW w:w="5000" w:type="pct"/>
            <w:gridSpan w:val="2"/>
            <w:tcBorders>
              <w:top w:val="nil"/>
            </w:tcBorders>
            <w:shd w:val="clear" w:color="auto" w:fill="auto"/>
          </w:tcPr>
          <w:p w14:paraId="5E10E4C1" w14:textId="4E1620D0" w:rsidR="00AE39B0" w:rsidRDefault="00AE39B0" w:rsidP="006C05B1">
            <w:pPr>
              <w:rPr>
                <w:i/>
                <w:iCs/>
                <w:color w:val="000000"/>
                <w:lang w:val="en-NZ"/>
              </w:rPr>
            </w:pPr>
            <w:r w:rsidRPr="00AE39B0">
              <w:rPr>
                <w:i/>
                <w:iCs/>
                <w:color w:val="000000"/>
                <w:lang w:val="en-NZ"/>
              </w:rPr>
              <w:t xml:space="preserve">Ministers </w:t>
            </w:r>
            <w:r w:rsidR="0060799C">
              <w:rPr>
                <w:i/>
                <w:iCs/>
                <w:color w:val="000000"/>
                <w:lang w:val="en-NZ"/>
              </w:rPr>
              <w:t xml:space="preserve">have </w:t>
            </w:r>
            <w:r w:rsidRPr="00AE39B0">
              <w:rPr>
                <w:i/>
                <w:iCs/>
                <w:color w:val="000000"/>
                <w:lang w:val="en-NZ"/>
              </w:rPr>
              <w:t>made decisions about</w:t>
            </w:r>
            <w:r>
              <w:rPr>
                <w:i/>
                <w:iCs/>
                <w:color w:val="000000"/>
                <w:lang w:val="en-NZ"/>
              </w:rPr>
              <w:t xml:space="preserve"> the boarders’ contribution</w:t>
            </w:r>
            <w:r w:rsidR="00847398">
              <w:rPr>
                <w:i/>
                <w:iCs/>
                <w:color w:val="000000"/>
                <w:lang w:val="en-NZ"/>
              </w:rPr>
              <w:t>s</w:t>
            </w:r>
            <w:r>
              <w:rPr>
                <w:i/>
                <w:iCs/>
                <w:color w:val="000000"/>
                <w:lang w:val="en-NZ"/>
              </w:rPr>
              <w:t xml:space="preserve"> initiative </w:t>
            </w:r>
            <w:r w:rsidR="00A64FE8">
              <w:rPr>
                <w:i/>
                <w:iCs/>
                <w:color w:val="000000"/>
                <w:lang w:val="en-NZ"/>
              </w:rPr>
              <w:t>through Budget 2024</w:t>
            </w:r>
          </w:p>
          <w:p w14:paraId="42762023" w14:textId="37B5D6B3" w:rsidR="00A90DF8" w:rsidRPr="00415F75" w:rsidRDefault="00986EF5" w:rsidP="006C05B1">
            <w:pPr>
              <w:pStyle w:val="BodyText-Numbered"/>
              <w:keepNext w:val="0"/>
              <w:numPr>
                <w:ilvl w:val="0"/>
                <w:numId w:val="25"/>
              </w:numPr>
              <w:rPr>
                <w:lang w:val="en-NZ"/>
              </w:rPr>
            </w:pPr>
            <w:r w:rsidRPr="00415F75">
              <w:rPr>
                <w:lang w:val="en-NZ"/>
              </w:rPr>
              <w:t xml:space="preserve">This policy change was a Budget 2024 </w:t>
            </w:r>
            <w:r w:rsidR="00C22374" w:rsidRPr="00415F75">
              <w:rPr>
                <w:lang w:val="en-NZ"/>
              </w:rPr>
              <w:t>cost savings</w:t>
            </w:r>
            <w:r w:rsidRPr="00415F75">
              <w:rPr>
                <w:lang w:val="en-NZ"/>
              </w:rPr>
              <w:t xml:space="preserve"> initiative</w:t>
            </w:r>
            <w:r w:rsidR="626D436D" w:rsidRPr="32CD03B4">
              <w:rPr>
                <w:lang w:val="en-NZ"/>
              </w:rPr>
              <w:t>.</w:t>
            </w:r>
            <w:r w:rsidR="000A1B40">
              <w:rPr>
                <w:lang w:val="en-NZ"/>
              </w:rPr>
              <w:t xml:space="preserve"> </w:t>
            </w:r>
            <w:r w:rsidR="56B0F4CF" w:rsidRPr="32CD03B4">
              <w:rPr>
                <w:lang w:val="en-NZ"/>
              </w:rPr>
              <w:t xml:space="preserve">This </w:t>
            </w:r>
            <w:r w:rsidR="009E4304" w:rsidRPr="00415F75">
              <w:rPr>
                <w:lang w:val="en-NZ"/>
              </w:rPr>
              <w:t xml:space="preserve">constrained the level of analysis </w:t>
            </w:r>
            <w:r w:rsidR="00A73153" w:rsidRPr="00415F75">
              <w:rPr>
                <w:lang w:val="en-NZ"/>
              </w:rPr>
              <w:t>officials were able to provide ahead of Cabinet decision</w:t>
            </w:r>
            <w:r w:rsidR="008A4BB7">
              <w:rPr>
                <w:lang w:val="en-NZ"/>
              </w:rPr>
              <w:t>s</w:t>
            </w:r>
            <w:r w:rsidR="00A73153" w:rsidRPr="00415F75">
              <w:rPr>
                <w:lang w:val="en-NZ"/>
              </w:rPr>
              <w:t>.</w:t>
            </w:r>
            <w:r w:rsidR="008A4BB7">
              <w:rPr>
                <w:lang w:val="en-NZ"/>
              </w:rPr>
              <w:t xml:space="preserve"> </w:t>
            </w:r>
            <w:r w:rsidR="008A4BB7">
              <w:rPr>
                <w:color w:val="000000" w:themeColor="text1"/>
                <w:lang w:val="en-NZ"/>
              </w:rPr>
              <w:t>It</w:t>
            </w:r>
            <w:r w:rsidR="008A4BB7" w:rsidRPr="5465D33A">
              <w:rPr>
                <w:color w:val="000000" w:themeColor="text1"/>
                <w:lang w:val="en-NZ"/>
              </w:rPr>
              <w:t xml:space="preserve"> was not possible to provide </w:t>
            </w:r>
            <w:r w:rsidR="00E92CFC">
              <w:rPr>
                <w:color w:val="000000" w:themeColor="text1"/>
                <w:lang w:val="en-NZ"/>
              </w:rPr>
              <w:t xml:space="preserve">a </w:t>
            </w:r>
            <w:r w:rsidR="008A4BB7">
              <w:rPr>
                <w:color w:val="000000" w:themeColor="text1"/>
                <w:lang w:val="en-NZ"/>
              </w:rPr>
              <w:t xml:space="preserve">detailed impact analysis ahead of </w:t>
            </w:r>
            <w:r w:rsidR="00EC47FF">
              <w:rPr>
                <w:color w:val="000000" w:themeColor="text1"/>
                <w:lang w:val="en-NZ"/>
              </w:rPr>
              <w:t xml:space="preserve">the </w:t>
            </w:r>
            <w:r w:rsidR="008A4BB7">
              <w:rPr>
                <w:color w:val="000000" w:themeColor="text1"/>
                <w:lang w:val="en-NZ"/>
              </w:rPr>
              <w:t xml:space="preserve">overarching </w:t>
            </w:r>
            <w:r w:rsidR="008A4BB7" w:rsidRPr="003066D2">
              <w:rPr>
                <w:color w:val="000000" w:themeColor="text1"/>
                <w:lang w:val="en-NZ"/>
              </w:rPr>
              <w:t>policy decisions.</w:t>
            </w:r>
          </w:p>
          <w:p w14:paraId="4FE642EC" w14:textId="129963B7" w:rsidR="006439AD" w:rsidRDefault="0076030F" w:rsidP="006C05B1">
            <w:pPr>
              <w:pStyle w:val="BodyText-Numbered"/>
              <w:keepNext w:val="0"/>
              <w:numPr>
                <w:ilvl w:val="0"/>
                <w:numId w:val="25"/>
              </w:numPr>
              <w:rPr>
                <w:lang w:val="en-NZ"/>
              </w:rPr>
            </w:pPr>
            <w:r w:rsidRPr="00415F75">
              <w:rPr>
                <w:lang w:val="en-NZ"/>
              </w:rPr>
              <w:t xml:space="preserve">On </w:t>
            </w:r>
            <w:r w:rsidR="006B45A2">
              <w:rPr>
                <w:lang w:val="en-NZ"/>
              </w:rPr>
              <w:t>29 April</w:t>
            </w:r>
            <w:r w:rsidR="00932B94" w:rsidRPr="00415F75">
              <w:rPr>
                <w:lang w:val="en-NZ"/>
              </w:rPr>
              <w:t xml:space="preserve"> 2024, Cabinet agreed </w:t>
            </w:r>
            <w:r w:rsidR="00775223" w:rsidRPr="00415F75">
              <w:rPr>
                <w:lang w:val="en-NZ"/>
              </w:rPr>
              <w:t xml:space="preserve">to count the housing contribution from all boarders in the assessment of housing </w:t>
            </w:r>
            <w:r w:rsidR="00874D3F" w:rsidRPr="00415F75">
              <w:rPr>
                <w:lang w:val="en-NZ"/>
              </w:rPr>
              <w:t>subsidies.</w:t>
            </w:r>
            <w:r w:rsidR="00884862" w:rsidRPr="00415F75">
              <w:rPr>
                <w:lang w:val="en-NZ"/>
              </w:rPr>
              <w:t xml:space="preserve"> </w:t>
            </w:r>
            <w:r w:rsidR="00866A4A" w:rsidRPr="00415F75">
              <w:rPr>
                <w:lang w:val="en-NZ"/>
              </w:rPr>
              <w:t xml:space="preserve">Cabinet also </w:t>
            </w:r>
            <w:r w:rsidR="006353D3" w:rsidRPr="00415F75">
              <w:rPr>
                <w:lang w:val="en-NZ"/>
              </w:rPr>
              <w:t>authorised the Minister for Social Development and Employment, the Associate Minister of Housing</w:t>
            </w:r>
            <w:r w:rsidR="00F74993" w:rsidRPr="00415F75">
              <w:rPr>
                <w:lang w:val="en-NZ"/>
              </w:rPr>
              <w:t>,</w:t>
            </w:r>
            <w:r w:rsidR="006353D3" w:rsidRPr="00415F75">
              <w:rPr>
                <w:lang w:val="en-NZ"/>
              </w:rPr>
              <w:t xml:space="preserve"> and other Ministers as appropriate</w:t>
            </w:r>
            <w:r w:rsidR="00FF4D80" w:rsidRPr="00415F75">
              <w:rPr>
                <w:lang w:val="en-NZ"/>
              </w:rPr>
              <w:t xml:space="preserve"> to make final decisions on the </w:t>
            </w:r>
            <w:r w:rsidR="006439AD" w:rsidRPr="00415F75">
              <w:rPr>
                <w:lang w:val="en-NZ"/>
              </w:rPr>
              <w:t>details</w:t>
            </w:r>
            <w:r w:rsidR="006353D3" w:rsidRPr="00415F75">
              <w:rPr>
                <w:lang w:val="en-NZ"/>
              </w:rPr>
              <w:t xml:space="preserve"> </w:t>
            </w:r>
            <w:r w:rsidR="006439AD" w:rsidRPr="00415F75">
              <w:rPr>
                <w:lang w:val="en-NZ"/>
              </w:rPr>
              <w:t>of the policy change</w:t>
            </w:r>
            <w:r w:rsidR="00FB12BC">
              <w:rPr>
                <w:lang w:val="en-NZ"/>
              </w:rPr>
              <w:t>s</w:t>
            </w:r>
            <w:r w:rsidR="00125406">
              <w:rPr>
                <w:lang w:val="en-NZ"/>
              </w:rPr>
              <w:t xml:space="preserve"> </w:t>
            </w:r>
            <w:r w:rsidR="00125406" w:rsidRPr="00125406">
              <w:rPr>
                <w:lang w:val="en-NZ"/>
              </w:rPr>
              <w:t>[CAB-24-MIN-0148.</w:t>
            </w:r>
            <w:r w:rsidR="00D217E4" w:rsidRPr="00125406">
              <w:rPr>
                <w:lang w:val="en-NZ"/>
              </w:rPr>
              <w:t>74</w:t>
            </w:r>
            <w:r w:rsidR="00D217E4">
              <w:rPr>
                <w:lang w:val="en-NZ"/>
              </w:rPr>
              <w:t xml:space="preserve"> </w:t>
            </w:r>
            <w:r w:rsidR="00D217E4" w:rsidRPr="00125406">
              <w:rPr>
                <w:lang w:val="en-NZ"/>
              </w:rPr>
              <w:t>refers</w:t>
            </w:r>
            <w:r w:rsidR="00125406" w:rsidRPr="00125406">
              <w:rPr>
                <w:lang w:val="en-NZ"/>
              </w:rPr>
              <w:t>]</w:t>
            </w:r>
            <w:r w:rsidR="006439AD" w:rsidRPr="00415F75">
              <w:rPr>
                <w:lang w:val="en-NZ"/>
              </w:rPr>
              <w:t>.</w:t>
            </w:r>
          </w:p>
          <w:p w14:paraId="194D3C45" w14:textId="77777777" w:rsidR="009005CE" w:rsidRPr="0084366D" w:rsidRDefault="009005CE" w:rsidP="006C05B1">
            <w:pPr>
              <w:rPr>
                <w:i/>
                <w:lang w:val="en-NZ"/>
              </w:rPr>
            </w:pPr>
            <w:r>
              <w:rPr>
                <w:i/>
                <w:iCs/>
                <w:lang w:val="en-NZ"/>
              </w:rPr>
              <w:t>Tight timeframes also constrained the development of policy advice, including consultation</w:t>
            </w:r>
          </w:p>
          <w:p w14:paraId="084BF0B1" w14:textId="1C15DEE5" w:rsidR="00A92802" w:rsidRPr="00816541" w:rsidRDefault="0049588E" w:rsidP="006C05B1">
            <w:pPr>
              <w:pStyle w:val="BodyText-Numbered"/>
              <w:keepNext w:val="0"/>
              <w:numPr>
                <w:ilvl w:val="0"/>
                <w:numId w:val="5"/>
              </w:numPr>
              <w:rPr>
                <w:iCs/>
                <w:color w:val="000000"/>
                <w:lang w:val="en-NZ"/>
              </w:rPr>
            </w:pPr>
            <w:r>
              <w:rPr>
                <w:iCs/>
                <w:color w:val="000000"/>
              </w:rPr>
              <w:t>The decision to fully implement the policy changes by early 2026</w:t>
            </w:r>
            <w:r w:rsidR="00CF3FE6">
              <w:rPr>
                <w:iCs/>
                <w:color w:val="000000"/>
              </w:rPr>
              <w:t xml:space="preserve"> </w:t>
            </w:r>
            <w:r w:rsidR="00CF3FE6" w:rsidRPr="00CF3FE6">
              <w:rPr>
                <w:iCs/>
                <w:color w:val="000000"/>
              </w:rPr>
              <w:t>has meant that advice on the detailed policy design has been subject to tight time constraints</w:t>
            </w:r>
            <w:r w:rsidR="003E4AB7">
              <w:rPr>
                <w:iCs/>
                <w:color w:val="000000"/>
              </w:rPr>
              <w:t>. As a result,</w:t>
            </w:r>
            <w:r w:rsidR="00CF3FE6" w:rsidRPr="00CF3FE6">
              <w:rPr>
                <w:iCs/>
                <w:color w:val="000000"/>
              </w:rPr>
              <w:t xml:space="preserve"> there has been limited time f</w:t>
            </w:r>
            <w:r w:rsidR="002756FD">
              <w:rPr>
                <w:iCs/>
                <w:color w:val="000000"/>
              </w:rPr>
              <w:t xml:space="preserve">or the </w:t>
            </w:r>
            <w:r w:rsidR="00CF3FE6" w:rsidRPr="00CF3FE6">
              <w:rPr>
                <w:iCs/>
                <w:color w:val="000000"/>
              </w:rPr>
              <w:t xml:space="preserve">analysis of existing and potential new settings, </w:t>
            </w:r>
            <w:r w:rsidR="006F01EF">
              <w:rPr>
                <w:iCs/>
                <w:color w:val="000000"/>
              </w:rPr>
              <w:t>international comparison</w:t>
            </w:r>
            <w:r w:rsidR="0000405A">
              <w:rPr>
                <w:iCs/>
                <w:color w:val="000000"/>
              </w:rPr>
              <w:t>s</w:t>
            </w:r>
            <w:r w:rsidR="00CF3FE6" w:rsidRPr="00CF3FE6">
              <w:rPr>
                <w:iCs/>
                <w:color w:val="000000"/>
              </w:rPr>
              <w:t xml:space="preserve">, </w:t>
            </w:r>
            <w:r w:rsidR="00003E9E">
              <w:rPr>
                <w:iCs/>
                <w:color w:val="000000"/>
              </w:rPr>
              <w:t xml:space="preserve">as well as </w:t>
            </w:r>
            <w:r w:rsidR="00AB6DA4">
              <w:rPr>
                <w:iCs/>
                <w:color w:val="000000"/>
              </w:rPr>
              <w:t>an</w:t>
            </w:r>
            <w:r w:rsidR="00003E9E">
              <w:rPr>
                <w:iCs/>
                <w:color w:val="000000"/>
              </w:rPr>
              <w:t xml:space="preserve"> </w:t>
            </w:r>
            <w:r w:rsidR="00CF3FE6" w:rsidRPr="00CF3FE6">
              <w:rPr>
                <w:iCs/>
                <w:color w:val="000000"/>
              </w:rPr>
              <w:t>analysis of operational impacts</w:t>
            </w:r>
            <w:r w:rsidR="00003E9E">
              <w:rPr>
                <w:iCs/>
                <w:color w:val="000000"/>
              </w:rPr>
              <w:t>.</w:t>
            </w:r>
            <w:r w:rsidR="00AB1633">
              <w:t xml:space="preserve"> </w:t>
            </w:r>
            <w:r w:rsidR="007B6C87">
              <w:lastRenderedPageBreak/>
              <w:t>The relative complexity of this initiative has compounded th</w:t>
            </w:r>
            <w:r w:rsidR="00442A73">
              <w:t xml:space="preserve">e impact of this constraint. </w:t>
            </w:r>
          </w:p>
          <w:p w14:paraId="626489B9" w14:textId="4B8B9C5E" w:rsidR="00AB0D19" w:rsidRPr="00736202" w:rsidRDefault="00AB1633" w:rsidP="006C05B1">
            <w:pPr>
              <w:pStyle w:val="ListParagraph"/>
              <w:numPr>
                <w:ilvl w:val="0"/>
                <w:numId w:val="5"/>
              </w:numPr>
              <w:rPr>
                <w:i/>
                <w:color w:val="000000" w:themeColor="text1"/>
                <w:lang w:val="en-NZ"/>
              </w:rPr>
            </w:pPr>
            <w:r w:rsidRPr="003066D2">
              <w:rPr>
                <w:color w:val="000000"/>
              </w:rPr>
              <w:t xml:space="preserve">Timeline constraints have also meant that engagement on the changes was undertaken </w:t>
            </w:r>
            <w:r w:rsidR="009E098A" w:rsidRPr="009E098A">
              <w:rPr>
                <w:color w:val="000000"/>
              </w:rPr>
              <w:t xml:space="preserve">following Cabinet and Ministerial </w:t>
            </w:r>
            <w:r w:rsidRPr="003066D2">
              <w:rPr>
                <w:color w:val="000000"/>
              </w:rPr>
              <w:t>decisions</w:t>
            </w:r>
            <w:r w:rsidR="00C3366F" w:rsidRPr="003066D2">
              <w:rPr>
                <w:iCs/>
                <w:color w:val="000000"/>
              </w:rPr>
              <w:t>,</w:t>
            </w:r>
            <w:r w:rsidR="00B3086B" w:rsidRPr="003066D2">
              <w:rPr>
                <w:iCs/>
                <w:color w:val="000000"/>
              </w:rPr>
              <w:t xml:space="preserve"> and</w:t>
            </w:r>
            <w:r w:rsidR="00A92802" w:rsidRPr="003066D2">
              <w:rPr>
                <w:color w:val="000000"/>
              </w:rPr>
              <w:t xml:space="preserve"> as </w:t>
            </w:r>
            <w:r w:rsidR="00A92802" w:rsidRPr="003066D2">
              <w:rPr>
                <w:rFonts w:cs="Arial"/>
                <w:color w:val="000000" w:themeColor="text1"/>
                <w:lang w:val="en-NZ"/>
              </w:rPr>
              <w:t xml:space="preserve">the legislative vehicle for enacting the policy changes will be Budget night legislation, </w:t>
            </w:r>
            <w:r w:rsidR="003F0A7B" w:rsidRPr="003066D2">
              <w:rPr>
                <w:rFonts w:cs="Arial"/>
                <w:color w:val="000000" w:themeColor="text1"/>
                <w:lang w:val="en-NZ"/>
              </w:rPr>
              <w:t xml:space="preserve">there will </w:t>
            </w:r>
            <w:r w:rsidR="00A30613">
              <w:rPr>
                <w:rFonts w:cs="Arial"/>
                <w:color w:val="000000" w:themeColor="text1"/>
                <w:lang w:val="en-NZ"/>
              </w:rPr>
              <w:t>be no</w:t>
            </w:r>
            <w:r w:rsidR="00A92802" w:rsidRPr="003066D2">
              <w:rPr>
                <w:rFonts w:cs="Arial"/>
                <w:color w:val="000000" w:themeColor="text1"/>
                <w:lang w:val="en-NZ"/>
              </w:rPr>
              <w:t xml:space="preserve"> opportunity for public feedback via the </w:t>
            </w:r>
            <w:r w:rsidR="00C5283E">
              <w:rPr>
                <w:rFonts w:cs="Arial"/>
                <w:color w:val="000000" w:themeColor="text1"/>
                <w:lang w:val="en-NZ"/>
              </w:rPr>
              <w:t>S</w:t>
            </w:r>
            <w:r w:rsidR="00A92802" w:rsidRPr="003066D2">
              <w:rPr>
                <w:rFonts w:cs="Arial"/>
                <w:color w:val="000000" w:themeColor="text1"/>
                <w:lang w:val="en-NZ"/>
              </w:rPr>
              <w:t xml:space="preserve">elect </w:t>
            </w:r>
            <w:r w:rsidR="00C5283E">
              <w:rPr>
                <w:rFonts w:cs="Arial"/>
                <w:color w:val="000000" w:themeColor="text1"/>
                <w:lang w:val="en-NZ"/>
              </w:rPr>
              <w:t>C</w:t>
            </w:r>
            <w:r w:rsidR="00A92802" w:rsidRPr="003066D2">
              <w:rPr>
                <w:rFonts w:cs="Arial"/>
                <w:color w:val="000000" w:themeColor="text1"/>
                <w:lang w:val="en-NZ"/>
              </w:rPr>
              <w:t xml:space="preserve">ommittee process. </w:t>
            </w:r>
          </w:p>
          <w:p w14:paraId="49CC819E" w14:textId="29454B3F" w:rsidR="009456BF" w:rsidRPr="00256F25" w:rsidRDefault="009456BF" w:rsidP="006C05B1">
            <w:pPr>
              <w:rPr>
                <w:i/>
                <w:color w:val="000000"/>
                <w:lang w:val="en-NZ"/>
              </w:rPr>
            </w:pPr>
            <w:r w:rsidRPr="17F26F70">
              <w:rPr>
                <w:i/>
                <w:color w:val="000000" w:themeColor="text1"/>
                <w:lang w:val="en-NZ"/>
              </w:rPr>
              <w:t>Assumptions</w:t>
            </w:r>
            <w:r w:rsidR="003B293D">
              <w:rPr>
                <w:i/>
                <w:color w:val="000000" w:themeColor="text1"/>
                <w:lang w:val="en-NZ"/>
              </w:rPr>
              <w:t>,</w:t>
            </w:r>
            <w:r w:rsidR="00B7355C">
              <w:rPr>
                <w:i/>
                <w:color w:val="000000" w:themeColor="text1"/>
                <w:lang w:val="en-NZ"/>
              </w:rPr>
              <w:t xml:space="preserve"> and the</w:t>
            </w:r>
            <w:r w:rsidR="003B293D">
              <w:rPr>
                <w:i/>
                <w:color w:val="000000" w:themeColor="text1"/>
                <w:lang w:val="en-NZ"/>
              </w:rPr>
              <w:t xml:space="preserve"> q</w:t>
            </w:r>
            <w:r w:rsidR="003B293D" w:rsidRPr="003B293D">
              <w:rPr>
                <w:i/>
                <w:color w:val="000000" w:themeColor="text1"/>
                <w:lang w:val="en-NZ"/>
              </w:rPr>
              <w:t xml:space="preserve">uality of data and evidence </w:t>
            </w:r>
            <w:r w:rsidRPr="17F26F70">
              <w:rPr>
                <w:i/>
                <w:color w:val="000000" w:themeColor="text1"/>
                <w:lang w:val="en-NZ"/>
              </w:rPr>
              <w:t>underpinning th</w:t>
            </w:r>
            <w:r>
              <w:rPr>
                <w:i/>
                <w:color w:val="000000" w:themeColor="text1"/>
                <w:lang w:val="en-NZ"/>
              </w:rPr>
              <w:t>is</w:t>
            </w:r>
            <w:r w:rsidRPr="17F26F70">
              <w:rPr>
                <w:i/>
                <w:color w:val="000000" w:themeColor="text1"/>
                <w:lang w:val="en-NZ"/>
              </w:rPr>
              <w:t xml:space="preserve"> analysis</w:t>
            </w:r>
          </w:p>
          <w:p w14:paraId="45956942" w14:textId="3DA809E9" w:rsidR="009456BF" w:rsidRPr="00F3508A" w:rsidRDefault="00865996" w:rsidP="006C05B1">
            <w:pPr>
              <w:pStyle w:val="BodyText-Numbered"/>
              <w:keepNext w:val="0"/>
              <w:numPr>
                <w:ilvl w:val="0"/>
                <w:numId w:val="22"/>
              </w:numPr>
              <w:rPr>
                <w:lang w:val="en-NZ"/>
              </w:rPr>
            </w:pPr>
            <w:r w:rsidRPr="00F3508A">
              <w:rPr>
                <w:lang w:val="en-NZ"/>
              </w:rPr>
              <w:t>The savings forecast as part of this proposal w</w:t>
            </w:r>
            <w:r w:rsidR="004D421E">
              <w:rPr>
                <w:lang w:val="en-NZ"/>
              </w:rPr>
              <w:t>as</w:t>
            </w:r>
            <w:r w:rsidRPr="00F3508A">
              <w:rPr>
                <w:lang w:val="en-NZ"/>
              </w:rPr>
              <w:t xml:space="preserve"> not able to </w:t>
            </w:r>
            <w:r w:rsidR="000B694B">
              <w:rPr>
                <w:lang w:val="en-NZ"/>
              </w:rPr>
              <w:t xml:space="preserve">account for </w:t>
            </w:r>
            <w:r w:rsidR="007B767F" w:rsidRPr="00F3508A">
              <w:rPr>
                <w:lang w:val="en-NZ"/>
              </w:rPr>
              <w:t>behavioural responses</w:t>
            </w:r>
            <w:r w:rsidR="00292E0F" w:rsidRPr="00F3508A">
              <w:rPr>
                <w:lang w:val="en-NZ"/>
              </w:rPr>
              <w:t xml:space="preserve"> that may </w:t>
            </w:r>
            <w:r w:rsidR="006D6F13">
              <w:rPr>
                <w:lang w:val="en-NZ"/>
              </w:rPr>
              <w:t>result</w:t>
            </w:r>
            <w:r w:rsidR="00A250EC">
              <w:rPr>
                <w:lang w:val="en-NZ"/>
              </w:rPr>
              <w:t xml:space="preserve"> from the policy</w:t>
            </w:r>
            <w:r w:rsidR="001E230B">
              <w:rPr>
                <w:lang w:val="en-NZ"/>
              </w:rPr>
              <w:t xml:space="preserve">, </w:t>
            </w:r>
            <w:r w:rsidR="006D6F13">
              <w:rPr>
                <w:lang w:val="en-NZ"/>
              </w:rPr>
              <w:t>as these cannot be accurately forecast</w:t>
            </w:r>
            <w:r w:rsidR="001E230B">
              <w:rPr>
                <w:lang w:val="en-NZ"/>
              </w:rPr>
              <w:t xml:space="preserve"> (see </w:t>
            </w:r>
            <w:r w:rsidR="001E230B" w:rsidRPr="000C4896">
              <w:rPr>
                <w:lang w:val="en-NZ"/>
              </w:rPr>
              <w:t xml:space="preserve">paragraphs </w:t>
            </w:r>
            <w:r w:rsidR="000C4896" w:rsidRPr="00776538">
              <w:rPr>
                <w:lang w:val="en-NZ"/>
              </w:rPr>
              <w:t>6</w:t>
            </w:r>
            <w:r w:rsidR="00061F9E">
              <w:rPr>
                <w:lang w:val="en-NZ"/>
              </w:rPr>
              <w:t>5</w:t>
            </w:r>
            <w:r w:rsidR="000B13C8" w:rsidRPr="000C4896">
              <w:rPr>
                <w:lang w:val="en-NZ"/>
              </w:rPr>
              <w:t xml:space="preserve">, and </w:t>
            </w:r>
            <w:r w:rsidR="000C4896" w:rsidRPr="00776538">
              <w:rPr>
                <w:lang w:val="en-NZ"/>
              </w:rPr>
              <w:t>67</w:t>
            </w:r>
            <w:r w:rsidR="000B13C8" w:rsidRPr="000C4896">
              <w:rPr>
                <w:lang w:val="en-NZ"/>
              </w:rPr>
              <w:t>-</w:t>
            </w:r>
            <w:r w:rsidR="000C4896" w:rsidRPr="00776538">
              <w:rPr>
                <w:lang w:val="en-NZ"/>
              </w:rPr>
              <w:t>68</w:t>
            </w:r>
            <w:r w:rsidR="00A250EC">
              <w:rPr>
                <w:lang w:val="en-NZ"/>
              </w:rPr>
              <w:t>)</w:t>
            </w:r>
            <w:r w:rsidR="009456BF" w:rsidRPr="00F3508A">
              <w:rPr>
                <w:lang w:val="en-NZ"/>
              </w:rPr>
              <w:t>:</w:t>
            </w:r>
          </w:p>
          <w:p w14:paraId="74DDC3EB" w14:textId="45C828F3" w:rsidR="00486CC7" w:rsidRDefault="004C6ADB" w:rsidP="006C05B1">
            <w:pPr>
              <w:pStyle w:val="BodyText-Numbered"/>
              <w:keepNext w:val="0"/>
              <w:numPr>
                <w:ilvl w:val="1"/>
                <w:numId w:val="45"/>
              </w:numPr>
            </w:pPr>
            <w:r w:rsidRPr="7EB20CCD">
              <w:t xml:space="preserve">Clients </w:t>
            </w:r>
            <w:r w:rsidR="00A250EC" w:rsidRPr="7EB20CCD">
              <w:t>taking</w:t>
            </w:r>
            <w:r w:rsidRPr="7EB20CCD">
              <w:t xml:space="preserve"> action to circumnavigate the change</w:t>
            </w:r>
            <w:r w:rsidR="00997CED" w:rsidRPr="7EB20CCD">
              <w:t xml:space="preserve"> (i.e. </w:t>
            </w:r>
            <w:r w:rsidR="00080B94" w:rsidRPr="7EB20CCD">
              <w:t xml:space="preserve">some people may not comply and stop declaring boarders, to avoid reductions in housing subsidies or IRR increases).  </w:t>
            </w:r>
          </w:p>
          <w:p w14:paraId="3E477261" w14:textId="26D465F9" w:rsidR="00092254" w:rsidRPr="0012483F" w:rsidRDefault="00A34A71" w:rsidP="006C05B1">
            <w:pPr>
              <w:pStyle w:val="BodyText-Numbered"/>
              <w:keepNext w:val="0"/>
              <w:numPr>
                <w:ilvl w:val="1"/>
                <w:numId w:val="45"/>
              </w:numPr>
              <w:rPr>
                <w:lang w:val="en-NZ"/>
              </w:rPr>
            </w:pPr>
            <w:r w:rsidRPr="00486CC7">
              <w:rPr>
                <w:lang w:val="en-NZ"/>
              </w:rPr>
              <w:t>People choosing to alter their</w:t>
            </w:r>
            <w:r w:rsidR="009D6BBF" w:rsidRPr="00486CC7">
              <w:rPr>
                <w:lang w:val="en-NZ"/>
              </w:rPr>
              <w:t xml:space="preserve"> housing arrangements</w:t>
            </w:r>
            <w:r w:rsidR="00F6600A" w:rsidRPr="00486CC7">
              <w:rPr>
                <w:lang w:val="en-NZ"/>
              </w:rPr>
              <w:t>, resulting in reduced instances of boarding or the amount of board charged</w:t>
            </w:r>
            <w:r w:rsidR="004C6ADB" w:rsidRPr="00F6600A">
              <w:rPr>
                <w:lang w:val="en-NZ"/>
              </w:rPr>
              <w:t xml:space="preserve">. </w:t>
            </w:r>
          </w:p>
          <w:p w14:paraId="5743278C" w14:textId="77777777" w:rsidR="001B306C" w:rsidRDefault="00292E0F" w:rsidP="006C05B1">
            <w:pPr>
              <w:pStyle w:val="BodyText-Numbered"/>
              <w:keepNext w:val="0"/>
              <w:numPr>
                <w:ilvl w:val="0"/>
                <w:numId w:val="22"/>
              </w:numPr>
            </w:pPr>
            <w:r w:rsidRPr="00F3508A">
              <w:t>This means that the savings f</w:t>
            </w:r>
            <w:r w:rsidR="006219DE" w:rsidRPr="00F3508A">
              <w:t>rom</w:t>
            </w:r>
            <w:r w:rsidR="00286BF4" w:rsidRPr="00F3508A">
              <w:t xml:space="preserve"> households where both the person receiving board and the boarder</w:t>
            </w:r>
            <w:r w:rsidR="00960405">
              <w:t>(s)</w:t>
            </w:r>
            <w:r w:rsidR="00286BF4" w:rsidRPr="00F3508A">
              <w:t xml:space="preserve"> are receiving </w:t>
            </w:r>
            <w:r w:rsidR="006518F5">
              <w:t>housing subsidies</w:t>
            </w:r>
            <w:r w:rsidR="0077790D" w:rsidRPr="00F3508A">
              <w:t xml:space="preserve"> may be over-estimated.</w:t>
            </w:r>
          </w:p>
          <w:p w14:paraId="670655F7" w14:textId="699BE61C" w:rsidR="00C91EE7" w:rsidRPr="00F3508A" w:rsidRDefault="004D2D7F" w:rsidP="006C05B1">
            <w:pPr>
              <w:pStyle w:val="BodyText-Numbered"/>
              <w:keepNext w:val="0"/>
              <w:numPr>
                <w:ilvl w:val="0"/>
                <w:numId w:val="22"/>
              </w:numPr>
              <w:rPr>
                <w:lang w:val="en-NZ"/>
              </w:rPr>
            </w:pPr>
            <w:r w:rsidRPr="00F3508A">
              <w:rPr>
                <w:lang w:val="en-NZ"/>
              </w:rPr>
              <w:t>For th</w:t>
            </w:r>
            <w:r w:rsidR="00C33682" w:rsidRPr="00F3508A">
              <w:rPr>
                <w:lang w:val="en-NZ"/>
              </w:rPr>
              <w:t>e costings for this analysis, w</w:t>
            </w:r>
            <w:r w:rsidRPr="00F3508A">
              <w:rPr>
                <w:lang w:val="en-NZ"/>
              </w:rPr>
              <w:t xml:space="preserve">e have </w:t>
            </w:r>
            <w:r w:rsidR="00C33682" w:rsidRPr="00F3508A">
              <w:rPr>
                <w:lang w:val="en-NZ"/>
              </w:rPr>
              <w:t>estimated</w:t>
            </w:r>
            <w:r w:rsidRPr="00F3508A">
              <w:rPr>
                <w:lang w:val="en-NZ"/>
              </w:rPr>
              <w:t xml:space="preserve"> </w:t>
            </w:r>
            <w:r w:rsidR="001E5804" w:rsidRPr="00F3508A">
              <w:rPr>
                <w:lang w:val="en-NZ"/>
              </w:rPr>
              <w:t xml:space="preserve">that </w:t>
            </w:r>
            <w:r w:rsidR="007E0A5D" w:rsidRPr="00F3508A">
              <w:rPr>
                <w:lang w:val="en-NZ"/>
              </w:rPr>
              <w:t>8,200</w:t>
            </w:r>
            <w:r w:rsidRPr="00F3508A">
              <w:rPr>
                <w:lang w:val="en-NZ"/>
              </w:rPr>
              <w:t xml:space="preserve"> households</w:t>
            </w:r>
            <w:r w:rsidR="00C33682" w:rsidRPr="00F3508A">
              <w:rPr>
                <w:lang w:val="en-NZ"/>
              </w:rPr>
              <w:t xml:space="preserve"> receiving the AS have</w:t>
            </w:r>
            <w:r w:rsidRPr="00F3508A">
              <w:rPr>
                <w:lang w:val="en-NZ"/>
              </w:rPr>
              <w:t xml:space="preserve"> </w:t>
            </w:r>
            <w:r w:rsidR="00DD75D9">
              <w:rPr>
                <w:lang w:val="en-NZ"/>
              </w:rPr>
              <w:t xml:space="preserve">a </w:t>
            </w:r>
            <w:r w:rsidRPr="00F3508A">
              <w:rPr>
                <w:lang w:val="en-NZ"/>
              </w:rPr>
              <w:t>boarder</w:t>
            </w:r>
            <w:r w:rsidR="00DD75D9">
              <w:rPr>
                <w:lang w:val="en-NZ"/>
              </w:rPr>
              <w:t>(</w:t>
            </w:r>
            <w:r w:rsidRPr="00F3508A">
              <w:rPr>
                <w:lang w:val="en-NZ"/>
              </w:rPr>
              <w:t>s</w:t>
            </w:r>
            <w:r w:rsidR="00DD75D9">
              <w:rPr>
                <w:lang w:val="en-NZ"/>
              </w:rPr>
              <w:t>)</w:t>
            </w:r>
            <w:r w:rsidR="00F00A91" w:rsidRPr="00F3508A">
              <w:rPr>
                <w:lang w:val="en-NZ"/>
              </w:rPr>
              <w:t xml:space="preserve"> and that </w:t>
            </w:r>
            <w:r w:rsidR="007E0A5D" w:rsidRPr="00F3508A">
              <w:rPr>
                <w:lang w:val="en-NZ"/>
              </w:rPr>
              <w:t>7,000</w:t>
            </w:r>
            <w:r w:rsidR="00F00A91" w:rsidRPr="00F3508A">
              <w:rPr>
                <w:lang w:val="en-NZ"/>
              </w:rPr>
              <w:t xml:space="preserve"> of these households will be impacted by this change</w:t>
            </w:r>
            <w:r w:rsidR="00C33682" w:rsidRPr="00F3508A">
              <w:rPr>
                <w:lang w:val="en-NZ"/>
              </w:rPr>
              <w:t>.</w:t>
            </w:r>
            <w:r w:rsidRPr="00F3508A">
              <w:rPr>
                <w:lang w:val="en-NZ"/>
              </w:rPr>
              <w:t xml:space="preserve"> </w:t>
            </w:r>
            <w:r w:rsidR="00C91EE7" w:rsidRPr="4DDE86A9">
              <w:rPr>
                <w:lang w:val="en-NZ"/>
              </w:rPr>
              <w:t xml:space="preserve">To estimate the number of AS clients </w:t>
            </w:r>
            <w:r w:rsidR="00DD75D9">
              <w:rPr>
                <w:lang w:val="en-NZ"/>
              </w:rPr>
              <w:t>with a</w:t>
            </w:r>
            <w:r w:rsidR="00C91EE7" w:rsidRPr="4DDE86A9">
              <w:rPr>
                <w:lang w:val="en-NZ"/>
              </w:rPr>
              <w:t xml:space="preserve"> boarder</w:t>
            </w:r>
            <w:r w:rsidR="00DD75D9">
              <w:rPr>
                <w:lang w:val="en-NZ"/>
              </w:rPr>
              <w:t>(</w:t>
            </w:r>
            <w:r w:rsidR="00C91EE7" w:rsidRPr="4DDE86A9">
              <w:rPr>
                <w:lang w:val="en-NZ"/>
              </w:rPr>
              <w:t>s</w:t>
            </w:r>
            <w:r w:rsidR="00DD75D9">
              <w:rPr>
                <w:lang w:val="en-NZ"/>
              </w:rPr>
              <w:t>)</w:t>
            </w:r>
            <w:r w:rsidR="00C91EE7" w:rsidRPr="4DDE86A9">
              <w:rPr>
                <w:lang w:val="en-NZ"/>
              </w:rPr>
              <w:t xml:space="preserve">, MSD identified </w:t>
            </w:r>
            <w:r w:rsidR="00294209">
              <w:rPr>
                <w:lang w:val="en-NZ"/>
              </w:rPr>
              <w:t xml:space="preserve">a number of </w:t>
            </w:r>
            <w:r w:rsidR="00C91EE7" w:rsidRPr="4DDE86A9">
              <w:rPr>
                <w:lang w:val="en-NZ"/>
              </w:rPr>
              <w:t xml:space="preserve">AS </w:t>
            </w:r>
            <w:r w:rsidR="00EC4817">
              <w:rPr>
                <w:lang w:val="en-NZ"/>
              </w:rPr>
              <w:t>clients who were receiving</w:t>
            </w:r>
            <w:r w:rsidR="00C91EE7" w:rsidRPr="4DDE86A9">
              <w:rPr>
                <w:lang w:val="en-NZ"/>
              </w:rPr>
              <w:t xml:space="preserve"> board </w:t>
            </w:r>
            <w:r w:rsidR="00EC4817">
              <w:rPr>
                <w:lang w:val="en-NZ"/>
              </w:rPr>
              <w:t>from</w:t>
            </w:r>
            <w:r w:rsidR="00C91EE7" w:rsidRPr="4DDE86A9">
              <w:rPr>
                <w:lang w:val="en-NZ"/>
              </w:rPr>
              <w:t xml:space="preserve"> another AS client. </w:t>
            </w:r>
            <w:r w:rsidR="006E38F9" w:rsidRPr="4DDE86A9">
              <w:rPr>
                <w:lang w:val="en-NZ"/>
              </w:rPr>
              <w:t>MSD then refined that number further using an approximation of the number of situations lik</w:t>
            </w:r>
            <w:r w:rsidR="00CE584B" w:rsidRPr="4DDE86A9">
              <w:rPr>
                <w:lang w:val="en-NZ"/>
              </w:rPr>
              <w:t xml:space="preserve">ely to be genuine boarding arrangements. </w:t>
            </w:r>
            <w:r w:rsidR="00C91EE7" w:rsidRPr="4DDE86A9">
              <w:rPr>
                <w:lang w:val="en-NZ"/>
              </w:rPr>
              <w:t>This approach has limitations</w:t>
            </w:r>
            <w:r w:rsidR="00294209">
              <w:rPr>
                <w:lang w:val="en-NZ"/>
              </w:rPr>
              <w:t>,</w:t>
            </w:r>
            <w:r w:rsidR="00C91EE7" w:rsidRPr="4DDE86A9">
              <w:rPr>
                <w:lang w:val="en-NZ"/>
              </w:rPr>
              <w:t xml:space="preserve"> as it </w:t>
            </w:r>
            <w:r w:rsidR="00C5283E">
              <w:rPr>
                <w:lang w:val="en-NZ"/>
              </w:rPr>
              <w:t>does not count</w:t>
            </w:r>
            <w:r w:rsidR="00C91EE7" w:rsidRPr="4DDE86A9">
              <w:rPr>
                <w:lang w:val="en-NZ"/>
              </w:rPr>
              <w:t xml:space="preserve"> boarders who are not receiving the AS</w:t>
            </w:r>
            <w:r w:rsidR="006C138A">
              <w:rPr>
                <w:lang w:val="en-NZ"/>
              </w:rPr>
              <w:t xml:space="preserve"> </w:t>
            </w:r>
            <w:r w:rsidR="006C138A" w:rsidRPr="006C138A">
              <w:rPr>
                <w:lang w:val="en-NZ"/>
              </w:rPr>
              <w:t>(i</w:t>
            </w:r>
            <w:r w:rsidR="006C138A">
              <w:rPr>
                <w:lang w:val="en-NZ"/>
              </w:rPr>
              <w:t>.</w:t>
            </w:r>
            <w:r w:rsidR="006C138A" w:rsidRPr="006C138A">
              <w:rPr>
                <w:lang w:val="en-NZ"/>
              </w:rPr>
              <w:t>e</w:t>
            </w:r>
            <w:r w:rsidR="006C138A">
              <w:rPr>
                <w:lang w:val="en-NZ"/>
              </w:rPr>
              <w:t>.</w:t>
            </w:r>
            <w:r w:rsidR="006C138A" w:rsidRPr="006C138A">
              <w:rPr>
                <w:lang w:val="en-NZ"/>
              </w:rPr>
              <w:t xml:space="preserve"> boarders who are working and not eligible for the AS)</w:t>
            </w:r>
            <w:r w:rsidR="00B709F8">
              <w:rPr>
                <w:lang w:val="en-NZ"/>
              </w:rPr>
              <w:t>,</w:t>
            </w:r>
            <w:r w:rsidR="00C91EE7" w:rsidRPr="4DDE86A9">
              <w:rPr>
                <w:lang w:val="en-NZ"/>
              </w:rPr>
              <w:t xml:space="preserve"> a</w:t>
            </w:r>
            <w:r w:rsidR="009B53E7">
              <w:rPr>
                <w:lang w:val="en-NZ"/>
              </w:rPr>
              <w:t>s</w:t>
            </w:r>
            <w:r w:rsidR="00C91EE7" w:rsidRPr="4DDE86A9">
              <w:rPr>
                <w:lang w:val="en-NZ"/>
              </w:rPr>
              <w:t xml:space="preserve"> </w:t>
            </w:r>
            <w:r w:rsidR="00C91EE7" w:rsidRPr="00301251">
              <w:rPr>
                <w:lang w:val="en-NZ"/>
              </w:rPr>
              <w:t>MSD data does not record who an AS client is paying board to</w:t>
            </w:r>
            <w:r w:rsidR="00C91EE7" w:rsidRPr="4DDE86A9">
              <w:rPr>
                <w:lang w:val="en-NZ"/>
              </w:rPr>
              <w:t xml:space="preserve">. </w:t>
            </w:r>
            <w:r w:rsidR="00611689" w:rsidRPr="00301251">
              <w:t xml:space="preserve">This means that some of the savings may also be underestimated.  </w:t>
            </w:r>
          </w:p>
          <w:p w14:paraId="38796B58" w14:textId="08CA2DBA" w:rsidR="00F2740D" w:rsidRPr="0012483F" w:rsidRDefault="002D5310" w:rsidP="006C05B1">
            <w:pPr>
              <w:pStyle w:val="BodyText-Numbered"/>
              <w:keepNext w:val="0"/>
              <w:numPr>
                <w:ilvl w:val="0"/>
                <w:numId w:val="22"/>
              </w:numPr>
              <w:rPr>
                <w:rStyle w:val="CommentReference"/>
                <w:sz w:val="22"/>
                <w:szCs w:val="22"/>
                <w:lang w:val="en-NZ"/>
              </w:rPr>
            </w:pPr>
            <w:r w:rsidRPr="32CD03B4">
              <w:rPr>
                <w:color w:val="000000" w:themeColor="text1"/>
                <w:lang w:val="en-NZ"/>
              </w:rPr>
              <w:t>T</w:t>
            </w:r>
            <w:r w:rsidR="00F2740D">
              <w:rPr>
                <w:lang w:val="en-NZ"/>
              </w:rPr>
              <w:t>here is</w:t>
            </w:r>
            <w:r>
              <w:rPr>
                <w:lang w:val="en-NZ"/>
              </w:rPr>
              <w:t xml:space="preserve"> also</w:t>
            </w:r>
            <w:r w:rsidR="00F2740D">
              <w:rPr>
                <w:lang w:val="en-NZ"/>
              </w:rPr>
              <w:t xml:space="preserve"> a lack of accurate </w:t>
            </w:r>
            <w:proofErr w:type="gramStart"/>
            <w:r w:rsidR="00F2740D">
              <w:rPr>
                <w:lang w:val="en-NZ"/>
              </w:rPr>
              <w:t>data</w:t>
            </w:r>
            <w:r w:rsidR="006D6093">
              <w:rPr>
                <w:lang w:val="en-NZ"/>
              </w:rPr>
              <w:t>,</w:t>
            </w:r>
            <w:r w:rsidR="00C429C8">
              <w:rPr>
                <w:lang w:val="en-NZ"/>
              </w:rPr>
              <w:t xml:space="preserve"> when</w:t>
            </w:r>
            <w:proofErr w:type="gramEnd"/>
            <w:r w:rsidR="00C429C8">
              <w:rPr>
                <w:lang w:val="en-NZ"/>
              </w:rPr>
              <w:t xml:space="preserve"> </w:t>
            </w:r>
            <w:r w:rsidR="00A35C49">
              <w:rPr>
                <w:lang w:val="en-NZ"/>
              </w:rPr>
              <w:t xml:space="preserve">the </w:t>
            </w:r>
            <w:r w:rsidR="006D6093">
              <w:rPr>
                <w:lang w:val="en-NZ"/>
              </w:rPr>
              <w:t>board recipient</w:t>
            </w:r>
            <w:r w:rsidR="00A35C49">
              <w:rPr>
                <w:lang w:val="en-NZ"/>
              </w:rPr>
              <w:t xml:space="preserve"> and </w:t>
            </w:r>
            <w:r w:rsidR="006D6093">
              <w:rPr>
                <w:lang w:val="en-NZ"/>
              </w:rPr>
              <w:t>board payer</w:t>
            </w:r>
            <w:r w:rsidR="00A35C49">
              <w:rPr>
                <w:lang w:val="en-NZ"/>
              </w:rPr>
              <w:t xml:space="preserve"> </w:t>
            </w:r>
            <w:r w:rsidR="00032623">
              <w:rPr>
                <w:lang w:val="en-NZ"/>
              </w:rPr>
              <w:t>both receive housing subsidies</w:t>
            </w:r>
            <w:r w:rsidR="000A5AD8">
              <w:rPr>
                <w:lang w:val="en-NZ"/>
              </w:rPr>
              <w:t xml:space="preserve"> from MSD</w:t>
            </w:r>
            <w:r w:rsidR="00F2740D">
              <w:rPr>
                <w:lang w:val="en-NZ"/>
              </w:rPr>
              <w:t>. Since MSD currently disregards payments from the first and second boarders, it is difficult to accurately forecast the number of MSD clients that will be impacted by this policy change.</w:t>
            </w:r>
          </w:p>
          <w:p w14:paraId="2D9BFE8C" w14:textId="7A395BBC" w:rsidR="008D3215" w:rsidRPr="00F3508A" w:rsidRDefault="00965869" w:rsidP="006C05B1">
            <w:pPr>
              <w:pStyle w:val="BodyText-Numbered"/>
              <w:keepNext w:val="0"/>
              <w:numPr>
                <w:ilvl w:val="0"/>
                <w:numId w:val="22"/>
              </w:numPr>
              <w:rPr>
                <w:lang w:val="en-NZ"/>
              </w:rPr>
            </w:pPr>
            <w:r>
              <w:rPr>
                <w:lang w:val="en-NZ"/>
              </w:rPr>
              <w:t>Additionally, t</w:t>
            </w:r>
            <w:r w:rsidR="005C3D2D" w:rsidRPr="7A538B04">
              <w:rPr>
                <w:lang w:val="en-NZ"/>
              </w:rPr>
              <w:t xml:space="preserve">he assumptions do not include </w:t>
            </w:r>
            <w:r w:rsidR="00E26263">
              <w:rPr>
                <w:lang w:val="en-NZ"/>
              </w:rPr>
              <w:t>increased uptake of</w:t>
            </w:r>
            <w:r w:rsidR="005C3D2D" w:rsidRPr="7A538B04">
              <w:rPr>
                <w:lang w:val="en-NZ"/>
              </w:rPr>
              <w:t xml:space="preserve"> other assistance (e.g. hardship assistance and Housing Support Products) as a result of these changes. </w:t>
            </w:r>
            <w:r w:rsidR="00571D94" w:rsidRPr="00571D94">
              <w:rPr>
                <w:lang w:val="en-NZ"/>
              </w:rPr>
              <w:t>We can</w:t>
            </w:r>
            <w:r w:rsidR="00571D94">
              <w:rPr>
                <w:lang w:val="en-NZ"/>
              </w:rPr>
              <w:t xml:space="preserve">not </w:t>
            </w:r>
            <w:r w:rsidR="00571D94" w:rsidRPr="00571D94">
              <w:rPr>
                <w:lang w:val="en-NZ"/>
              </w:rPr>
              <w:t>predict how many people will access hardship assistance</w:t>
            </w:r>
            <w:r w:rsidR="00571D94">
              <w:rPr>
                <w:lang w:val="en-NZ"/>
              </w:rPr>
              <w:t xml:space="preserve"> and </w:t>
            </w:r>
            <w:r w:rsidR="00571D94" w:rsidRPr="00571D94">
              <w:rPr>
                <w:lang w:val="en-NZ"/>
              </w:rPr>
              <w:t>H</w:t>
            </w:r>
            <w:r w:rsidR="00571D94">
              <w:rPr>
                <w:lang w:val="en-NZ"/>
              </w:rPr>
              <w:t xml:space="preserve">ousing </w:t>
            </w:r>
            <w:r w:rsidR="00571D94" w:rsidRPr="00571D94">
              <w:rPr>
                <w:lang w:val="en-NZ"/>
              </w:rPr>
              <w:t>S</w:t>
            </w:r>
            <w:r w:rsidR="00571D94">
              <w:rPr>
                <w:lang w:val="en-NZ"/>
              </w:rPr>
              <w:t xml:space="preserve">upport </w:t>
            </w:r>
            <w:r w:rsidR="00571D94" w:rsidRPr="00571D94">
              <w:rPr>
                <w:lang w:val="en-NZ"/>
              </w:rPr>
              <w:t>P</w:t>
            </w:r>
            <w:r w:rsidR="00571D94">
              <w:rPr>
                <w:lang w:val="en-NZ"/>
              </w:rPr>
              <w:t>roduct</w:t>
            </w:r>
            <w:r w:rsidR="00571D94" w:rsidRPr="00571D94">
              <w:rPr>
                <w:lang w:val="en-NZ"/>
              </w:rPr>
              <w:t>s as a result of the change</w:t>
            </w:r>
            <w:r w:rsidR="005C3D2D" w:rsidRPr="7A538B04">
              <w:rPr>
                <w:lang w:val="en-NZ"/>
              </w:rPr>
              <w:t>.</w:t>
            </w:r>
          </w:p>
          <w:p w14:paraId="3DBA48DC" w14:textId="6722EECD" w:rsidR="00806395" w:rsidRPr="00D96745" w:rsidRDefault="008D3215" w:rsidP="006C05B1">
            <w:pPr>
              <w:pStyle w:val="Bullet1"/>
              <w:tabs>
                <w:tab w:val="clear" w:pos="454"/>
              </w:tabs>
              <w:spacing w:line="240" w:lineRule="auto"/>
              <w:ind w:left="605" w:hanging="605"/>
              <w:rPr>
                <w:rFonts w:ascii="Arial" w:hAnsi="Arial"/>
                <w:sz w:val="22"/>
                <w:szCs w:val="22"/>
              </w:rPr>
            </w:pPr>
            <w:r w:rsidRPr="00D96745">
              <w:rPr>
                <w:rFonts w:ascii="Arial" w:hAnsi="Arial"/>
                <w:sz w:val="22"/>
                <w:szCs w:val="22"/>
                <w:lang w:val="en-NZ"/>
              </w:rPr>
              <w:t>We note that some of the unintended consequences of this policy cannot be modelled. This is because we cannot reliably estimate the expected change, so any modelling would not be reliable.</w:t>
            </w:r>
          </w:p>
        </w:tc>
      </w:tr>
      <w:tr w:rsidR="00A27270" w:rsidRPr="00A864A5" w14:paraId="0EA0047F" w14:textId="77777777" w:rsidTr="6C91EDF9">
        <w:tc>
          <w:tcPr>
            <w:tcW w:w="5000" w:type="pct"/>
            <w:gridSpan w:val="2"/>
            <w:tcBorders>
              <w:bottom w:val="single" w:sz="4" w:space="0" w:color="DDDDDD"/>
            </w:tcBorders>
            <w:shd w:val="clear" w:color="auto" w:fill="99CDDD"/>
            <w:hideMark/>
          </w:tcPr>
          <w:p w14:paraId="7A579FF2" w14:textId="77777777" w:rsidR="00413FD8" w:rsidRPr="00A864A5" w:rsidRDefault="00413FD8" w:rsidP="006C05B1">
            <w:pPr>
              <w:pStyle w:val="TableHeadings"/>
              <w:rPr>
                <w:color w:val="002060"/>
                <w:szCs w:val="22"/>
                <w:lang w:val="en-NZ"/>
              </w:rPr>
            </w:pPr>
            <w:bookmarkStart w:id="22" w:name="_Hlk47608084"/>
            <w:bookmarkEnd w:id="21"/>
            <w:r w:rsidRPr="00A864A5">
              <w:rPr>
                <w:szCs w:val="22"/>
                <w:lang w:val="en-NZ"/>
              </w:rPr>
              <w:lastRenderedPageBreak/>
              <w:t>Responsible Manager(s) (completed by relevant manager)</w:t>
            </w:r>
          </w:p>
        </w:tc>
      </w:tr>
      <w:tr w:rsidR="00413FD8" w:rsidRPr="00A864A5" w14:paraId="091E60B6" w14:textId="77777777" w:rsidTr="6C91EDF9">
        <w:trPr>
          <w:trHeight w:val="1761"/>
        </w:trPr>
        <w:tc>
          <w:tcPr>
            <w:tcW w:w="5000" w:type="pct"/>
            <w:gridSpan w:val="2"/>
            <w:tcBorders>
              <w:top w:val="nil"/>
            </w:tcBorders>
            <w:shd w:val="clear" w:color="auto" w:fill="auto"/>
          </w:tcPr>
          <w:p w14:paraId="14DE727D" w14:textId="77777777" w:rsidR="00613455" w:rsidRPr="00613455" w:rsidRDefault="00613455" w:rsidP="006C05B1">
            <w:pPr>
              <w:spacing w:before="60" w:after="0" w:line="240" w:lineRule="auto"/>
              <w:ind w:left="284" w:hanging="284"/>
              <w:jc w:val="both"/>
              <w:rPr>
                <w:rFonts w:cs="Arial"/>
                <w:szCs w:val="22"/>
                <w:lang w:val="en-NZ"/>
              </w:rPr>
            </w:pPr>
            <w:r w:rsidRPr="00613455">
              <w:rPr>
                <w:rFonts w:cs="Arial"/>
                <w:szCs w:val="22"/>
                <w:lang w:val="en-NZ"/>
              </w:rPr>
              <w:t>Alex McKenzie</w:t>
            </w:r>
          </w:p>
          <w:p w14:paraId="34DAE09B" w14:textId="77777777" w:rsidR="00613455" w:rsidRPr="00613455" w:rsidRDefault="00613455" w:rsidP="006C05B1">
            <w:pPr>
              <w:spacing w:before="60" w:after="0" w:line="240" w:lineRule="auto"/>
              <w:ind w:left="284" w:hanging="284"/>
              <w:jc w:val="both"/>
              <w:rPr>
                <w:rFonts w:cs="Arial"/>
                <w:szCs w:val="22"/>
                <w:lang w:val="en-NZ"/>
              </w:rPr>
            </w:pPr>
            <w:r w:rsidRPr="00613455">
              <w:rPr>
                <w:rFonts w:cs="Arial"/>
                <w:szCs w:val="22"/>
                <w:lang w:val="en-NZ"/>
              </w:rPr>
              <w:t xml:space="preserve">Policy Manager, Housing </w:t>
            </w:r>
          </w:p>
          <w:p w14:paraId="22D8D461" w14:textId="4568A97C" w:rsidR="00C42DB0" w:rsidRDefault="00613455" w:rsidP="006F778D">
            <w:pPr>
              <w:spacing w:before="60" w:after="0" w:line="240" w:lineRule="auto"/>
              <w:ind w:left="284" w:hanging="284"/>
              <w:jc w:val="both"/>
              <w:rPr>
                <w:rFonts w:cs="Arial"/>
                <w:szCs w:val="22"/>
                <w:lang w:val="en-NZ"/>
              </w:rPr>
            </w:pPr>
            <w:r w:rsidRPr="00613455">
              <w:rPr>
                <w:rFonts w:cs="Arial"/>
                <w:szCs w:val="22"/>
                <w:lang w:val="en-NZ"/>
              </w:rPr>
              <w:t xml:space="preserve">Ministry of Social Development </w:t>
            </w:r>
          </w:p>
          <w:p w14:paraId="1FF9D975" w14:textId="507B9BEE" w:rsidR="00D52A87" w:rsidRPr="00836976" w:rsidRDefault="00FB21E9" w:rsidP="00782FE1">
            <w:pPr>
              <w:spacing w:before="60" w:after="0" w:line="276" w:lineRule="auto"/>
              <w:jc w:val="both"/>
              <w:rPr>
                <w:rFonts w:cs="Arial"/>
                <w:sz w:val="14"/>
                <w:szCs w:val="14"/>
                <w:highlight w:val="yellow"/>
                <w:lang w:val="en-NZ"/>
              </w:rPr>
            </w:pPr>
            <w:r>
              <w:rPr>
                <w:noProof/>
              </w:rPr>
              <w:drawing>
                <wp:inline distT="0" distB="0" distL="0" distR="0" wp14:anchorId="3119DBFE" wp14:editId="481973A4">
                  <wp:extent cx="1981200" cy="676275"/>
                  <wp:effectExtent l="0" t="0" r="0" b="9525"/>
                  <wp:docPr id="1450866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66322" name=""/>
                          <pic:cNvPicPr/>
                        </pic:nvPicPr>
                        <pic:blipFill>
                          <a:blip r:embed="rId13"/>
                          <a:stretch>
                            <a:fillRect/>
                          </a:stretch>
                        </pic:blipFill>
                        <pic:spPr>
                          <a:xfrm>
                            <a:off x="0" y="0"/>
                            <a:ext cx="1981200" cy="676275"/>
                          </a:xfrm>
                          <a:prstGeom prst="rect">
                            <a:avLst/>
                          </a:prstGeom>
                        </pic:spPr>
                      </pic:pic>
                    </a:graphicData>
                  </a:graphic>
                </wp:inline>
              </w:drawing>
            </w:r>
          </w:p>
          <w:p w14:paraId="1650151B" w14:textId="77777777" w:rsidR="009C1E42" w:rsidRPr="00836976" w:rsidRDefault="009C1E42" w:rsidP="006C05B1">
            <w:pPr>
              <w:spacing w:before="60" w:after="0" w:line="276" w:lineRule="auto"/>
              <w:ind w:left="284" w:hanging="284"/>
              <w:jc w:val="both"/>
              <w:rPr>
                <w:rFonts w:cs="Arial"/>
                <w:sz w:val="14"/>
                <w:szCs w:val="14"/>
                <w:highlight w:val="yellow"/>
                <w:lang w:val="en-NZ"/>
              </w:rPr>
            </w:pPr>
          </w:p>
          <w:p w14:paraId="5C4A33CF" w14:textId="72437670" w:rsidR="006C05B1" w:rsidRDefault="000B3DCE" w:rsidP="006C05B1">
            <w:pPr>
              <w:spacing w:after="0"/>
              <w:rPr>
                <w:rFonts w:cs="Arial"/>
                <w:iCs/>
                <w:color w:val="000000"/>
                <w:sz w:val="14"/>
                <w:szCs w:val="14"/>
                <w:lang w:val="en-NZ"/>
              </w:rPr>
            </w:pPr>
            <w:r>
              <w:rPr>
                <w:rFonts w:cs="Arial"/>
                <w:szCs w:val="22"/>
                <w:lang w:val="en-NZ"/>
              </w:rPr>
              <w:t>30 April 2025</w:t>
            </w:r>
          </w:p>
          <w:p w14:paraId="65FBD4C4" w14:textId="71945CAB" w:rsidR="009C1E42" w:rsidRPr="00A864A5" w:rsidRDefault="009C1E42" w:rsidP="006C05B1">
            <w:pPr>
              <w:spacing w:after="0"/>
              <w:rPr>
                <w:rFonts w:cs="Arial"/>
                <w:iCs/>
                <w:color w:val="000000"/>
                <w:sz w:val="14"/>
                <w:szCs w:val="14"/>
                <w:lang w:val="en-NZ"/>
              </w:rPr>
            </w:pPr>
          </w:p>
        </w:tc>
      </w:tr>
    </w:tbl>
    <w:p w14:paraId="4EB921F5" w14:textId="77777777" w:rsidR="009C1E42" w:rsidRDefault="009C1E42">
      <w:bookmarkStart w:id="23" w:name="_Toc363047038"/>
      <w:bookmarkStart w:id="24" w:name="_Toc362940530"/>
      <w:bookmarkStart w:id="25" w:name="_Toc362618966"/>
      <w:bookmarkStart w:id="26" w:name="_Toc362434720"/>
      <w:bookmarkStart w:id="27" w:name="_Toc362368098"/>
      <w:bookmarkEnd w:id="22"/>
      <w:r>
        <w:rPr>
          <w:b/>
        </w:rPr>
        <w:br w:type="page"/>
      </w:r>
    </w:p>
    <w:tbl>
      <w:tblPr>
        <w:tblW w:w="5000" w:type="pct"/>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600" w:firstRow="0" w:lastRow="0" w:firstColumn="0" w:lastColumn="0" w:noHBand="1" w:noVBand="1"/>
      </w:tblPr>
      <w:tblGrid>
        <w:gridCol w:w="2406"/>
        <w:gridCol w:w="6654"/>
      </w:tblGrid>
      <w:tr w:rsidR="009C1E42" w:rsidRPr="00A864A5" w14:paraId="6DA91D98" w14:textId="77777777">
        <w:tc>
          <w:tcPr>
            <w:tcW w:w="5000" w:type="pct"/>
            <w:gridSpan w:val="2"/>
            <w:tcBorders>
              <w:bottom w:val="single" w:sz="4" w:space="0" w:color="DDDDDD"/>
            </w:tcBorders>
            <w:shd w:val="clear" w:color="auto" w:fill="99CDDD"/>
            <w:hideMark/>
          </w:tcPr>
          <w:p w14:paraId="4EB4157C" w14:textId="059F6382" w:rsidR="009C1E42" w:rsidRPr="00A864A5" w:rsidRDefault="009C1E42">
            <w:pPr>
              <w:pStyle w:val="TableHeadings"/>
              <w:rPr>
                <w:color w:val="002060"/>
                <w:szCs w:val="22"/>
                <w:lang w:val="en-NZ"/>
              </w:rPr>
            </w:pPr>
            <w:r w:rsidRPr="00A864A5">
              <w:rPr>
                <w:szCs w:val="22"/>
                <w:lang w:val="en-NZ"/>
              </w:rPr>
              <w:lastRenderedPageBreak/>
              <w:t>Quality Assurance (completed by QA panel)</w:t>
            </w:r>
          </w:p>
        </w:tc>
      </w:tr>
      <w:tr w:rsidR="009C1E42" w:rsidRPr="00A864A5" w14:paraId="268D1803" w14:textId="77777777" w:rsidTr="009C1E42">
        <w:trPr>
          <w:trHeight w:val="141"/>
        </w:trPr>
        <w:tc>
          <w:tcPr>
            <w:tcW w:w="1328" w:type="pct"/>
            <w:tcBorders>
              <w:top w:val="nil"/>
              <w:bottom w:val="nil"/>
            </w:tcBorders>
            <w:shd w:val="clear" w:color="auto" w:fill="EBF5F8"/>
          </w:tcPr>
          <w:p w14:paraId="0BE15179" w14:textId="77777777" w:rsidR="009C1E42" w:rsidRPr="00A864A5" w:rsidRDefault="009C1E42">
            <w:pPr>
              <w:rPr>
                <w:rFonts w:cs="Arial"/>
                <w:iCs/>
                <w:color w:val="000000"/>
                <w:szCs w:val="22"/>
                <w:lang w:val="en-NZ"/>
              </w:rPr>
            </w:pPr>
            <w:r w:rsidRPr="00A864A5">
              <w:rPr>
                <w:rFonts w:cs="Arial"/>
                <w:iCs/>
                <w:color w:val="000000"/>
                <w:szCs w:val="22"/>
                <w:lang w:val="en-NZ"/>
              </w:rPr>
              <w:t>Reviewing Agency:</w:t>
            </w:r>
          </w:p>
        </w:tc>
        <w:tc>
          <w:tcPr>
            <w:tcW w:w="3672" w:type="pct"/>
            <w:tcBorders>
              <w:top w:val="nil"/>
              <w:bottom w:val="nil"/>
            </w:tcBorders>
            <w:shd w:val="clear" w:color="auto" w:fill="auto"/>
          </w:tcPr>
          <w:p w14:paraId="5DFF4F2B" w14:textId="77777777" w:rsidR="009C1E42" w:rsidRPr="00A864A5" w:rsidRDefault="009C1E42">
            <w:pPr>
              <w:rPr>
                <w:rFonts w:cs="Arial"/>
                <w:iCs/>
                <w:color w:val="000000"/>
                <w:szCs w:val="22"/>
                <w:lang w:val="en-NZ"/>
              </w:rPr>
            </w:pPr>
            <w:r>
              <w:rPr>
                <w:rFonts w:cs="Arial"/>
                <w:szCs w:val="22"/>
                <w:lang w:val="en-NZ"/>
              </w:rPr>
              <w:t>Ministry of Social Development and Ministry of Housing and Urban Development</w:t>
            </w:r>
          </w:p>
        </w:tc>
      </w:tr>
      <w:tr w:rsidR="009C1E42" w:rsidRPr="00A864A5" w14:paraId="48BDF898" w14:textId="77777777">
        <w:trPr>
          <w:trHeight w:val="141"/>
        </w:trPr>
        <w:tc>
          <w:tcPr>
            <w:tcW w:w="1328" w:type="pct"/>
            <w:tcBorders>
              <w:top w:val="nil"/>
            </w:tcBorders>
            <w:shd w:val="clear" w:color="auto" w:fill="EBF5F8"/>
          </w:tcPr>
          <w:p w14:paraId="01EEF2DE" w14:textId="5FC983D5" w:rsidR="009C1E42" w:rsidRPr="00A864A5" w:rsidRDefault="009C1E42" w:rsidP="009C1E42">
            <w:pPr>
              <w:rPr>
                <w:rFonts w:cs="Arial"/>
                <w:iCs/>
                <w:color w:val="000000"/>
                <w:szCs w:val="22"/>
                <w:lang w:val="en-NZ"/>
              </w:rPr>
            </w:pPr>
            <w:r w:rsidRPr="00A864A5">
              <w:rPr>
                <w:rFonts w:cs="Arial"/>
                <w:iCs/>
                <w:color w:val="000000"/>
                <w:szCs w:val="22"/>
                <w:lang w:val="en-NZ"/>
              </w:rPr>
              <w:t>Panel Assessment &amp; Comment:</w:t>
            </w:r>
          </w:p>
        </w:tc>
        <w:tc>
          <w:tcPr>
            <w:tcW w:w="3672" w:type="pct"/>
            <w:tcBorders>
              <w:top w:val="nil"/>
            </w:tcBorders>
            <w:shd w:val="clear" w:color="auto" w:fill="auto"/>
          </w:tcPr>
          <w:p w14:paraId="46E7E160" w14:textId="50D36AC1" w:rsidR="009C1E42" w:rsidRDefault="009C1E42" w:rsidP="00963BCD">
            <w:pPr>
              <w:spacing w:line="240" w:lineRule="auto"/>
              <w:rPr>
                <w:rFonts w:cs="Arial"/>
                <w:szCs w:val="22"/>
                <w:lang w:val="en-NZ"/>
              </w:rPr>
            </w:pPr>
            <w:r>
              <w:t xml:space="preserve">A panel of policy staff from the Ministry of Social Development and Ministry of Housing and Urban Development reviewed the Supplementary Analysis Report and concluded that it </w:t>
            </w:r>
            <w:r w:rsidRPr="00EB7BE6">
              <w:rPr>
                <w:b/>
                <w:bCs/>
              </w:rPr>
              <w:t>partially meets</w:t>
            </w:r>
            <w:r>
              <w:t xml:space="preserve"> the quality assurance criteria. The panel considers that the assessment is generally clear, complete and convincing. However, there has been limited consultation with the public on the proposals, and the limitations on the data and evidence available and the modelling able to be undertaken means the impacts of the policy are not able to be fully quantified. The panel notes that MSD will monitor this initiative and provide updates to relevant Ministers and the Treasury.  </w:t>
            </w:r>
          </w:p>
        </w:tc>
      </w:tr>
    </w:tbl>
    <w:p w14:paraId="17EA6191" w14:textId="77777777" w:rsidR="009C1E42" w:rsidRDefault="009C1E42" w:rsidP="009C1E42">
      <w:pPr>
        <w:pStyle w:val="BodyText-Numbered"/>
        <w:rPr>
          <w:lang w:val="en-NZ"/>
        </w:rPr>
      </w:pPr>
    </w:p>
    <w:p w14:paraId="3E327532" w14:textId="25B277F3" w:rsidR="00C53DAC" w:rsidRDefault="00F16C50" w:rsidP="006C05B1">
      <w:pPr>
        <w:pStyle w:val="Heading2"/>
        <w:keepNext w:val="0"/>
        <w:rPr>
          <w:lang w:val="en-NZ"/>
        </w:rPr>
      </w:pPr>
      <w:bookmarkStart w:id="28" w:name="_Toc196390894"/>
      <w:r w:rsidRPr="00A864A5">
        <w:rPr>
          <w:lang w:val="en-NZ"/>
        </w:rPr>
        <w:t xml:space="preserve">Section 1: </w:t>
      </w:r>
      <w:r w:rsidR="0022201B">
        <w:rPr>
          <w:lang w:val="en-NZ"/>
        </w:rPr>
        <w:t>Diagnos</w:t>
      </w:r>
      <w:r w:rsidR="001C4A82">
        <w:rPr>
          <w:lang w:val="en-NZ"/>
        </w:rPr>
        <w:t>ing</w:t>
      </w:r>
      <w:r w:rsidR="0022201B">
        <w:rPr>
          <w:lang w:val="en-NZ"/>
        </w:rPr>
        <w:t xml:space="preserve"> the policy problem</w:t>
      </w:r>
      <w:bookmarkEnd w:id="28"/>
    </w:p>
    <w:p w14:paraId="4E48D616" w14:textId="3061826A" w:rsidR="007D78A1" w:rsidRPr="00A864A5" w:rsidRDefault="007E4F5A" w:rsidP="006C05B1">
      <w:pPr>
        <w:pStyle w:val="Heading3"/>
        <w:keepNext w:val="0"/>
        <w:rPr>
          <w:lang w:val="en-NZ"/>
        </w:rPr>
      </w:pPr>
      <w:bookmarkStart w:id="29" w:name="_Toc196390895"/>
      <w:r>
        <w:rPr>
          <w:lang w:val="en-NZ"/>
        </w:rPr>
        <w:t xml:space="preserve">What is the context behind the </w:t>
      </w:r>
      <w:r w:rsidR="008E4014">
        <w:rPr>
          <w:lang w:val="en-NZ"/>
        </w:rPr>
        <w:t xml:space="preserve">policy </w:t>
      </w:r>
      <w:r>
        <w:rPr>
          <w:lang w:val="en-NZ"/>
        </w:rPr>
        <w:t>problem</w:t>
      </w:r>
      <w:r w:rsidR="000F740F">
        <w:rPr>
          <w:lang w:val="en-NZ"/>
        </w:rPr>
        <w:t xml:space="preserve"> and </w:t>
      </w:r>
      <w:r w:rsidR="00E0257A">
        <w:rPr>
          <w:lang w:val="en-NZ"/>
        </w:rPr>
        <w:t>how is the s</w:t>
      </w:r>
      <w:r w:rsidR="000F740F">
        <w:rPr>
          <w:lang w:val="en-NZ"/>
        </w:rPr>
        <w:t>tatus quo</w:t>
      </w:r>
      <w:r w:rsidR="00E0257A">
        <w:rPr>
          <w:lang w:val="en-NZ"/>
        </w:rPr>
        <w:t xml:space="preserve"> expected to develop</w:t>
      </w:r>
      <w:r>
        <w:rPr>
          <w:lang w:val="en-NZ"/>
        </w:rPr>
        <w:t>?</w:t>
      </w:r>
      <w:bookmarkEnd w:id="29"/>
    </w:p>
    <w:p w14:paraId="3F51160C" w14:textId="644FDDFA" w:rsidR="007D78A1" w:rsidRDefault="001326E0" w:rsidP="006C05B1">
      <w:pPr>
        <w:pStyle w:val="BodyText-Numbered"/>
        <w:keepNext w:val="0"/>
        <w:numPr>
          <w:ilvl w:val="0"/>
          <w:numId w:val="4"/>
        </w:numPr>
        <w:ind w:left="567" w:hanging="567"/>
        <w:rPr>
          <w:lang w:val="en-NZ"/>
        </w:rPr>
      </w:pPr>
      <w:r w:rsidRPr="001326E0">
        <w:rPr>
          <w:lang w:val="en-NZ"/>
        </w:rPr>
        <w:t xml:space="preserve">The policy </w:t>
      </w:r>
      <w:r w:rsidR="00302DC3">
        <w:rPr>
          <w:lang w:val="en-NZ"/>
        </w:rPr>
        <w:t>of</w:t>
      </w:r>
      <w:r w:rsidR="00302DC3" w:rsidRPr="001326E0">
        <w:rPr>
          <w:lang w:val="en-NZ"/>
        </w:rPr>
        <w:t xml:space="preserve"> </w:t>
      </w:r>
      <w:r w:rsidR="00917B63">
        <w:rPr>
          <w:lang w:val="en-NZ"/>
        </w:rPr>
        <w:t>disregarding</w:t>
      </w:r>
      <w:r w:rsidRPr="001326E0">
        <w:rPr>
          <w:lang w:val="en-NZ"/>
        </w:rPr>
        <w:t xml:space="preserve"> contributions </w:t>
      </w:r>
      <w:r w:rsidR="00917B63">
        <w:rPr>
          <w:lang w:val="en-NZ"/>
        </w:rPr>
        <w:t xml:space="preserve">received </w:t>
      </w:r>
      <w:r w:rsidRPr="001326E0">
        <w:rPr>
          <w:lang w:val="en-NZ"/>
        </w:rPr>
        <w:t>from one or two boarders</w:t>
      </w:r>
      <w:r w:rsidR="00917B63">
        <w:rPr>
          <w:lang w:val="en-NZ"/>
        </w:rPr>
        <w:t>,</w:t>
      </w:r>
      <w:r w:rsidRPr="001326E0">
        <w:rPr>
          <w:lang w:val="en-NZ"/>
        </w:rPr>
        <w:t xml:space="preserve"> when calculating </w:t>
      </w:r>
      <w:r w:rsidR="00917B63">
        <w:rPr>
          <w:lang w:val="en-NZ"/>
        </w:rPr>
        <w:t xml:space="preserve">a person’s entitlement to </w:t>
      </w:r>
      <w:r w:rsidRPr="001326E0">
        <w:rPr>
          <w:lang w:val="en-NZ"/>
        </w:rPr>
        <w:t>housing subsidies and assistance</w:t>
      </w:r>
      <w:r w:rsidR="00542A2B">
        <w:rPr>
          <w:lang w:val="en-NZ"/>
        </w:rPr>
        <w:t xml:space="preserve"> </w:t>
      </w:r>
      <w:r w:rsidR="00AF3EEA" w:rsidRPr="00AF3EEA">
        <w:rPr>
          <w:lang w:val="en-NZ"/>
        </w:rPr>
        <w:t xml:space="preserve">under the Social Security Act </w:t>
      </w:r>
      <w:r w:rsidR="00542A2B">
        <w:rPr>
          <w:lang w:val="en-NZ"/>
        </w:rPr>
        <w:t>(the boarders’ contributions policy)</w:t>
      </w:r>
      <w:r w:rsidR="00917B63">
        <w:rPr>
          <w:lang w:val="en-NZ"/>
        </w:rPr>
        <w:t>,</w:t>
      </w:r>
      <w:r w:rsidRPr="001326E0">
        <w:rPr>
          <w:lang w:val="en-NZ"/>
        </w:rPr>
        <w:t xml:space="preserve"> was introduced around 1992.</w:t>
      </w:r>
      <w:r w:rsidRPr="00816541">
        <w:rPr>
          <w:vertAlign w:val="superscript"/>
        </w:rPr>
        <w:footnoteReference w:id="8"/>
      </w:r>
      <w:r w:rsidRPr="00816541">
        <w:rPr>
          <w:vertAlign w:val="superscript"/>
          <w:lang w:val="en-NZ"/>
        </w:rPr>
        <w:t xml:space="preserve"> </w:t>
      </w:r>
      <w:r w:rsidRPr="001326E0">
        <w:rPr>
          <w:lang w:val="en-NZ"/>
        </w:rPr>
        <w:t>It was intended to encourage better utilisation of state housing (i.e. occupation of empty rooms) and encourage beneficiary households</w:t>
      </w:r>
      <w:r w:rsidR="00542A2B">
        <w:rPr>
          <w:lang w:val="en-NZ"/>
        </w:rPr>
        <w:t>,</w:t>
      </w:r>
      <w:r w:rsidRPr="001326E0">
        <w:rPr>
          <w:lang w:val="en-NZ"/>
        </w:rPr>
        <w:t xml:space="preserve"> </w:t>
      </w:r>
      <w:r w:rsidR="00542A2B" w:rsidRPr="001326E0">
        <w:rPr>
          <w:lang w:val="en-NZ"/>
        </w:rPr>
        <w:t>particularly sole parent beneficiaries living in larger state houses</w:t>
      </w:r>
      <w:r w:rsidR="00542A2B">
        <w:rPr>
          <w:lang w:val="en-NZ"/>
        </w:rPr>
        <w:t>,</w:t>
      </w:r>
      <w:r w:rsidR="00542A2B" w:rsidRPr="001326E0">
        <w:rPr>
          <w:lang w:val="en-NZ"/>
        </w:rPr>
        <w:t xml:space="preserve"> </w:t>
      </w:r>
      <w:r w:rsidRPr="001326E0">
        <w:rPr>
          <w:lang w:val="en-NZ"/>
        </w:rPr>
        <w:t xml:space="preserve">to take on </w:t>
      </w:r>
      <w:r w:rsidR="00542A2B">
        <w:rPr>
          <w:lang w:val="en-NZ"/>
        </w:rPr>
        <w:t xml:space="preserve">a </w:t>
      </w:r>
      <w:r w:rsidRPr="001326E0">
        <w:rPr>
          <w:lang w:val="en-NZ"/>
        </w:rPr>
        <w:t>boarder</w:t>
      </w:r>
      <w:r w:rsidR="00542A2B">
        <w:rPr>
          <w:lang w:val="en-NZ"/>
        </w:rPr>
        <w:t>(</w:t>
      </w:r>
      <w:r w:rsidRPr="001326E0">
        <w:rPr>
          <w:lang w:val="en-NZ"/>
        </w:rPr>
        <w:t>s</w:t>
      </w:r>
      <w:r w:rsidR="00542A2B">
        <w:rPr>
          <w:lang w:val="en-NZ"/>
        </w:rPr>
        <w:t>)</w:t>
      </w:r>
      <w:r w:rsidRPr="001326E0">
        <w:rPr>
          <w:lang w:val="en-NZ"/>
        </w:rPr>
        <w:t xml:space="preserve"> to offset some of their costs. The wider context to the introduction of the policy was a reduction in </w:t>
      </w:r>
      <w:r w:rsidR="005F75D7" w:rsidRPr="005F75D7">
        <w:rPr>
          <w:lang w:val="en-NZ"/>
        </w:rPr>
        <w:t>rates of most main social security benefits in 199</w:t>
      </w:r>
      <w:r w:rsidR="002302AC">
        <w:rPr>
          <w:lang w:val="en-NZ"/>
        </w:rPr>
        <w:t xml:space="preserve">1 </w:t>
      </w:r>
      <w:r w:rsidR="005F75D7" w:rsidRPr="005F75D7">
        <w:rPr>
          <w:lang w:val="en-NZ"/>
        </w:rPr>
        <w:t xml:space="preserve">(and a two-year freeze in the rates of the pension), and the transition to </w:t>
      </w:r>
      <w:r w:rsidRPr="001326E0">
        <w:rPr>
          <w:lang w:val="en-NZ"/>
        </w:rPr>
        <w:t xml:space="preserve">market rents for </w:t>
      </w:r>
      <w:r w:rsidR="00825FB1" w:rsidRPr="00825FB1">
        <w:rPr>
          <w:lang w:val="en-NZ"/>
        </w:rPr>
        <w:t xml:space="preserve">social housing </w:t>
      </w:r>
      <w:r w:rsidRPr="001326E0">
        <w:rPr>
          <w:lang w:val="en-NZ"/>
        </w:rPr>
        <w:t xml:space="preserve">tenants from October 1992. </w:t>
      </w:r>
      <w:r w:rsidR="00542A2B">
        <w:rPr>
          <w:lang w:val="en-NZ"/>
        </w:rPr>
        <w:t>While the boarders’ contributions</w:t>
      </w:r>
      <w:r w:rsidRPr="001326E0">
        <w:rPr>
          <w:lang w:val="en-NZ"/>
        </w:rPr>
        <w:t xml:space="preserve"> policy aimed to encourage better utilisation of state housing stock</w:t>
      </w:r>
      <w:r w:rsidR="001102CD">
        <w:rPr>
          <w:lang w:val="en-NZ"/>
        </w:rPr>
        <w:t>,</w:t>
      </w:r>
      <w:r w:rsidRPr="001326E0">
        <w:rPr>
          <w:lang w:val="en-NZ"/>
        </w:rPr>
        <w:t xml:space="preserve"> </w:t>
      </w:r>
      <w:r w:rsidR="002E4F2C">
        <w:rPr>
          <w:lang w:val="en-NZ"/>
        </w:rPr>
        <w:t xml:space="preserve">it </w:t>
      </w:r>
      <w:r w:rsidRPr="001326E0">
        <w:rPr>
          <w:lang w:val="en-NZ"/>
        </w:rPr>
        <w:t xml:space="preserve">was applied to all income assessments for assistance under the </w:t>
      </w:r>
      <w:r w:rsidR="00D15D8F" w:rsidRPr="00D15D8F">
        <w:rPr>
          <w:lang w:val="en-NZ"/>
        </w:rPr>
        <w:t xml:space="preserve">Social Security Act </w:t>
      </w:r>
      <w:r w:rsidR="00D42C71">
        <w:rPr>
          <w:lang w:val="en-NZ"/>
        </w:rPr>
        <w:t>at the time</w:t>
      </w:r>
      <w:r>
        <w:rPr>
          <w:lang w:val="en-NZ"/>
        </w:rPr>
        <w:t>.</w:t>
      </w:r>
    </w:p>
    <w:p w14:paraId="4A9FB4A6" w14:textId="0F1E103C" w:rsidR="001326E0" w:rsidRDefault="00BD1974" w:rsidP="006C05B1">
      <w:pPr>
        <w:pStyle w:val="BodyText-Numbered"/>
        <w:keepNext w:val="0"/>
        <w:numPr>
          <w:ilvl w:val="0"/>
          <w:numId w:val="4"/>
        </w:numPr>
        <w:ind w:left="567" w:hanging="567"/>
        <w:rPr>
          <w:lang w:val="en-NZ"/>
        </w:rPr>
      </w:pPr>
      <w:r>
        <w:rPr>
          <w:lang w:val="en-NZ"/>
        </w:rPr>
        <w:t xml:space="preserve">While regulation 12 of </w:t>
      </w:r>
      <w:r w:rsidRPr="001326E0">
        <w:rPr>
          <w:lang w:val="en-NZ"/>
        </w:rPr>
        <w:t>the Public and Community Housing Management (Prescribed Elements of Calculation Mechanism) Regulations 2018</w:t>
      </w:r>
      <w:r>
        <w:rPr>
          <w:lang w:val="en-NZ"/>
        </w:rPr>
        <w:t xml:space="preserve"> </w:t>
      </w:r>
      <w:r w:rsidR="00410A17">
        <w:rPr>
          <w:lang w:val="en-NZ"/>
        </w:rPr>
        <w:t>authorises</w:t>
      </w:r>
      <w:r>
        <w:rPr>
          <w:lang w:val="en-NZ"/>
        </w:rPr>
        <w:t xml:space="preserve"> </w:t>
      </w:r>
      <w:r w:rsidR="005027A3" w:rsidRPr="005027A3">
        <w:rPr>
          <w:lang w:val="en-NZ"/>
        </w:rPr>
        <w:t xml:space="preserve">disregarding contributions </w:t>
      </w:r>
      <w:r w:rsidR="005027A3">
        <w:rPr>
          <w:lang w:val="en-NZ"/>
        </w:rPr>
        <w:t>from the first</w:t>
      </w:r>
      <w:r w:rsidR="005027A3" w:rsidRPr="005027A3">
        <w:rPr>
          <w:lang w:val="en-NZ"/>
        </w:rPr>
        <w:t xml:space="preserve"> two boarders</w:t>
      </w:r>
      <w:r w:rsidR="005027A3" w:rsidRPr="005027A3" w:rsidDel="005027A3">
        <w:rPr>
          <w:lang w:val="en-NZ"/>
        </w:rPr>
        <w:t xml:space="preserve"> </w:t>
      </w:r>
      <w:r w:rsidR="005027A3">
        <w:rPr>
          <w:lang w:val="en-NZ"/>
        </w:rPr>
        <w:t>when</w:t>
      </w:r>
      <w:r w:rsidR="001102CD" w:rsidRPr="001326E0">
        <w:rPr>
          <w:lang w:val="en-NZ"/>
        </w:rPr>
        <w:t xml:space="preserve"> </w:t>
      </w:r>
      <w:r w:rsidR="001445BA">
        <w:rPr>
          <w:lang w:val="en-NZ"/>
        </w:rPr>
        <w:t>calculating</w:t>
      </w:r>
      <w:r w:rsidR="001102CD" w:rsidRPr="001326E0">
        <w:rPr>
          <w:lang w:val="en-NZ"/>
        </w:rPr>
        <w:t xml:space="preserve"> the IRR for </w:t>
      </w:r>
      <w:r w:rsidR="001102CD" w:rsidRPr="00825FB1">
        <w:rPr>
          <w:lang w:val="en-NZ"/>
        </w:rPr>
        <w:t>social housing</w:t>
      </w:r>
      <w:r w:rsidR="001102CD" w:rsidRPr="001326E0">
        <w:rPr>
          <w:lang w:val="en-NZ"/>
        </w:rPr>
        <w:t xml:space="preserve"> tenants</w:t>
      </w:r>
      <w:r w:rsidR="00410A17">
        <w:rPr>
          <w:lang w:val="en-NZ"/>
        </w:rPr>
        <w:t xml:space="preserve">, </w:t>
      </w:r>
      <w:r w:rsidR="00044073">
        <w:rPr>
          <w:lang w:val="en-NZ"/>
        </w:rPr>
        <w:t xml:space="preserve">no clear or consistent legislative authority exists under </w:t>
      </w:r>
      <w:r w:rsidR="00317828">
        <w:rPr>
          <w:lang w:val="en-NZ"/>
        </w:rPr>
        <w:t>the</w:t>
      </w:r>
      <w:r w:rsidR="00317828" w:rsidRPr="001326E0" w:rsidDel="001102CD">
        <w:rPr>
          <w:lang w:val="en-NZ"/>
        </w:rPr>
        <w:t xml:space="preserve"> </w:t>
      </w:r>
      <w:r w:rsidR="000E4CC4">
        <w:rPr>
          <w:lang w:val="en-NZ"/>
        </w:rPr>
        <w:t>Social Security Act</w:t>
      </w:r>
      <w:r w:rsidR="00044073">
        <w:rPr>
          <w:lang w:val="en-NZ"/>
        </w:rPr>
        <w:t>, which</w:t>
      </w:r>
      <w:r w:rsidR="000E4CC4">
        <w:rPr>
          <w:lang w:val="en-NZ"/>
        </w:rPr>
        <w:t xml:space="preserve"> </w:t>
      </w:r>
      <w:r w:rsidR="00906AF1">
        <w:rPr>
          <w:lang w:val="en-NZ"/>
        </w:rPr>
        <w:t xml:space="preserve">is </w:t>
      </w:r>
      <w:r w:rsidR="000B5273">
        <w:rPr>
          <w:lang w:val="en-NZ"/>
        </w:rPr>
        <w:t>silent</w:t>
      </w:r>
      <w:r w:rsidR="00074415">
        <w:rPr>
          <w:lang w:val="en-NZ"/>
        </w:rPr>
        <w:t xml:space="preserve"> on the treatment of boarder contributions</w:t>
      </w:r>
      <w:r w:rsidR="00906AF1">
        <w:rPr>
          <w:lang w:val="en-NZ"/>
        </w:rPr>
        <w:t xml:space="preserve"> </w:t>
      </w:r>
      <w:r w:rsidR="00906AF1" w:rsidRPr="00906AF1">
        <w:rPr>
          <w:lang w:val="en-NZ"/>
        </w:rPr>
        <w:t xml:space="preserve">when calculating </w:t>
      </w:r>
      <w:r w:rsidR="008B4DA8">
        <w:rPr>
          <w:lang w:val="en-NZ"/>
        </w:rPr>
        <w:t xml:space="preserve">eligibility for </w:t>
      </w:r>
      <w:r w:rsidR="00906AF1" w:rsidRPr="00906AF1">
        <w:rPr>
          <w:lang w:val="en-NZ"/>
        </w:rPr>
        <w:t>housing subsidies</w:t>
      </w:r>
      <w:r w:rsidR="00044073">
        <w:rPr>
          <w:lang w:val="en-NZ"/>
        </w:rPr>
        <w:t xml:space="preserve"> and other forms of </w:t>
      </w:r>
      <w:r w:rsidR="008B4DA8">
        <w:rPr>
          <w:lang w:val="en-NZ"/>
        </w:rPr>
        <w:t xml:space="preserve">financial </w:t>
      </w:r>
      <w:r w:rsidR="004073CC">
        <w:rPr>
          <w:lang w:val="en-NZ"/>
        </w:rPr>
        <w:t>assistance</w:t>
      </w:r>
      <w:r w:rsidR="0074138B">
        <w:rPr>
          <w:lang w:val="en-NZ"/>
        </w:rPr>
        <w:t xml:space="preserve">. </w:t>
      </w:r>
    </w:p>
    <w:p w14:paraId="33273FE1" w14:textId="00967F38" w:rsidR="001326E0" w:rsidRDefault="001326E0" w:rsidP="006C05B1">
      <w:pPr>
        <w:pStyle w:val="BodyText-Numbered"/>
        <w:keepNext w:val="0"/>
        <w:numPr>
          <w:ilvl w:val="0"/>
          <w:numId w:val="4"/>
        </w:numPr>
        <w:ind w:left="567" w:hanging="567"/>
        <w:rPr>
          <w:lang w:val="en-NZ"/>
        </w:rPr>
      </w:pPr>
      <w:r w:rsidRPr="001326E0">
        <w:rPr>
          <w:lang w:val="en-NZ"/>
        </w:rPr>
        <w:t xml:space="preserve">If a person receives payments from </w:t>
      </w:r>
      <w:r w:rsidR="003C5DB2">
        <w:rPr>
          <w:lang w:val="en-NZ"/>
        </w:rPr>
        <w:t xml:space="preserve">three or </w:t>
      </w:r>
      <w:r w:rsidRPr="001326E0">
        <w:rPr>
          <w:lang w:val="en-NZ"/>
        </w:rPr>
        <w:t>more boarders (and the arrangement is not</w:t>
      </w:r>
      <w:r w:rsidRPr="00942798">
        <w:rPr>
          <w:lang w:val="en-NZ"/>
        </w:rPr>
        <w:t xml:space="preserve"> </w:t>
      </w:r>
      <w:r w:rsidRPr="001326E0">
        <w:rPr>
          <w:lang w:val="en-NZ"/>
        </w:rPr>
        <w:t>considered to be a business venture, such as a boarding house)</w:t>
      </w:r>
      <w:r w:rsidR="00875742">
        <w:rPr>
          <w:lang w:val="en-NZ"/>
        </w:rPr>
        <w:t>,</w:t>
      </w:r>
      <w:r w:rsidRPr="001326E0">
        <w:rPr>
          <w:lang w:val="en-NZ"/>
        </w:rPr>
        <w:t xml:space="preserve"> the amount received from the third and subsequent boarders is </w:t>
      </w:r>
      <w:r w:rsidR="000E347B">
        <w:rPr>
          <w:lang w:val="en-NZ"/>
        </w:rPr>
        <w:t xml:space="preserve">currently </w:t>
      </w:r>
      <w:r w:rsidRPr="001326E0">
        <w:rPr>
          <w:lang w:val="en-NZ"/>
        </w:rPr>
        <w:t>charged as income via the ‘profit from boarders calculation</w:t>
      </w:r>
      <w:r w:rsidR="00ED7C1C">
        <w:rPr>
          <w:lang w:val="en-NZ"/>
        </w:rPr>
        <w:t>’</w:t>
      </w:r>
      <w:r w:rsidRPr="001326E0">
        <w:rPr>
          <w:lang w:val="en-NZ"/>
        </w:rPr>
        <w:t>. This calculation is contained in the Ministry</w:t>
      </w:r>
      <w:r w:rsidR="00697604">
        <w:rPr>
          <w:lang w:val="en-NZ"/>
        </w:rPr>
        <w:t xml:space="preserve"> of Social Development</w:t>
      </w:r>
      <w:r w:rsidR="00BD7132">
        <w:rPr>
          <w:lang w:val="en-NZ"/>
        </w:rPr>
        <w:t>’s</w:t>
      </w:r>
      <w:r w:rsidR="001602B8">
        <w:rPr>
          <w:lang w:val="en-NZ"/>
        </w:rPr>
        <w:t xml:space="preserve"> (MSD</w:t>
      </w:r>
      <w:r w:rsidR="00BD7132">
        <w:rPr>
          <w:lang w:val="en-NZ"/>
        </w:rPr>
        <w:t>)</w:t>
      </w:r>
      <w:r w:rsidRPr="001326E0">
        <w:rPr>
          <w:lang w:val="en-NZ"/>
        </w:rPr>
        <w:t xml:space="preserve"> operational guidelines</w:t>
      </w:r>
      <w:r w:rsidR="006C4A9A">
        <w:rPr>
          <w:lang w:val="en-NZ"/>
        </w:rPr>
        <w:t xml:space="preserve"> and is not specified in</w:t>
      </w:r>
      <w:r w:rsidRPr="001326E0">
        <w:rPr>
          <w:lang w:val="en-NZ"/>
        </w:rPr>
        <w:t xml:space="preserve"> legislation.</w:t>
      </w:r>
    </w:p>
    <w:p w14:paraId="5C784B4C" w14:textId="4BC3F460" w:rsidR="001326E0" w:rsidRDefault="001326E0" w:rsidP="006C05B1">
      <w:pPr>
        <w:pStyle w:val="BodyText-Numbered"/>
        <w:keepNext w:val="0"/>
        <w:numPr>
          <w:ilvl w:val="0"/>
          <w:numId w:val="4"/>
        </w:numPr>
        <w:ind w:left="567" w:hanging="567"/>
        <w:rPr>
          <w:lang w:val="en-NZ"/>
        </w:rPr>
      </w:pPr>
      <w:r w:rsidRPr="001326E0">
        <w:rPr>
          <w:lang w:val="en-NZ"/>
        </w:rPr>
        <w:t xml:space="preserve">The </w:t>
      </w:r>
      <w:r>
        <w:rPr>
          <w:lang w:val="en-NZ"/>
        </w:rPr>
        <w:t xml:space="preserve">current </w:t>
      </w:r>
      <w:r w:rsidRPr="001326E0">
        <w:rPr>
          <w:lang w:val="en-NZ"/>
        </w:rPr>
        <w:t>‘profit from boarders calculation</w:t>
      </w:r>
      <w:r w:rsidR="00B640FD">
        <w:rPr>
          <w:lang w:val="en-NZ"/>
        </w:rPr>
        <w:t>’</w:t>
      </w:r>
      <w:r w:rsidRPr="001326E0">
        <w:rPr>
          <w:lang w:val="en-NZ"/>
        </w:rPr>
        <w:t xml:space="preserve"> does not apply when calculating assessable income for </w:t>
      </w:r>
      <w:r w:rsidR="006A5F47">
        <w:rPr>
          <w:lang w:val="en-NZ"/>
        </w:rPr>
        <w:t>social housing</w:t>
      </w:r>
      <w:r w:rsidRPr="001326E0">
        <w:rPr>
          <w:lang w:val="en-NZ"/>
        </w:rPr>
        <w:t xml:space="preserve"> tenants. If a</w:t>
      </w:r>
      <w:r w:rsidR="006A5F47">
        <w:rPr>
          <w:lang w:val="en-NZ"/>
        </w:rPr>
        <w:t xml:space="preserve"> social housing</w:t>
      </w:r>
      <w:r w:rsidRPr="001326E0">
        <w:rPr>
          <w:lang w:val="en-NZ"/>
        </w:rPr>
        <w:t xml:space="preserve"> tenant is receiving board payments from three or more boarders (and the contributions from boarders are not considered to be the tenant’s main source of income), the housing contributions from the two boarders paying the highest amount of board are disregarded, and </w:t>
      </w:r>
      <w:r w:rsidRPr="001326E0">
        <w:rPr>
          <w:lang w:val="en-NZ"/>
        </w:rPr>
        <w:lastRenderedPageBreak/>
        <w:t xml:space="preserve">contributions from any other boarders </w:t>
      </w:r>
      <w:r w:rsidR="00FD1DF9">
        <w:rPr>
          <w:lang w:val="en-NZ"/>
        </w:rPr>
        <w:t>are</w:t>
      </w:r>
      <w:r w:rsidR="00FD1DF9" w:rsidRPr="001326E0">
        <w:rPr>
          <w:lang w:val="en-NZ"/>
        </w:rPr>
        <w:t xml:space="preserve"> </w:t>
      </w:r>
      <w:r w:rsidRPr="001326E0">
        <w:rPr>
          <w:lang w:val="en-NZ"/>
        </w:rPr>
        <w:t xml:space="preserve">included </w:t>
      </w:r>
      <w:r w:rsidR="00194460" w:rsidRPr="00194460">
        <w:rPr>
          <w:lang w:val="en-NZ"/>
        </w:rPr>
        <w:t>as assessable income when calculating</w:t>
      </w:r>
      <w:r w:rsidRPr="001326E0">
        <w:rPr>
          <w:lang w:val="en-NZ"/>
        </w:rPr>
        <w:t xml:space="preserve"> IRR.</w:t>
      </w:r>
    </w:p>
    <w:p w14:paraId="478F116C" w14:textId="0419CBAA" w:rsidR="00A64C1F" w:rsidRPr="00A64C1F" w:rsidRDefault="00A64C1F" w:rsidP="006C05B1">
      <w:pPr>
        <w:pStyle w:val="Heading4"/>
        <w:rPr>
          <w:lang w:val="en-NZ"/>
        </w:rPr>
      </w:pPr>
      <w:r w:rsidRPr="001413FE">
        <w:rPr>
          <w:lang w:val="en-NZ"/>
        </w:rPr>
        <w:t>Cabinet agreed to count the housing contribution from all boarders in the assessment of housing subsidies</w:t>
      </w:r>
      <w:r>
        <w:rPr>
          <w:lang w:val="en-NZ"/>
        </w:rPr>
        <w:t xml:space="preserve"> </w:t>
      </w:r>
    </w:p>
    <w:p w14:paraId="4AA386C2" w14:textId="71665F05" w:rsidR="001326E0" w:rsidRPr="00942798" w:rsidRDefault="001326E0" w:rsidP="006C05B1">
      <w:pPr>
        <w:pStyle w:val="BodyText-Numbered"/>
        <w:keepNext w:val="0"/>
        <w:numPr>
          <w:ilvl w:val="0"/>
          <w:numId w:val="4"/>
        </w:numPr>
        <w:ind w:left="567" w:hanging="567"/>
        <w:rPr>
          <w:lang w:val="en-NZ"/>
        </w:rPr>
      </w:pPr>
      <w:r w:rsidRPr="001326E0">
        <w:rPr>
          <w:lang w:val="en-NZ"/>
        </w:rPr>
        <w:t xml:space="preserve">On </w:t>
      </w:r>
      <w:r w:rsidR="00AB7FA5">
        <w:rPr>
          <w:lang w:val="en-NZ"/>
        </w:rPr>
        <w:t>29 April</w:t>
      </w:r>
      <w:r w:rsidRPr="001326E0">
        <w:rPr>
          <w:lang w:val="en-NZ"/>
        </w:rPr>
        <w:t xml:space="preserve"> 2024, Cabinet agreed that the housing contribution</w:t>
      </w:r>
      <w:r w:rsidR="00E113DC">
        <w:rPr>
          <w:lang w:val="en-NZ"/>
        </w:rPr>
        <w:t>s</w:t>
      </w:r>
      <w:r w:rsidRPr="001326E0">
        <w:rPr>
          <w:lang w:val="en-NZ"/>
        </w:rPr>
        <w:t xml:space="preserve"> from all boarders will be counted in the assessment of housing subsidies</w:t>
      </w:r>
      <w:r w:rsidR="00F709B1">
        <w:rPr>
          <w:lang w:val="en-NZ"/>
        </w:rPr>
        <w:t xml:space="preserve">. </w:t>
      </w:r>
      <w:r w:rsidRPr="001326E0">
        <w:rPr>
          <w:lang w:val="en-NZ"/>
        </w:rPr>
        <w:t xml:space="preserve">This will require a change to existing policy, which disregards housing contributions received from one or two boarders when calculating </w:t>
      </w:r>
      <w:r w:rsidRPr="00942798">
        <w:rPr>
          <w:lang w:val="en-NZ"/>
        </w:rPr>
        <w:t>a person’s accommodation costs or income</w:t>
      </w:r>
      <w:r w:rsidR="00E70613" w:rsidRPr="00942798">
        <w:rPr>
          <w:lang w:val="en-NZ"/>
        </w:rPr>
        <w:t xml:space="preserve"> [CAB-24-MIN-0148.74 refers]</w:t>
      </w:r>
      <w:r w:rsidRPr="00942798">
        <w:rPr>
          <w:lang w:val="en-NZ"/>
        </w:rPr>
        <w:t>.</w:t>
      </w:r>
    </w:p>
    <w:p w14:paraId="03ACC6B8" w14:textId="7B688845" w:rsidR="00D27708" w:rsidRDefault="007D78A1" w:rsidP="006C05B1">
      <w:pPr>
        <w:pStyle w:val="Heading3"/>
        <w:keepNext w:val="0"/>
        <w:rPr>
          <w:lang w:val="en-NZ"/>
        </w:rPr>
      </w:pPr>
      <w:bookmarkStart w:id="30" w:name="_Toc196390896"/>
      <w:r w:rsidRPr="00A864A5">
        <w:rPr>
          <w:lang w:val="en-NZ"/>
        </w:rPr>
        <w:t>What is the policy problem</w:t>
      </w:r>
      <w:r w:rsidR="002352C4">
        <w:rPr>
          <w:lang w:val="en-NZ"/>
        </w:rPr>
        <w:t xml:space="preserve"> or opportunity</w:t>
      </w:r>
      <w:r w:rsidRPr="00A864A5">
        <w:rPr>
          <w:lang w:val="en-NZ"/>
        </w:rPr>
        <w:t>?</w:t>
      </w:r>
      <w:bookmarkStart w:id="31" w:name="_Hlk179980283"/>
      <w:bookmarkEnd w:id="30"/>
    </w:p>
    <w:p w14:paraId="79D44205" w14:textId="2C04FFE2" w:rsidR="006F41E6" w:rsidRPr="0071706D" w:rsidRDefault="006F41E6" w:rsidP="006C05B1">
      <w:pPr>
        <w:pStyle w:val="Heading4"/>
        <w:rPr>
          <w:lang w:val="en-NZ"/>
        </w:rPr>
      </w:pPr>
      <w:bookmarkStart w:id="32" w:name="_Hlk179980378"/>
      <w:r w:rsidRPr="009E6FC2">
        <w:rPr>
          <w:lang w:val="en-NZ"/>
        </w:rPr>
        <w:t xml:space="preserve">The </w:t>
      </w:r>
      <w:r>
        <w:rPr>
          <w:lang w:val="en-NZ"/>
        </w:rPr>
        <w:t xml:space="preserve">current approach to the treatment of boarders’ housing contributions </w:t>
      </w:r>
      <w:bookmarkEnd w:id="32"/>
      <w:r>
        <w:rPr>
          <w:lang w:val="en-NZ"/>
        </w:rPr>
        <w:t xml:space="preserve">means the </w:t>
      </w:r>
      <w:r w:rsidR="00D16CB2">
        <w:rPr>
          <w:lang w:val="en-NZ"/>
        </w:rPr>
        <w:t xml:space="preserve">Government </w:t>
      </w:r>
      <w:r>
        <w:rPr>
          <w:lang w:val="en-NZ"/>
        </w:rPr>
        <w:t>can subsidis</w:t>
      </w:r>
      <w:r w:rsidR="00B90C4B">
        <w:rPr>
          <w:lang w:val="en-NZ"/>
        </w:rPr>
        <w:t>e</w:t>
      </w:r>
      <w:r>
        <w:rPr>
          <w:lang w:val="en-NZ"/>
        </w:rPr>
        <w:t xml:space="preserve"> the same accommodation costs more than once</w:t>
      </w:r>
    </w:p>
    <w:p w14:paraId="5EF5A8DC" w14:textId="432DC4BF" w:rsidR="006F41E6" w:rsidRDefault="006F41E6" w:rsidP="006C05B1">
      <w:pPr>
        <w:pStyle w:val="BodyText-Numbered"/>
        <w:keepNext w:val="0"/>
        <w:numPr>
          <w:ilvl w:val="0"/>
          <w:numId w:val="4"/>
        </w:numPr>
        <w:ind w:left="567" w:hanging="567"/>
        <w:rPr>
          <w:lang w:val="en-NZ"/>
        </w:rPr>
      </w:pPr>
      <w:r>
        <w:rPr>
          <w:lang w:val="en-NZ"/>
        </w:rPr>
        <w:t xml:space="preserve">Since the housing contributions from the first two boarders </w:t>
      </w:r>
      <w:r w:rsidR="00CE5768">
        <w:rPr>
          <w:lang w:val="en-NZ"/>
        </w:rPr>
        <w:t>are</w:t>
      </w:r>
      <w:r>
        <w:rPr>
          <w:lang w:val="en-NZ"/>
        </w:rPr>
        <w:t xml:space="preserve"> disregarded, the </w:t>
      </w:r>
      <w:r w:rsidR="00345546">
        <w:rPr>
          <w:lang w:val="en-NZ"/>
        </w:rPr>
        <w:t xml:space="preserve">Government </w:t>
      </w:r>
      <w:r>
        <w:rPr>
          <w:lang w:val="en-NZ"/>
        </w:rPr>
        <w:t>can be subsidising the same accommodation costs twice</w:t>
      </w:r>
      <w:r w:rsidR="00C4572A">
        <w:rPr>
          <w:lang w:val="en-NZ"/>
        </w:rPr>
        <w:t xml:space="preserve"> </w:t>
      </w:r>
      <w:r w:rsidR="002C4C95">
        <w:rPr>
          <w:lang w:val="en-NZ"/>
        </w:rPr>
        <w:t>whe</w:t>
      </w:r>
      <w:r w:rsidR="007303C1">
        <w:rPr>
          <w:lang w:val="en-NZ"/>
        </w:rPr>
        <w:t>n</w:t>
      </w:r>
      <w:r w:rsidR="002C4C95">
        <w:rPr>
          <w:lang w:val="en-NZ"/>
        </w:rPr>
        <w:t xml:space="preserve"> both the boarder and</w:t>
      </w:r>
      <w:r w:rsidR="009B642A">
        <w:rPr>
          <w:lang w:val="en-NZ"/>
        </w:rPr>
        <w:t xml:space="preserve"> </w:t>
      </w:r>
      <w:r w:rsidR="00503D3E">
        <w:rPr>
          <w:lang w:val="en-NZ"/>
        </w:rPr>
        <w:t xml:space="preserve">the person </w:t>
      </w:r>
      <w:r w:rsidR="00503D3E" w:rsidRPr="00503D3E">
        <w:rPr>
          <w:lang w:val="en-NZ"/>
        </w:rPr>
        <w:t xml:space="preserve">receiving </w:t>
      </w:r>
      <w:r w:rsidR="00EA10A9" w:rsidRPr="00503D3E">
        <w:rPr>
          <w:lang w:val="en-NZ"/>
        </w:rPr>
        <w:t>board</w:t>
      </w:r>
      <w:r w:rsidR="00503D3E" w:rsidRPr="00503D3E">
        <w:rPr>
          <w:lang w:val="en-NZ"/>
        </w:rPr>
        <w:t xml:space="preserve"> payments </w:t>
      </w:r>
      <w:r w:rsidR="003C149B" w:rsidRPr="00503D3E">
        <w:rPr>
          <w:lang w:val="en-NZ"/>
        </w:rPr>
        <w:t>are</w:t>
      </w:r>
      <w:r w:rsidR="003C149B">
        <w:rPr>
          <w:lang w:val="en-NZ"/>
        </w:rPr>
        <w:t xml:space="preserve"> </w:t>
      </w:r>
      <w:r w:rsidR="00BB6199">
        <w:rPr>
          <w:lang w:val="en-NZ"/>
        </w:rPr>
        <w:t xml:space="preserve">both </w:t>
      </w:r>
      <w:r w:rsidR="003C149B">
        <w:rPr>
          <w:lang w:val="en-NZ"/>
        </w:rPr>
        <w:t>receiving AS</w:t>
      </w:r>
      <w:r w:rsidR="00FA01EF">
        <w:rPr>
          <w:lang w:val="en-NZ"/>
        </w:rPr>
        <w:t xml:space="preserve"> payments</w:t>
      </w:r>
      <w:r w:rsidR="00B526AA" w:rsidRPr="00B526AA">
        <w:t xml:space="preserve"> </w:t>
      </w:r>
      <w:r w:rsidR="00B526AA" w:rsidRPr="00B526AA">
        <w:rPr>
          <w:lang w:val="en-NZ"/>
        </w:rPr>
        <w:t xml:space="preserve">or when a boarder is receiving the AS and the person receiving the board payments is receiving the </w:t>
      </w:r>
      <w:r w:rsidR="007E6DB1">
        <w:rPr>
          <w:lang w:val="en-NZ"/>
        </w:rPr>
        <w:t>IRR</w:t>
      </w:r>
      <w:r w:rsidR="00FB479B">
        <w:rPr>
          <w:lang w:val="en-NZ"/>
        </w:rPr>
        <w:t>S</w:t>
      </w:r>
      <w:r>
        <w:rPr>
          <w:lang w:val="en-NZ"/>
        </w:rPr>
        <w:t>.</w:t>
      </w:r>
      <w:r w:rsidR="00367602">
        <w:rPr>
          <w:lang w:val="en-NZ"/>
        </w:rPr>
        <w:t xml:space="preserve"> </w:t>
      </w:r>
      <w:r w:rsidRPr="00BB0D30">
        <w:rPr>
          <w:lang w:val="en-NZ"/>
        </w:rPr>
        <w:t>People who have accommodation costs (i.e. renters and owner-occupiers) and meet the eligibility criteria can claim the AS</w:t>
      </w:r>
      <w:r>
        <w:rPr>
          <w:lang w:val="en-NZ"/>
        </w:rPr>
        <w:t xml:space="preserve"> for their total accommodation costs, even when one or two boarders are offsetting </w:t>
      </w:r>
      <w:r w:rsidR="00B526AA">
        <w:rPr>
          <w:lang w:val="en-NZ"/>
        </w:rPr>
        <w:t xml:space="preserve">some or all of </w:t>
      </w:r>
      <w:r>
        <w:rPr>
          <w:lang w:val="en-NZ"/>
        </w:rPr>
        <w:t>their actual accommodation costs.</w:t>
      </w:r>
    </w:p>
    <w:p w14:paraId="251C6E4A" w14:textId="77777777" w:rsidR="005E1EB2" w:rsidRDefault="0071706D" w:rsidP="006C05B1">
      <w:pPr>
        <w:pStyle w:val="Heading4"/>
        <w:rPr>
          <w:lang w:val="en-NZ"/>
        </w:rPr>
      </w:pPr>
      <w:r w:rsidRPr="009E6FC2">
        <w:rPr>
          <w:lang w:val="en-NZ"/>
        </w:rPr>
        <w:t xml:space="preserve">The </w:t>
      </w:r>
      <w:r>
        <w:rPr>
          <w:lang w:val="en-NZ"/>
        </w:rPr>
        <w:t>current approach to the treatment of boarders’ housing contributions is inequitable</w:t>
      </w:r>
    </w:p>
    <w:p w14:paraId="71054665" w14:textId="0C563501" w:rsidR="0071706D" w:rsidRPr="0012483F" w:rsidRDefault="00E805EF" w:rsidP="006C05B1">
      <w:pPr>
        <w:pStyle w:val="BodyText-Numbered"/>
        <w:keepNext w:val="0"/>
        <w:rPr>
          <w:i/>
          <w:lang w:val="en-NZ"/>
        </w:rPr>
      </w:pPr>
      <w:r>
        <w:rPr>
          <w:i/>
          <w:iCs/>
          <w:lang w:val="en-NZ"/>
        </w:rPr>
        <w:t>Comparison to</w:t>
      </w:r>
      <w:r w:rsidR="00BC6371" w:rsidRPr="0012483F">
        <w:rPr>
          <w:i/>
          <w:iCs/>
          <w:lang w:val="en-NZ"/>
        </w:rPr>
        <w:t xml:space="preserve"> the treatment of rent payments received </w:t>
      </w:r>
      <w:r w:rsidR="00C7293E" w:rsidRPr="0012483F">
        <w:rPr>
          <w:i/>
          <w:iCs/>
          <w:lang w:val="en-NZ"/>
        </w:rPr>
        <w:t xml:space="preserve"> </w:t>
      </w:r>
    </w:p>
    <w:bookmarkEnd w:id="31"/>
    <w:p w14:paraId="4FC8EE20" w14:textId="789BAFBD" w:rsidR="002011E5" w:rsidRPr="002D6FAE" w:rsidRDefault="00BD7416" w:rsidP="006C05B1">
      <w:pPr>
        <w:pStyle w:val="BodyText-Numbered"/>
        <w:keepNext w:val="0"/>
        <w:numPr>
          <w:ilvl w:val="0"/>
          <w:numId w:val="4"/>
        </w:numPr>
        <w:ind w:left="567" w:hanging="567"/>
        <w:rPr>
          <w:lang w:val="en-NZ"/>
        </w:rPr>
      </w:pPr>
      <w:r w:rsidRPr="00BD7416">
        <w:rPr>
          <w:lang w:val="en-NZ"/>
        </w:rPr>
        <w:t xml:space="preserve">The setting to disregard </w:t>
      </w:r>
      <w:r w:rsidR="007D1017">
        <w:rPr>
          <w:lang w:val="en-NZ"/>
        </w:rPr>
        <w:t xml:space="preserve">the </w:t>
      </w:r>
      <w:r w:rsidRPr="00BD7416">
        <w:rPr>
          <w:lang w:val="en-NZ"/>
        </w:rPr>
        <w:t>housing contribution of the first two boarders increas</w:t>
      </w:r>
      <w:r w:rsidR="00F62CAF">
        <w:rPr>
          <w:lang w:val="en-NZ"/>
        </w:rPr>
        <w:t>es</w:t>
      </w:r>
      <w:r w:rsidRPr="00BD7416">
        <w:rPr>
          <w:lang w:val="en-NZ"/>
        </w:rPr>
        <w:t xml:space="preserve"> inequity in the </w:t>
      </w:r>
      <w:r w:rsidR="00001E1C">
        <w:rPr>
          <w:lang w:val="en-NZ"/>
        </w:rPr>
        <w:t>social security</w:t>
      </w:r>
      <w:r w:rsidR="00001E1C" w:rsidRPr="00BD7416">
        <w:rPr>
          <w:lang w:val="en-NZ"/>
        </w:rPr>
        <w:t xml:space="preserve"> </w:t>
      </w:r>
      <w:r w:rsidRPr="00BD7416">
        <w:rPr>
          <w:lang w:val="en-NZ"/>
        </w:rPr>
        <w:t xml:space="preserve">system </w:t>
      </w:r>
      <w:r w:rsidR="00EC201E">
        <w:rPr>
          <w:lang w:val="en-NZ"/>
        </w:rPr>
        <w:t xml:space="preserve">between </w:t>
      </w:r>
      <w:r w:rsidRPr="00BD7416">
        <w:rPr>
          <w:lang w:val="en-NZ"/>
        </w:rPr>
        <w:t xml:space="preserve">those with boarders </w:t>
      </w:r>
      <w:r w:rsidR="00EC201E">
        <w:rPr>
          <w:lang w:val="en-NZ"/>
        </w:rPr>
        <w:t>and</w:t>
      </w:r>
      <w:r w:rsidRPr="00BD7416">
        <w:rPr>
          <w:lang w:val="en-NZ"/>
        </w:rPr>
        <w:t xml:space="preserve"> those </w:t>
      </w:r>
      <w:r w:rsidR="00B041B7">
        <w:rPr>
          <w:lang w:val="en-NZ"/>
        </w:rPr>
        <w:t>with renters</w:t>
      </w:r>
      <w:r w:rsidRPr="00BD7416">
        <w:rPr>
          <w:lang w:val="en-NZ"/>
        </w:rPr>
        <w:t>.</w:t>
      </w:r>
      <w:r w:rsidR="00B041B7">
        <w:rPr>
          <w:lang w:val="en-NZ"/>
        </w:rPr>
        <w:t xml:space="preserve"> </w:t>
      </w:r>
      <w:r w:rsidR="002011E5" w:rsidRPr="002D6FAE">
        <w:rPr>
          <w:lang w:val="en-NZ"/>
        </w:rPr>
        <w:t xml:space="preserve">Currently, all renters’ contributions are </w:t>
      </w:r>
      <w:proofErr w:type="gramStart"/>
      <w:r w:rsidR="002011E5" w:rsidRPr="002D6FAE">
        <w:rPr>
          <w:lang w:val="en-NZ"/>
        </w:rPr>
        <w:t>taken into account</w:t>
      </w:r>
      <w:proofErr w:type="gramEnd"/>
      <w:r w:rsidR="002011E5" w:rsidRPr="002D6FAE">
        <w:rPr>
          <w:lang w:val="en-NZ"/>
        </w:rPr>
        <w:t xml:space="preserve"> when calculating the accommodation costs of the client (i.e. a tenant or an owner-occupier) who is renting out a room to another person. Their accommodation costs for the AS are assessed on the total accommodation cost of the premises less the rent they are receiving for the room</w:t>
      </w:r>
      <w:r w:rsidR="00001E1C">
        <w:rPr>
          <w:lang w:val="en-NZ"/>
        </w:rPr>
        <w:t>(s)</w:t>
      </w:r>
      <w:r w:rsidR="002011E5" w:rsidRPr="002D6FAE">
        <w:rPr>
          <w:lang w:val="en-NZ"/>
        </w:rPr>
        <w:t>.</w:t>
      </w:r>
    </w:p>
    <w:p w14:paraId="6A642B32" w14:textId="7F0C9EA8" w:rsidR="002011E5" w:rsidRPr="00DB4A58" w:rsidRDefault="002011E5" w:rsidP="006C05B1">
      <w:pPr>
        <w:pStyle w:val="BodyText-Numbered"/>
        <w:keepNext w:val="0"/>
        <w:numPr>
          <w:ilvl w:val="0"/>
          <w:numId w:val="4"/>
        </w:numPr>
        <w:ind w:left="567" w:hanging="567"/>
        <w:rPr>
          <w:lang w:val="en-NZ"/>
        </w:rPr>
      </w:pPr>
      <w:r w:rsidRPr="00731636">
        <w:rPr>
          <w:lang w:val="en-NZ"/>
        </w:rPr>
        <w:t>The rent received for the room</w:t>
      </w:r>
      <w:r w:rsidR="007D6AFC">
        <w:rPr>
          <w:lang w:val="en-NZ"/>
        </w:rPr>
        <w:t>(s)</w:t>
      </w:r>
      <w:r w:rsidRPr="00731636">
        <w:rPr>
          <w:lang w:val="en-NZ"/>
        </w:rPr>
        <w:t xml:space="preserve"> is </w:t>
      </w:r>
      <w:r w:rsidR="00001E1C">
        <w:rPr>
          <w:lang w:val="en-NZ"/>
        </w:rPr>
        <w:t xml:space="preserve">also </w:t>
      </w:r>
      <w:r w:rsidRPr="00731636">
        <w:rPr>
          <w:lang w:val="en-NZ"/>
        </w:rPr>
        <w:t xml:space="preserve">considered income </w:t>
      </w:r>
      <w:r>
        <w:rPr>
          <w:lang w:val="en-NZ"/>
        </w:rPr>
        <w:t>when</w:t>
      </w:r>
      <w:r w:rsidRPr="00731636">
        <w:rPr>
          <w:lang w:val="en-NZ"/>
        </w:rPr>
        <w:t xml:space="preserve"> it is more than the total accommodation costs for the property</w:t>
      </w:r>
      <w:r>
        <w:rPr>
          <w:lang w:val="en-NZ"/>
        </w:rPr>
        <w:t xml:space="preserve"> (see </w:t>
      </w:r>
      <w:r w:rsidR="00AC08F2" w:rsidRPr="0098382B">
        <w:rPr>
          <w:b/>
          <w:bCs/>
          <w:lang w:val="en-NZ"/>
        </w:rPr>
        <w:t>A</w:t>
      </w:r>
      <w:r w:rsidR="004F4F38" w:rsidRPr="0098382B">
        <w:rPr>
          <w:b/>
          <w:bCs/>
          <w:lang w:val="en-NZ"/>
        </w:rPr>
        <w:t>nne</w:t>
      </w:r>
      <w:r w:rsidR="00AC08F2" w:rsidRPr="0098382B">
        <w:rPr>
          <w:b/>
          <w:bCs/>
          <w:lang w:val="en-NZ"/>
        </w:rPr>
        <w:t xml:space="preserve">x </w:t>
      </w:r>
      <w:r w:rsidR="000C7F8F" w:rsidRPr="0098382B">
        <w:rPr>
          <w:b/>
          <w:bCs/>
          <w:lang w:val="en-NZ"/>
        </w:rPr>
        <w:t>2</w:t>
      </w:r>
      <w:r w:rsidR="00D3604D">
        <w:rPr>
          <w:lang w:val="en-NZ"/>
        </w:rPr>
        <w:t xml:space="preserve"> for more detail</w:t>
      </w:r>
      <w:r w:rsidR="00DF0D97">
        <w:rPr>
          <w:lang w:val="en-NZ"/>
        </w:rPr>
        <w:t>s</w:t>
      </w:r>
      <w:r w:rsidR="00D3604D">
        <w:rPr>
          <w:lang w:val="en-NZ"/>
        </w:rPr>
        <w:t xml:space="preserve"> on </w:t>
      </w:r>
      <w:r w:rsidR="0013583F">
        <w:rPr>
          <w:lang w:val="en-NZ"/>
        </w:rPr>
        <w:t>the c</w:t>
      </w:r>
      <w:r w:rsidRPr="005D45DF">
        <w:rPr>
          <w:lang w:val="en-NZ"/>
        </w:rPr>
        <w:t>urrent treatment of renters</w:t>
      </w:r>
      <w:r>
        <w:rPr>
          <w:lang w:val="en-NZ"/>
        </w:rPr>
        <w:t>)</w:t>
      </w:r>
      <w:r w:rsidRPr="00731636">
        <w:rPr>
          <w:lang w:val="en-NZ"/>
        </w:rPr>
        <w:t>. In this case, the client will not have any accommodation costs</w:t>
      </w:r>
      <w:r w:rsidR="00C947A9">
        <w:rPr>
          <w:lang w:val="en-NZ"/>
        </w:rPr>
        <w:t>,</w:t>
      </w:r>
      <w:r w:rsidRPr="00731636">
        <w:rPr>
          <w:lang w:val="en-NZ"/>
        </w:rPr>
        <w:t xml:space="preserve"> and </w:t>
      </w:r>
      <w:r>
        <w:rPr>
          <w:lang w:val="en-NZ"/>
        </w:rPr>
        <w:t>therefore</w:t>
      </w:r>
      <w:r w:rsidR="00C947A9">
        <w:rPr>
          <w:lang w:val="en-NZ"/>
        </w:rPr>
        <w:t>,</w:t>
      </w:r>
      <w:r>
        <w:rPr>
          <w:lang w:val="en-NZ"/>
        </w:rPr>
        <w:t xml:space="preserve"> they would be ineligible for the AS</w:t>
      </w:r>
      <w:r w:rsidRPr="00731636">
        <w:rPr>
          <w:lang w:val="en-NZ"/>
        </w:rPr>
        <w:t xml:space="preserve">. </w:t>
      </w:r>
      <w:r>
        <w:rPr>
          <w:lang w:val="en-NZ"/>
        </w:rPr>
        <w:t>The excess</w:t>
      </w:r>
      <w:r w:rsidRPr="00731636">
        <w:rPr>
          <w:lang w:val="en-NZ"/>
        </w:rPr>
        <w:t xml:space="preserve"> income is </w:t>
      </w:r>
      <w:r>
        <w:rPr>
          <w:lang w:val="en-NZ"/>
        </w:rPr>
        <w:t>then included as</w:t>
      </w:r>
      <w:r w:rsidRPr="00731636">
        <w:rPr>
          <w:lang w:val="en-NZ"/>
        </w:rPr>
        <w:t xml:space="preserve"> income </w:t>
      </w:r>
      <w:r>
        <w:rPr>
          <w:lang w:val="en-NZ"/>
        </w:rPr>
        <w:t>when</w:t>
      </w:r>
      <w:r w:rsidRPr="00731636">
        <w:rPr>
          <w:lang w:val="en-NZ"/>
        </w:rPr>
        <w:t xml:space="preserve"> assessing the</w:t>
      </w:r>
      <w:r w:rsidR="005A282F">
        <w:rPr>
          <w:lang w:val="en-NZ"/>
        </w:rPr>
        <w:t>ir</w:t>
      </w:r>
      <w:r w:rsidRPr="00731636">
        <w:rPr>
          <w:lang w:val="en-NZ"/>
        </w:rPr>
        <w:t xml:space="preserve"> eligibility </w:t>
      </w:r>
      <w:r w:rsidR="005A282F" w:rsidRPr="005A282F">
        <w:rPr>
          <w:lang w:val="en-NZ"/>
        </w:rPr>
        <w:t>for any other assistance under the Social Security Act</w:t>
      </w:r>
      <w:r>
        <w:rPr>
          <w:lang w:val="en-NZ"/>
        </w:rPr>
        <w:t>.</w:t>
      </w:r>
    </w:p>
    <w:p w14:paraId="7AD4DB9F" w14:textId="222F8FDD" w:rsidR="002011E5" w:rsidRPr="00467385" w:rsidRDefault="002011E5" w:rsidP="006C05B1">
      <w:pPr>
        <w:pStyle w:val="BodyText-Numbered"/>
        <w:keepNext w:val="0"/>
        <w:numPr>
          <w:ilvl w:val="0"/>
          <w:numId w:val="4"/>
        </w:numPr>
        <w:ind w:left="567" w:hanging="567"/>
        <w:rPr>
          <w:lang w:val="en-NZ"/>
        </w:rPr>
      </w:pPr>
      <w:r>
        <w:rPr>
          <w:lang w:val="en-NZ"/>
        </w:rPr>
        <w:t>W</w:t>
      </w:r>
      <w:r w:rsidRPr="0052617E">
        <w:rPr>
          <w:lang w:val="en-NZ"/>
        </w:rPr>
        <w:t xml:space="preserve">hen a tenant or </w:t>
      </w:r>
      <w:r>
        <w:rPr>
          <w:lang w:val="en-NZ"/>
        </w:rPr>
        <w:t>owner-occupier</w:t>
      </w:r>
      <w:r w:rsidRPr="0052617E">
        <w:rPr>
          <w:lang w:val="en-NZ"/>
        </w:rPr>
        <w:t xml:space="preserve"> has </w:t>
      </w:r>
      <w:r>
        <w:rPr>
          <w:lang w:val="en-NZ"/>
        </w:rPr>
        <w:t>three or more b</w:t>
      </w:r>
      <w:r w:rsidRPr="0052617E">
        <w:rPr>
          <w:lang w:val="en-NZ"/>
        </w:rPr>
        <w:t xml:space="preserve">oarders, a </w:t>
      </w:r>
      <w:r>
        <w:rPr>
          <w:lang w:val="en-NZ"/>
        </w:rPr>
        <w:t>‘</w:t>
      </w:r>
      <w:r w:rsidRPr="0052617E">
        <w:rPr>
          <w:lang w:val="en-NZ"/>
        </w:rPr>
        <w:t>profit from boarders calculation</w:t>
      </w:r>
      <w:r>
        <w:rPr>
          <w:lang w:val="en-NZ"/>
        </w:rPr>
        <w:t>’</w:t>
      </w:r>
      <w:r w:rsidRPr="0052617E">
        <w:rPr>
          <w:lang w:val="en-NZ"/>
        </w:rPr>
        <w:t xml:space="preserve"> is done</w:t>
      </w:r>
      <w:r w:rsidR="0049528E">
        <w:rPr>
          <w:lang w:val="en-NZ"/>
        </w:rPr>
        <w:t>,</w:t>
      </w:r>
      <w:r w:rsidRPr="0052617E">
        <w:rPr>
          <w:lang w:val="en-NZ"/>
        </w:rPr>
        <w:t xml:space="preserve"> and the </w:t>
      </w:r>
      <w:r>
        <w:rPr>
          <w:lang w:val="en-NZ"/>
        </w:rPr>
        <w:t xml:space="preserve">amount calculated </w:t>
      </w:r>
      <w:r w:rsidRPr="0052617E">
        <w:rPr>
          <w:lang w:val="en-NZ"/>
        </w:rPr>
        <w:t xml:space="preserve">is charged as income against the client’s benefit or </w:t>
      </w:r>
      <w:r w:rsidR="00D96745">
        <w:rPr>
          <w:lang w:val="en-NZ"/>
        </w:rPr>
        <w:t>supplementary</w:t>
      </w:r>
      <w:r w:rsidRPr="0052617E">
        <w:rPr>
          <w:lang w:val="en-NZ"/>
        </w:rPr>
        <w:t xml:space="preserve"> assistance.</w:t>
      </w:r>
      <w:r w:rsidRPr="00467385">
        <w:rPr>
          <w:lang w:val="en-NZ"/>
        </w:rPr>
        <w:t xml:space="preserve"> </w:t>
      </w:r>
      <w:r>
        <w:rPr>
          <w:lang w:val="en-NZ"/>
        </w:rPr>
        <w:t>However, t</w:t>
      </w:r>
      <w:r w:rsidRPr="0024621C">
        <w:rPr>
          <w:lang w:val="en-NZ"/>
        </w:rPr>
        <w:t xml:space="preserve">he </w:t>
      </w:r>
      <w:r>
        <w:rPr>
          <w:lang w:val="en-NZ"/>
        </w:rPr>
        <w:t>existing</w:t>
      </w:r>
      <w:r w:rsidRPr="0024621C">
        <w:rPr>
          <w:lang w:val="en-NZ"/>
        </w:rPr>
        <w:t xml:space="preserve"> ‘profit from boarders calculation</w:t>
      </w:r>
      <w:r>
        <w:rPr>
          <w:lang w:val="en-NZ"/>
        </w:rPr>
        <w:t>’</w:t>
      </w:r>
      <w:r w:rsidRPr="0024621C">
        <w:rPr>
          <w:lang w:val="en-NZ"/>
        </w:rPr>
        <w:t xml:space="preserve"> that MSD uses is inconsistent with how payments received from renters are treated</w:t>
      </w:r>
      <w:r w:rsidR="00D621E9">
        <w:rPr>
          <w:lang w:val="en-NZ"/>
        </w:rPr>
        <w:t>,</w:t>
      </w:r>
      <w:r w:rsidRPr="0024621C">
        <w:rPr>
          <w:lang w:val="en-NZ"/>
        </w:rPr>
        <w:t xml:space="preserve"> and </w:t>
      </w:r>
      <w:r>
        <w:rPr>
          <w:lang w:val="en-NZ"/>
        </w:rPr>
        <w:t xml:space="preserve">it </w:t>
      </w:r>
      <w:r w:rsidRPr="0024621C">
        <w:rPr>
          <w:lang w:val="en-NZ"/>
        </w:rPr>
        <w:t xml:space="preserve">does not accurately reflect the effect of contributions from boarders on the accommodation costs of those receiving board payments. The calculation is also unnecessarily complex and difficult to understand for both staff and clients. </w:t>
      </w:r>
    </w:p>
    <w:p w14:paraId="0A547C6A" w14:textId="1F7C1D5E" w:rsidR="005369A5" w:rsidRPr="0012483F" w:rsidRDefault="00E805EF" w:rsidP="006C05B1">
      <w:pPr>
        <w:pStyle w:val="BodyText-Numbered"/>
        <w:keepNext w:val="0"/>
        <w:rPr>
          <w:i/>
          <w:iCs/>
          <w:lang w:val="en-NZ"/>
        </w:rPr>
      </w:pPr>
      <w:r>
        <w:rPr>
          <w:i/>
          <w:iCs/>
          <w:lang w:val="en-NZ"/>
        </w:rPr>
        <w:t>Comparison to</w:t>
      </w:r>
      <w:r w:rsidR="005369A5" w:rsidRPr="0012483F">
        <w:rPr>
          <w:i/>
          <w:iCs/>
          <w:lang w:val="en-NZ"/>
        </w:rPr>
        <w:t xml:space="preserve"> the treatment</w:t>
      </w:r>
      <w:r w:rsidR="0084405A" w:rsidRPr="0012483F">
        <w:rPr>
          <w:i/>
          <w:iCs/>
          <w:lang w:val="en-NZ"/>
        </w:rPr>
        <w:t xml:space="preserve"> of other forms of income</w:t>
      </w:r>
    </w:p>
    <w:p w14:paraId="6B25902A" w14:textId="57C6B385" w:rsidR="00DB69EE" w:rsidRDefault="0071706D" w:rsidP="006C05B1">
      <w:pPr>
        <w:pStyle w:val="BodyText-Numbered"/>
        <w:keepNext w:val="0"/>
        <w:numPr>
          <w:ilvl w:val="0"/>
          <w:numId w:val="4"/>
        </w:numPr>
        <w:ind w:left="567" w:hanging="567"/>
        <w:rPr>
          <w:lang w:val="en-NZ"/>
        </w:rPr>
      </w:pPr>
      <w:r w:rsidRPr="0071706D">
        <w:rPr>
          <w:lang w:val="en-NZ"/>
        </w:rPr>
        <w:t>The current approach to the treatment of contributions that boarders make to household</w:t>
      </w:r>
      <w:r w:rsidR="006F1FA2">
        <w:rPr>
          <w:lang w:val="en-NZ"/>
        </w:rPr>
        <w:t xml:space="preserve"> </w:t>
      </w:r>
      <w:r w:rsidR="003B6BFF">
        <w:rPr>
          <w:lang w:val="en-NZ"/>
        </w:rPr>
        <w:t xml:space="preserve">housing </w:t>
      </w:r>
      <w:r w:rsidR="006F1FA2">
        <w:rPr>
          <w:lang w:val="en-NZ"/>
        </w:rPr>
        <w:t>cost</w:t>
      </w:r>
      <w:r w:rsidRPr="0071706D">
        <w:rPr>
          <w:lang w:val="en-NZ"/>
        </w:rPr>
        <w:t xml:space="preserve">s is inequitable </w:t>
      </w:r>
      <w:r w:rsidR="00154708">
        <w:rPr>
          <w:lang w:val="en-NZ"/>
        </w:rPr>
        <w:t xml:space="preserve">when compared to beneficiaries who have other income, </w:t>
      </w:r>
      <w:r w:rsidRPr="0071706D">
        <w:rPr>
          <w:lang w:val="en-NZ"/>
        </w:rPr>
        <w:t xml:space="preserve">as beneficiaries who </w:t>
      </w:r>
      <w:r w:rsidR="00BD78AF">
        <w:rPr>
          <w:lang w:val="en-NZ"/>
        </w:rPr>
        <w:t>receive</w:t>
      </w:r>
      <w:r w:rsidRPr="0071706D">
        <w:rPr>
          <w:lang w:val="en-NZ"/>
        </w:rPr>
        <w:t xml:space="preserve"> other income </w:t>
      </w:r>
      <w:r w:rsidR="00307704">
        <w:rPr>
          <w:lang w:val="en-NZ"/>
        </w:rPr>
        <w:t xml:space="preserve">may </w:t>
      </w:r>
      <w:r w:rsidRPr="0071706D">
        <w:rPr>
          <w:lang w:val="en-NZ"/>
        </w:rPr>
        <w:t xml:space="preserve">have their benefits </w:t>
      </w:r>
      <w:r w:rsidR="00307704">
        <w:rPr>
          <w:lang w:val="en-NZ"/>
        </w:rPr>
        <w:t xml:space="preserve">reduced </w:t>
      </w:r>
      <w:r w:rsidR="00154708">
        <w:rPr>
          <w:lang w:val="en-NZ"/>
        </w:rPr>
        <w:t>as a result of that income</w:t>
      </w:r>
      <w:r>
        <w:rPr>
          <w:lang w:val="en-NZ"/>
        </w:rPr>
        <w:t>. When</w:t>
      </w:r>
      <w:r w:rsidRPr="0071706D">
        <w:rPr>
          <w:lang w:val="en-NZ"/>
        </w:rPr>
        <w:t xml:space="preserve"> a househol</w:t>
      </w:r>
      <w:r w:rsidR="006773EC">
        <w:rPr>
          <w:lang w:val="en-NZ"/>
        </w:rPr>
        <w:t>d</w:t>
      </w:r>
      <w:r w:rsidRPr="0071706D">
        <w:rPr>
          <w:lang w:val="en-NZ"/>
        </w:rPr>
        <w:t xml:space="preserve"> has one or two boarders, their contribution to the household’s housing costs is not considered </w:t>
      </w:r>
      <w:r w:rsidR="00BD78AF">
        <w:rPr>
          <w:lang w:val="en-NZ"/>
        </w:rPr>
        <w:t>when</w:t>
      </w:r>
      <w:r w:rsidRPr="0071706D">
        <w:rPr>
          <w:lang w:val="en-NZ"/>
        </w:rPr>
        <w:t xml:space="preserve"> calculating housing subsidies, </w:t>
      </w:r>
      <w:r w:rsidRPr="0071706D">
        <w:rPr>
          <w:lang w:val="en-NZ"/>
        </w:rPr>
        <w:lastRenderedPageBreak/>
        <w:t xml:space="preserve">nor is it treated as income for the purposes of </w:t>
      </w:r>
      <w:r w:rsidR="00BD78AF">
        <w:rPr>
          <w:lang w:val="en-NZ"/>
        </w:rPr>
        <w:t xml:space="preserve">other </w:t>
      </w:r>
      <w:r w:rsidRPr="0071706D">
        <w:rPr>
          <w:lang w:val="en-NZ"/>
        </w:rPr>
        <w:t xml:space="preserve">financial assistance </w:t>
      </w:r>
      <w:r w:rsidR="00371CA0" w:rsidRPr="00371CA0">
        <w:rPr>
          <w:lang w:val="en-NZ"/>
        </w:rPr>
        <w:t>under the Social Security Act</w:t>
      </w:r>
      <w:r w:rsidRPr="0071706D">
        <w:rPr>
          <w:lang w:val="en-NZ"/>
        </w:rPr>
        <w:t>.</w:t>
      </w:r>
    </w:p>
    <w:p w14:paraId="59BB5BCF" w14:textId="78E39488" w:rsidR="007037C4" w:rsidRPr="00847E6E" w:rsidRDefault="007037C4" w:rsidP="006C05B1">
      <w:pPr>
        <w:pStyle w:val="Heading3"/>
        <w:keepNext w:val="0"/>
        <w:rPr>
          <w:lang w:val="en-NZ"/>
        </w:rPr>
      </w:pPr>
      <w:bookmarkStart w:id="33" w:name="_Toc196390897"/>
      <w:r w:rsidRPr="00A864A5">
        <w:rPr>
          <w:lang w:val="en-NZ"/>
        </w:rPr>
        <w:t xml:space="preserve">What objectives </w:t>
      </w:r>
      <w:r w:rsidR="00CB08AA">
        <w:rPr>
          <w:lang w:val="en-NZ"/>
        </w:rPr>
        <w:t xml:space="preserve">are </w:t>
      </w:r>
      <w:r w:rsidR="00D6670E">
        <w:rPr>
          <w:lang w:val="en-NZ"/>
        </w:rPr>
        <w:t>sought</w:t>
      </w:r>
      <w:r w:rsidRPr="00A864A5">
        <w:rPr>
          <w:lang w:val="en-NZ"/>
        </w:rPr>
        <w:t xml:space="preserve"> in relation to th</w:t>
      </w:r>
      <w:r w:rsidR="0052670F">
        <w:rPr>
          <w:lang w:val="en-NZ"/>
        </w:rPr>
        <w:t>e</w:t>
      </w:r>
      <w:r w:rsidRPr="00A864A5">
        <w:rPr>
          <w:lang w:val="en-NZ"/>
        </w:rPr>
        <w:t xml:space="preserve"> policy problem?</w:t>
      </w:r>
      <w:bookmarkEnd w:id="33"/>
    </w:p>
    <w:bookmarkEnd w:id="23"/>
    <w:bookmarkEnd w:id="24"/>
    <w:bookmarkEnd w:id="25"/>
    <w:bookmarkEnd w:id="26"/>
    <w:bookmarkEnd w:id="27"/>
    <w:p w14:paraId="42680161" w14:textId="71C2BF03" w:rsidR="00FC4D12" w:rsidRPr="00FC4D12" w:rsidRDefault="00FC4D12" w:rsidP="006C05B1">
      <w:pPr>
        <w:pStyle w:val="ListParagraph"/>
        <w:numPr>
          <w:ilvl w:val="0"/>
          <w:numId w:val="4"/>
        </w:numPr>
        <w:spacing w:before="60" w:after="120" w:line="240" w:lineRule="auto"/>
        <w:ind w:left="567" w:hanging="567"/>
        <w:contextualSpacing w:val="0"/>
        <w:rPr>
          <w:lang w:val="en-NZ"/>
        </w:rPr>
      </w:pPr>
      <w:r>
        <w:rPr>
          <w:rFonts w:cs="Arial"/>
          <w:szCs w:val="22"/>
          <w:lang w:val="en-NZ"/>
        </w:rPr>
        <w:t xml:space="preserve">The objective </w:t>
      </w:r>
      <w:r w:rsidR="00807EBE">
        <w:rPr>
          <w:rFonts w:cs="Arial"/>
          <w:szCs w:val="22"/>
          <w:lang w:val="en-NZ"/>
        </w:rPr>
        <w:t xml:space="preserve">of the </w:t>
      </w:r>
      <w:r w:rsidR="00495C5D">
        <w:rPr>
          <w:rFonts w:cs="Arial"/>
          <w:szCs w:val="22"/>
          <w:lang w:val="en-NZ"/>
        </w:rPr>
        <w:t xml:space="preserve">policy change is </w:t>
      </w:r>
      <w:r w:rsidR="00C94212">
        <w:rPr>
          <w:rFonts w:cs="Arial"/>
          <w:szCs w:val="22"/>
          <w:lang w:val="en-NZ"/>
        </w:rPr>
        <w:t xml:space="preserve">for more effective and </w:t>
      </w:r>
      <w:r w:rsidR="000E1370">
        <w:rPr>
          <w:rFonts w:cs="Arial"/>
          <w:szCs w:val="22"/>
          <w:lang w:val="en-NZ"/>
        </w:rPr>
        <w:t>sustainable</w:t>
      </w:r>
      <w:r w:rsidR="00C94212">
        <w:rPr>
          <w:rFonts w:cs="Arial"/>
          <w:szCs w:val="22"/>
          <w:lang w:val="en-NZ"/>
        </w:rPr>
        <w:t xml:space="preserve"> </w:t>
      </w:r>
      <w:r w:rsidR="00A9798D">
        <w:rPr>
          <w:rFonts w:cs="Arial"/>
          <w:szCs w:val="22"/>
          <w:lang w:val="en-NZ"/>
        </w:rPr>
        <w:t>public services</w:t>
      </w:r>
      <w:r w:rsidR="004724E6">
        <w:rPr>
          <w:rFonts w:cs="Arial"/>
          <w:szCs w:val="22"/>
          <w:lang w:val="en-NZ"/>
        </w:rPr>
        <w:t xml:space="preserve">. </w:t>
      </w:r>
      <w:r w:rsidR="00BC735F">
        <w:rPr>
          <w:rFonts w:cs="Arial"/>
          <w:szCs w:val="22"/>
          <w:lang w:val="en-NZ"/>
        </w:rPr>
        <w:t>C</w:t>
      </w:r>
      <w:r>
        <w:rPr>
          <w:rFonts w:cs="Arial"/>
          <w:szCs w:val="22"/>
          <w:lang w:val="en-NZ"/>
        </w:rPr>
        <w:t>ount</w:t>
      </w:r>
      <w:r w:rsidR="003634A9">
        <w:rPr>
          <w:rFonts w:cs="Arial"/>
          <w:szCs w:val="22"/>
          <w:lang w:val="en-NZ"/>
        </w:rPr>
        <w:t>ing</w:t>
      </w:r>
      <w:r>
        <w:rPr>
          <w:rFonts w:cs="Arial"/>
          <w:szCs w:val="22"/>
          <w:lang w:val="en-NZ"/>
        </w:rPr>
        <w:t xml:space="preserve"> the housing contributions from all boarders in the assessment of housing subsidies</w:t>
      </w:r>
      <w:r w:rsidR="006B52FB">
        <w:rPr>
          <w:rFonts w:cs="Arial"/>
          <w:szCs w:val="22"/>
          <w:lang w:val="en-NZ"/>
        </w:rPr>
        <w:t xml:space="preserve"> aims to</w:t>
      </w:r>
      <w:r>
        <w:rPr>
          <w:rFonts w:cs="Arial"/>
          <w:szCs w:val="22"/>
          <w:lang w:val="en-NZ"/>
        </w:rPr>
        <w:t>:</w:t>
      </w:r>
    </w:p>
    <w:p w14:paraId="03ECBCE3" w14:textId="6D207DA9" w:rsidR="00FC4D12" w:rsidRDefault="00754FA8" w:rsidP="006C05B1">
      <w:pPr>
        <w:pStyle w:val="ListParagraph"/>
        <w:numPr>
          <w:ilvl w:val="1"/>
          <w:numId w:val="4"/>
        </w:numPr>
        <w:spacing w:before="60" w:after="120" w:line="240" w:lineRule="auto"/>
        <w:ind w:left="1134" w:hanging="425"/>
        <w:rPr>
          <w:lang w:val="en-NZ"/>
        </w:rPr>
      </w:pPr>
      <w:r>
        <w:rPr>
          <w:lang w:val="en-NZ"/>
        </w:rPr>
        <w:t>address the double subsidisation of housing subsidies for the same accommodation costs</w:t>
      </w:r>
      <w:r w:rsidRPr="00FC4D12">
        <w:rPr>
          <w:lang w:val="en-NZ"/>
        </w:rPr>
        <w:t xml:space="preserve"> </w:t>
      </w:r>
    </w:p>
    <w:p w14:paraId="2959A26A" w14:textId="293CE58C" w:rsidR="00FC4D12" w:rsidRDefault="00FC4D12" w:rsidP="006C05B1">
      <w:pPr>
        <w:pStyle w:val="ListParagraph"/>
        <w:numPr>
          <w:ilvl w:val="1"/>
          <w:numId w:val="4"/>
        </w:numPr>
        <w:spacing w:before="60" w:after="120" w:line="240" w:lineRule="auto"/>
        <w:ind w:left="1134" w:hanging="425"/>
        <w:rPr>
          <w:lang w:val="en-NZ"/>
        </w:rPr>
      </w:pPr>
      <w:r>
        <w:rPr>
          <w:lang w:val="en-NZ"/>
        </w:rPr>
        <w:t xml:space="preserve">ensure </w:t>
      </w:r>
      <w:r w:rsidRPr="00FC4D12">
        <w:rPr>
          <w:lang w:val="en-NZ"/>
        </w:rPr>
        <w:t>that all households are</w:t>
      </w:r>
      <w:r>
        <w:rPr>
          <w:lang w:val="en-NZ"/>
        </w:rPr>
        <w:t xml:space="preserve"> </w:t>
      </w:r>
      <w:r w:rsidRPr="00FC4D12">
        <w:rPr>
          <w:lang w:val="en-NZ"/>
        </w:rPr>
        <w:t xml:space="preserve">treated </w:t>
      </w:r>
      <w:r>
        <w:rPr>
          <w:lang w:val="en-NZ"/>
        </w:rPr>
        <w:t xml:space="preserve">more </w:t>
      </w:r>
      <w:r w:rsidR="00DF5B04">
        <w:rPr>
          <w:lang w:val="en-NZ"/>
        </w:rPr>
        <w:t>equitably</w:t>
      </w:r>
      <w:r w:rsidRPr="00FC4D12">
        <w:rPr>
          <w:lang w:val="en-NZ"/>
        </w:rPr>
        <w:t xml:space="preserve"> when calculating housing subsidies</w:t>
      </w:r>
      <w:r w:rsidR="002C0773">
        <w:rPr>
          <w:lang w:val="en-NZ"/>
        </w:rPr>
        <w:t xml:space="preserve"> and</w:t>
      </w:r>
      <w:r w:rsidR="009C2490">
        <w:rPr>
          <w:lang w:val="en-NZ"/>
        </w:rPr>
        <w:t>/or</w:t>
      </w:r>
      <w:r w:rsidR="002C0773">
        <w:rPr>
          <w:lang w:val="en-NZ"/>
        </w:rPr>
        <w:t xml:space="preserve"> other </w:t>
      </w:r>
      <w:r w:rsidR="00D203E7" w:rsidRPr="00D203E7">
        <w:rPr>
          <w:lang w:val="en-NZ"/>
        </w:rPr>
        <w:t>assistance under the Social Security Act</w:t>
      </w:r>
    </w:p>
    <w:p w14:paraId="216D5F9E" w14:textId="4FD87C7A" w:rsidR="00D27708" w:rsidRPr="00FC4D12" w:rsidRDefault="00754FA8" w:rsidP="006C05B1">
      <w:pPr>
        <w:pStyle w:val="ListParagraph"/>
        <w:numPr>
          <w:ilvl w:val="1"/>
          <w:numId w:val="4"/>
        </w:numPr>
        <w:spacing w:before="60" w:after="120" w:line="240" w:lineRule="auto"/>
        <w:ind w:left="1134" w:hanging="425"/>
        <w:rPr>
          <w:lang w:val="en-NZ"/>
        </w:rPr>
      </w:pPr>
      <w:r>
        <w:rPr>
          <w:lang w:val="en-NZ"/>
        </w:rPr>
        <w:t>r</w:t>
      </w:r>
      <w:r w:rsidRPr="00FC4D12">
        <w:rPr>
          <w:lang w:val="en-NZ"/>
        </w:rPr>
        <w:t xml:space="preserve">eturn $150.96 million in </w:t>
      </w:r>
      <w:r w:rsidR="006F5AAE">
        <w:rPr>
          <w:lang w:val="en-NZ"/>
        </w:rPr>
        <w:t xml:space="preserve">net </w:t>
      </w:r>
      <w:r w:rsidRPr="00FC4D12">
        <w:rPr>
          <w:lang w:val="en-NZ"/>
        </w:rPr>
        <w:t>operating funding over four years</w:t>
      </w:r>
      <w:r>
        <w:rPr>
          <w:lang w:val="en-NZ"/>
        </w:rPr>
        <w:t>.</w:t>
      </w:r>
    </w:p>
    <w:p w14:paraId="2B635B3D" w14:textId="277370E7" w:rsidR="008321F8" w:rsidRDefault="00F402DF" w:rsidP="006C05B1">
      <w:pPr>
        <w:pStyle w:val="Heading2"/>
        <w:keepNext w:val="0"/>
        <w:rPr>
          <w:lang w:val="en-NZ"/>
        </w:rPr>
      </w:pPr>
      <w:bookmarkStart w:id="34" w:name="_Toc196390898"/>
      <w:r w:rsidRPr="00A864A5">
        <w:rPr>
          <w:lang w:val="en-NZ"/>
        </w:rPr>
        <w:t xml:space="preserve">Section 2: </w:t>
      </w:r>
      <w:r w:rsidR="001C4A82">
        <w:rPr>
          <w:lang w:val="en-NZ"/>
        </w:rPr>
        <w:t xml:space="preserve">Deciding </w:t>
      </w:r>
      <w:r w:rsidR="005275ED">
        <w:rPr>
          <w:lang w:val="en-NZ"/>
        </w:rPr>
        <w:t>upon an option</w:t>
      </w:r>
      <w:r w:rsidR="007336C9">
        <w:rPr>
          <w:lang w:val="en-NZ"/>
        </w:rPr>
        <w:t xml:space="preserve"> </w:t>
      </w:r>
      <w:r w:rsidR="005C38A2">
        <w:rPr>
          <w:lang w:val="en-NZ"/>
        </w:rPr>
        <w:t>to address the policy problem</w:t>
      </w:r>
      <w:bookmarkEnd w:id="34"/>
    </w:p>
    <w:p w14:paraId="3252D892" w14:textId="2D209334" w:rsidR="00E52B84" w:rsidRDefault="007D78A1" w:rsidP="006C05B1">
      <w:pPr>
        <w:pStyle w:val="Heading3"/>
        <w:keepNext w:val="0"/>
        <w:rPr>
          <w:lang w:val="en-NZ"/>
        </w:rPr>
      </w:pPr>
      <w:bookmarkStart w:id="35" w:name="_Toc196390899"/>
      <w:r w:rsidRPr="00A864A5">
        <w:rPr>
          <w:lang w:val="en-NZ"/>
        </w:rPr>
        <w:t xml:space="preserve">What scope </w:t>
      </w:r>
      <w:r w:rsidR="003A6757">
        <w:rPr>
          <w:lang w:val="en-NZ"/>
        </w:rPr>
        <w:t>will</w:t>
      </w:r>
      <w:r w:rsidRPr="00A864A5">
        <w:rPr>
          <w:lang w:val="en-NZ"/>
        </w:rPr>
        <w:t xml:space="preserve"> </w:t>
      </w:r>
      <w:r w:rsidR="007336C9">
        <w:rPr>
          <w:lang w:val="en-NZ"/>
        </w:rPr>
        <w:t>options be considered</w:t>
      </w:r>
      <w:r w:rsidRPr="00A864A5">
        <w:rPr>
          <w:lang w:val="en-NZ"/>
        </w:rPr>
        <w:t xml:space="preserve"> within?</w:t>
      </w:r>
      <w:bookmarkEnd w:id="35"/>
    </w:p>
    <w:p w14:paraId="4DD3052C" w14:textId="4E2A3B31" w:rsidR="006871AB" w:rsidRPr="006871AB" w:rsidRDefault="006871AB" w:rsidP="006C05B1">
      <w:pPr>
        <w:pStyle w:val="ListParagraph"/>
        <w:numPr>
          <w:ilvl w:val="0"/>
          <w:numId w:val="4"/>
        </w:numPr>
        <w:spacing w:before="60" w:after="120" w:line="240" w:lineRule="auto"/>
        <w:ind w:left="567" w:hanging="567"/>
        <w:contextualSpacing w:val="0"/>
        <w:rPr>
          <w:lang w:val="en-NZ"/>
        </w:rPr>
      </w:pPr>
      <w:r w:rsidRPr="006871AB">
        <w:rPr>
          <w:lang w:val="en-NZ"/>
        </w:rPr>
        <w:t xml:space="preserve">The analysis in this </w:t>
      </w:r>
      <w:r w:rsidRPr="0025427D">
        <w:rPr>
          <w:rFonts w:cs="Arial"/>
          <w:szCs w:val="22"/>
          <w:lang w:val="en-NZ"/>
        </w:rPr>
        <w:t>Supplementary</w:t>
      </w:r>
      <w:r w:rsidRPr="006871AB">
        <w:rPr>
          <w:lang w:val="en-NZ"/>
        </w:rPr>
        <w:t xml:space="preserve"> Analysis Report is focused on regulatory change to boarder contribution settings. This report focuses only on options that were considered by Cabinet or by </w:t>
      </w:r>
      <w:r w:rsidR="00213B8B">
        <w:rPr>
          <w:lang w:val="en-NZ"/>
        </w:rPr>
        <w:t xml:space="preserve">the </w:t>
      </w:r>
      <w:r w:rsidR="00795CC7" w:rsidRPr="00795CC7">
        <w:rPr>
          <w:lang w:val="en-NZ"/>
        </w:rPr>
        <w:t>Minister of Housing, the Minister for Social Development and Employment, and the Associate Minister of Housing</w:t>
      </w:r>
      <w:r w:rsidR="00213B8B">
        <w:rPr>
          <w:lang w:val="en-NZ"/>
        </w:rPr>
        <w:t xml:space="preserve"> (</w:t>
      </w:r>
      <w:r w:rsidRPr="006871AB">
        <w:rPr>
          <w:lang w:val="en-NZ"/>
        </w:rPr>
        <w:t>Joint Ministers</w:t>
      </w:r>
      <w:r w:rsidR="00213B8B">
        <w:rPr>
          <w:lang w:val="en-NZ"/>
        </w:rPr>
        <w:t>)</w:t>
      </w:r>
      <w:r w:rsidRPr="006871AB">
        <w:rPr>
          <w:lang w:val="en-NZ"/>
        </w:rPr>
        <w:t xml:space="preserve"> under their delegated Cabinet authority. This approach is in line with </w:t>
      </w:r>
      <w:r w:rsidR="00030312">
        <w:rPr>
          <w:lang w:val="en-NZ"/>
        </w:rPr>
        <w:t xml:space="preserve">the </w:t>
      </w:r>
      <w:r w:rsidRPr="006871AB">
        <w:rPr>
          <w:lang w:val="en-NZ"/>
        </w:rPr>
        <w:t>Ministry for Regulation</w:t>
      </w:r>
      <w:r w:rsidR="00586BC8">
        <w:rPr>
          <w:lang w:val="en-NZ"/>
        </w:rPr>
        <w:t>’s</w:t>
      </w:r>
      <w:r w:rsidRPr="006871AB">
        <w:rPr>
          <w:lang w:val="en-NZ"/>
        </w:rPr>
        <w:t xml:space="preserve"> guidance for a Supplementary Analysis Report. Options considered by Cabinet were limited to those which resulted in cost-savings for the Government. As decisions were made as part of the </w:t>
      </w:r>
      <w:r w:rsidR="00A110AF" w:rsidRPr="00A110AF">
        <w:rPr>
          <w:lang w:val="en-NZ"/>
        </w:rPr>
        <w:t xml:space="preserve">2024 Budget process, the development of options and advice </w:t>
      </w:r>
      <w:r w:rsidRPr="006871AB">
        <w:rPr>
          <w:lang w:val="en-NZ"/>
        </w:rPr>
        <w:t xml:space="preserve">were not able to be informed by stakeholder or cross-agency engagement. </w:t>
      </w:r>
    </w:p>
    <w:p w14:paraId="337A5987" w14:textId="77777777" w:rsidR="006871AB" w:rsidRPr="006871AB" w:rsidRDefault="006871AB" w:rsidP="006C05B1">
      <w:pPr>
        <w:rPr>
          <w:i/>
          <w:iCs/>
          <w:lang w:val="en-NZ"/>
        </w:rPr>
      </w:pPr>
      <w:r w:rsidRPr="006871AB">
        <w:rPr>
          <w:i/>
          <w:iCs/>
          <w:lang w:val="en-NZ"/>
        </w:rPr>
        <w:t>Options that have been ruled out</w:t>
      </w:r>
    </w:p>
    <w:p w14:paraId="77C96323" w14:textId="210BE9E7" w:rsidR="006871AB" w:rsidRPr="006871AB" w:rsidRDefault="006871AB" w:rsidP="006C05B1">
      <w:pPr>
        <w:pStyle w:val="ListParagraph"/>
        <w:numPr>
          <w:ilvl w:val="0"/>
          <w:numId w:val="4"/>
        </w:numPr>
        <w:spacing w:before="60" w:after="120" w:line="240" w:lineRule="auto"/>
        <w:ind w:left="567" w:hanging="567"/>
        <w:contextualSpacing w:val="0"/>
        <w:rPr>
          <w:lang w:val="en-NZ"/>
        </w:rPr>
      </w:pPr>
      <w:r w:rsidRPr="006871AB">
        <w:rPr>
          <w:lang w:val="en-NZ"/>
        </w:rPr>
        <w:t xml:space="preserve">The use of non-regulatory options in isolation (i.e. operational and practice changes) </w:t>
      </w:r>
      <w:r w:rsidRPr="0025427D">
        <w:rPr>
          <w:rFonts w:cs="Arial"/>
          <w:szCs w:val="22"/>
          <w:lang w:val="en-NZ"/>
        </w:rPr>
        <w:t>was</w:t>
      </w:r>
      <w:r w:rsidRPr="006871AB">
        <w:rPr>
          <w:lang w:val="en-NZ"/>
        </w:rPr>
        <w:t xml:space="preserve"> ruled out, because legislative authority is necessary to make changes to the treatment of contributions from boarders for assistance provided under the </w:t>
      </w:r>
      <w:r w:rsidRPr="006871AB" w:rsidDel="00322A74">
        <w:rPr>
          <w:lang w:val="en-NZ"/>
        </w:rPr>
        <w:t>Social Security Act</w:t>
      </w:r>
      <w:r w:rsidRPr="006871AB">
        <w:rPr>
          <w:lang w:val="en-NZ"/>
        </w:rPr>
        <w:t>. Currently, the rule of disregarding the housing contributions from the first and second boarder for the purposes of calculating IRR can be found in the Public and Community Housing Management (Prescribed Elements of Calculation Mechanism) Regulations</w:t>
      </w:r>
      <w:r w:rsidR="002C5313" w:rsidRPr="002C5313">
        <w:rPr>
          <w:lang w:val="en-NZ"/>
        </w:rPr>
        <w:t xml:space="preserve">, but there is no current provision in the Social Security Act. To implement the agreed </w:t>
      </w:r>
      <w:r w:rsidRPr="006871AB">
        <w:rPr>
          <w:lang w:val="en-NZ"/>
        </w:rPr>
        <w:t>policy changes, clear legislative authority on the treatment of contributions from boarders is required under the</w:t>
      </w:r>
      <w:r w:rsidRPr="006871AB" w:rsidDel="001102CD">
        <w:rPr>
          <w:lang w:val="en-NZ"/>
        </w:rPr>
        <w:t xml:space="preserve"> </w:t>
      </w:r>
      <w:r w:rsidRPr="006871AB">
        <w:rPr>
          <w:lang w:val="en-NZ"/>
        </w:rPr>
        <w:t xml:space="preserve">Social Security Act (which is silent on the treatment of boarder contributions) and the Public and Community Housing Management (Prescribed Elements of Calculation Mechanism) Regulations. </w:t>
      </w:r>
    </w:p>
    <w:p w14:paraId="03ED206B" w14:textId="2560B169" w:rsidR="006871AB" w:rsidRPr="006871AB" w:rsidRDefault="002C5313" w:rsidP="006C05B1">
      <w:pPr>
        <w:pStyle w:val="ListParagraph"/>
        <w:numPr>
          <w:ilvl w:val="0"/>
          <w:numId w:val="4"/>
        </w:numPr>
        <w:spacing w:before="60" w:after="120" w:line="240" w:lineRule="auto"/>
        <w:ind w:left="567" w:hanging="567"/>
        <w:contextualSpacing w:val="0"/>
        <w:rPr>
          <w:lang w:val="en-NZ"/>
        </w:rPr>
      </w:pPr>
      <w:r>
        <w:rPr>
          <w:lang w:val="en-NZ"/>
        </w:rPr>
        <w:t>This includes</w:t>
      </w:r>
      <w:r w:rsidR="006871AB" w:rsidRPr="006871AB">
        <w:rPr>
          <w:lang w:val="en-NZ"/>
        </w:rPr>
        <w:t xml:space="preserve"> the current ‘profit from boarders </w:t>
      </w:r>
      <w:r w:rsidR="006871AB" w:rsidRPr="0025427D">
        <w:rPr>
          <w:rFonts w:cs="Arial"/>
          <w:szCs w:val="22"/>
          <w:lang w:val="en-NZ"/>
        </w:rPr>
        <w:t>calculation’</w:t>
      </w:r>
      <w:r w:rsidR="00546DD6">
        <w:rPr>
          <w:rFonts w:cs="Arial"/>
          <w:szCs w:val="22"/>
          <w:lang w:val="en-NZ"/>
        </w:rPr>
        <w:t>, which</w:t>
      </w:r>
      <w:r w:rsidR="006871AB" w:rsidRPr="006871AB">
        <w:rPr>
          <w:lang w:val="en-NZ"/>
        </w:rPr>
        <w:t xml:space="preserve"> is an operational practice only; it does not </w:t>
      </w:r>
      <w:r w:rsidR="00546DD6">
        <w:rPr>
          <w:lang w:val="en-NZ"/>
        </w:rPr>
        <w:t xml:space="preserve">currently </w:t>
      </w:r>
      <w:r w:rsidR="006871AB" w:rsidRPr="006871AB">
        <w:rPr>
          <w:lang w:val="en-NZ"/>
        </w:rPr>
        <w:t>appear in legislation.</w:t>
      </w:r>
    </w:p>
    <w:p w14:paraId="287FAD09" w14:textId="77777777" w:rsidR="00EF02C5" w:rsidRPr="00800849" w:rsidRDefault="00EF02C5" w:rsidP="006C05B1">
      <w:pPr>
        <w:pStyle w:val="Heading3"/>
        <w:keepNext w:val="0"/>
      </w:pPr>
      <w:bookmarkStart w:id="36" w:name="_Toc196390900"/>
      <w:r w:rsidRPr="00800849">
        <w:t>What options were considered by Cabinet?</w:t>
      </w:r>
      <w:bookmarkEnd w:id="36"/>
    </w:p>
    <w:p w14:paraId="451E0C1C" w14:textId="2E65F724" w:rsidR="00EF02C5" w:rsidRDefault="00EF02C5" w:rsidP="006C05B1">
      <w:pPr>
        <w:numPr>
          <w:ilvl w:val="0"/>
          <w:numId w:val="4"/>
        </w:numPr>
        <w:spacing w:before="60" w:line="240" w:lineRule="auto"/>
        <w:ind w:left="567" w:hanging="567"/>
      </w:pPr>
      <w:r w:rsidRPr="00800849">
        <w:t xml:space="preserve">As part of </w:t>
      </w:r>
      <w:r w:rsidR="00546DD6">
        <w:t xml:space="preserve">the 2024 </w:t>
      </w:r>
      <w:r w:rsidRPr="00800849">
        <w:t>Budget, Cabinet agreed to count the housing contributions from all boarders in the assessment of housing subsidies from 1 April 2026. As this was part of the Budget 2024 process and subject to the limitations of the Budget template, advice</w:t>
      </w:r>
      <w:r w:rsidR="00035CC6">
        <w:t xml:space="preserve"> to Cabinet </w:t>
      </w:r>
      <w:r w:rsidRPr="00800849">
        <w:t xml:space="preserve">only provided the </w:t>
      </w:r>
      <w:r w:rsidR="00035CC6">
        <w:t>proposed initiative</w:t>
      </w:r>
      <w:r w:rsidRPr="00800849">
        <w:t xml:space="preserve">, </w:t>
      </w:r>
      <w:r>
        <w:t>and</w:t>
      </w:r>
      <w:r w:rsidRPr="00800849">
        <w:t xml:space="preserve"> a brief description of the status quo </w:t>
      </w:r>
      <w:r w:rsidR="005D686B">
        <w:t xml:space="preserve">was </w:t>
      </w:r>
      <w:r w:rsidRPr="00800849">
        <w:t xml:space="preserve">provided. </w:t>
      </w:r>
      <w:r>
        <w:t>Th</w:t>
      </w:r>
      <w:r w:rsidRPr="00800849">
        <w:t>e Minister for Social Development and Employment, the Associate Minister of Housing and other Ministers</w:t>
      </w:r>
      <w:r w:rsidR="00F70B93">
        <w:t>,</w:t>
      </w:r>
      <w:r w:rsidRPr="00800849">
        <w:t xml:space="preserve"> as appropriate</w:t>
      </w:r>
      <w:r w:rsidR="00F70B93">
        <w:t>,</w:t>
      </w:r>
      <w:r w:rsidRPr="00800849">
        <w:t xml:space="preserve"> were authorised to make final decisions on the policy details of the change [CAB-24-MIN-0148.74 refers]. </w:t>
      </w:r>
    </w:p>
    <w:p w14:paraId="2CC35FD8" w14:textId="380C289F" w:rsidR="00EF02C5" w:rsidRPr="00800849" w:rsidRDefault="00EF02C5" w:rsidP="006C05B1">
      <w:pPr>
        <w:numPr>
          <w:ilvl w:val="0"/>
          <w:numId w:val="4"/>
        </w:numPr>
        <w:spacing w:before="60" w:line="240" w:lineRule="auto"/>
        <w:ind w:left="567" w:hanging="567"/>
      </w:pPr>
      <w:r w:rsidRPr="00DA7B82">
        <w:t xml:space="preserve">In </w:t>
      </w:r>
      <w:r w:rsidR="00644C98">
        <w:t>February</w:t>
      </w:r>
      <w:r w:rsidR="00644C98" w:rsidRPr="00DA7B82">
        <w:t xml:space="preserve"> </w:t>
      </w:r>
      <w:r w:rsidRPr="00DA7B82">
        <w:t xml:space="preserve">2025, Cabinet agreed to amend the commencement </w:t>
      </w:r>
      <w:r>
        <w:t xml:space="preserve">date for </w:t>
      </w:r>
      <w:r w:rsidRPr="00DA7B82">
        <w:t>the policy change from 1 April 2026 to 2 March 2026. Cabinet also agreed to expand the previous</w:t>
      </w:r>
      <w:r w:rsidR="00F70B93">
        <w:t>ly</w:t>
      </w:r>
      <w:r w:rsidRPr="00DA7B82">
        <w:t xml:space="preserve"> delegated authority, so that the Joint Ministers could ma</w:t>
      </w:r>
      <w:r w:rsidR="00CA54F7">
        <w:t>k</w:t>
      </w:r>
      <w:r w:rsidRPr="00DA7B82">
        <w:t xml:space="preserve">e final decisions on the policy, including confirmation of the treatment of renters in the legislation and the </w:t>
      </w:r>
      <w:r w:rsidRPr="00DA7B82">
        <w:lastRenderedPageBreak/>
        <w:t>treatment of excess income (where housing contributions from a boarder or renter exceed a person’s accommodation costs or market rent)</w:t>
      </w:r>
      <w:r w:rsidR="00F06D48" w:rsidRPr="00F06D48">
        <w:t xml:space="preserve"> [CAB-25-MIN-0014 refers]</w:t>
      </w:r>
      <w:r w:rsidRPr="00DA7B82">
        <w:t xml:space="preserve">. </w:t>
      </w:r>
    </w:p>
    <w:p w14:paraId="5E40BADB" w14:textId="6FF9F991" w:rsidR="00EF02C5" w:rsidRPr="00DA7B82" w:rsidRDefault="00EF02C5" w:rsidP="006C05B1">
      <w:pPr>
        <w:numPr>
          <w:ilvl w:val="0"/>
          <w:numId w:val="4"/>
        </w:numPr>
        <w:spacing w:before="60" w:line="240" w:lineRule="auto"/>
        <w:ind w:left="567" w:hanging="567"/>
      </w:pPr>
      <w:r>
        <w:t>At this time</w:t>
      </w:r>
      <w:r w:rsidRPr="00DA7B82">
        <w:t>, Cabinet also made decisions around mandatory reviews of specified benefits and ADM</w:t>
      </w:r>
      <w:r>
        <w:t>, and a</w:t>
      </w:r>
      <w:r w:rsidRPr="00DA7B82">
        <w:t xml:space="preserve"> Regulatory Impact Statement </w:t>
      </w:r>
      <w:r>
        <w:t>covering</w:t>
      </w:r>
      <w:r w:rsidRPr="00DA7B82">
        <w:t xml:space="preserve"> these decisions was provided [</w:t>
      </w:r>
      <w:r w:rsidRPr="00DA7B82">
        <w:rPr>
          <w:bCs/>
        </w:rPr>
        <w:t>CAB-25-MIN-0014 refers].</w:t>
      </w:r>
      <w:r w:rsidR="000A4906">
        <w:rPr>
          <w:rStyle w:val="FootnoteReference"/>
          <w:bCs/>
        </w:rPr>
        <w:footnoteReference w:id="9"/>
      </w:r>
    </w:p>
    <w:p w14:paraId="744D5825" w14:textId="77777777" w:rsidR="00EF02C5" w:rsidRPr="006F4093" w:rsidRDefault="00EF02C5" w:rsidP="006C05B1">
      <w:pPr>
        <w:pStyle w:val="Heading3"/>
        <w:keepNext w:val="0"/>
      </w:pPr>
      <w:bookmarkStart w:id="37" w:name="_Toc196390901"/>
      <w:r w:rsidRPr="00800849">
        <w:t>Decisions taken by Joint Ministers under their delegated authority from Cabinet</w:t>
      </w:r>
      <w:bookmarkEnd w:id="37"/>
    </w:p>
    <w:p w14:paraId="563B758E" w14:textId="77777777" w:rsidR="00EF02C5" w:rsidRPr="00462ED6" w:rsidRDefault="00EF02C5" w:rsidP="006C05B1">
      <w:pPr>
        <w:numPr>
          <w:ilvl w:val="0"/>
          <w:numId w:val="4"/>
        </w:numPr>
        <w:spacing w:before="60" w:line="240" w:lineRule="auto"/>
        <w:ind w:left="567" w:hanging="567"/>
      </w:pPr>
      <w:r>
        <w:rPr>
          <w:bCs/>
        </w:rPr>
        <w:t>The following decisions have been taken by Joint Ministers on final details of the boarders’ contributions policy:</w:t>
      </w:r>
    </w:p>
    <w:p w14:paraId="4219BB00" w14:textId="77777777" w:rsidR="00EF02C5" w:rsidRDefault="00EF02C5" w:rsidP="006C05B1">
      <w:pPr>
        <w:numPr>
          <w:ilvl w:val="1"/>
          <w:numId w:val="4"/>
        </w:numPr>
        <w:spacing w:before="60" w:line="240" w:lineRule="auto"/>
        <w:ind w:left="1276" w:hanging="567"/>
      </w:pPr>
      <w:r>
        <w:t>H</w:t>
      </w:r>
      <w:r w:rsidRPr="00462ED6">
        <w:t xml:space="preserve">ousing contributions from boarders will be recognised </w:t>
      </w:r>
      <w:r>
        <w:t>when calculating housing subsidies under the</w:t>
      </w:r>
      <w:r w:rsidRPr="00462ED6">
        <w:t xml:space="preserve"> Social Security Act</w:t>
      </w:r>
      <w:r>
        <w:t>.</w:t>
      </w:r>
    </w:p>
    <w:p w14:paraId="7027D6D9" w14:textId="77777777" w:rsidR="00EF02C5" w:rsidRDefault="00EF02C5" w:rsidP="006C05B1">
      <w:pPr>
        <w:numPr>
          <w:ilvl w:val="1"/>
          <w:numId w:val="4"/>
        </w:numPr>
        <w:spacing w:before="60" w:line="240" w:lineRule="auto"/>
        <w:ind w:left="1276" w:hanging="567"/>
      </w:pPr>
      <w:bookmarkStart w:id="38" w:name="_Hlk191566069"/>
      <w:r>
        <w:t>H</w:t>
      </w:r>
      <w:r w:rsidRPr="00462ED6">
        <w:t>ousing contribution</w:t>
      </w:r>
      <w:r>
        <w:t>s</w:t>
      </w:r>
      <w:r w:rsidRPr="00462ED6">
        <w:t xml:space="preserve"> from boarders </w:t>
      </w:r>
      <w:r>
        <w:t>will be</w:t>
      </w:r>
      <w:r w:rsidRPr="00462ED6">
        <w:t xml:space="preserve"> directly reflected in the IRR a social housing tenant must pay</w:t>
      </w:r>
      <w:bookmarkEnd w:id="38"/>
      <w:r>
        <w:t>.</w:t>
      </w:r>
    </w:p>
    <w:p w14:paraId="436A3998" w14:textId="2442C99B" w:rsidR="00EF02C5" w:rsidRDefault="00EF02C5" w:rsidP="006C05B1">
      <w:pPr>
        <w:numPr>
          <w:ilvl w:val="1"/>
          <w:numId w:val="4"/>
        </w:numPr>
        <w:spacing w:before="60" w:line="240" w:lineRule="auto"/>
        <w:ind w:left="1276" w:hanging="567"/>
        <w:rPr>
          <w:rFonts w:ascii="Segoe UI" w:eastAsia="Segoe UI" w:hAnsi="Segoe UI" w:cs="Segoe UI"/>
          <w:sz w:val="18"/>
          <w:szCs w:val="18"/>
        </w:rPr>
      </w:pPr>
      <w:r>
        <w:t>W</w:t>
      </w:r>
      <w:r w:rsidRPr="00462ED6">
        <w:t xml:space="preserve">hen housing contributions from boarders exceed the total allowable accommodation costs (for Social Security Act assistance) or the market rent applicable (for the social housing property) of the person receiving board payments, the </w:t>
      </w:r>
      <w:bookmarkStart w:id="39" w:name="_Hlk191567439"/>
      <w:r w:rsidRPr="00462ED6">
        <w:t>excess income will be included as income for any other income-tested assistance</w:t>
      </w:r>
      <w:r w:rsidR="00FA4A64">
        <w:rPr>
          <w:rStyle w:val="FootnoteReference"/>
        </w:rPr>
        <w:footnoteReference w:id="10"/>
      </w:r>
    </w:p>
    <w:bookmarkEnd w:id="39"/>
    <w:p w14:paraId="5D30524F" w14:textId="08873677" w:rsidR="00EF02C5" w:rsidRPr="00331700" w:rsidRDefault="00EF02C5" w:rsidP="006C05B1">
      <w:pPr>
        <w:numPr>
          <w:ilvl w:val="1"/>
          <w:numId w:val="4"/>
        </w:numPr>
        <w:spacing w:before="60" w:line="240" w:lineRule="auto"/>
        <w:ind w:left="1276" w:hanging="567"/>
      </w:pPr>
      <w:r>
        <w:t xml:space="preserve">Recognising housing contributions from boarders </w:t>
      </w:r>
      <w:r w:rsidRPr="00331700">
        <w:t>will have flow-on implications for</w:t>
      </w:r>
      <w:r>
        <w:t xml:space="preserve"> </w:t>
      </w:r>
      <w:r w:rsidRPr="00331700">
        <w:t>Temporary Additional Support</w:t>
      </w:r>
      <w:r>
        <w:t xml:space="preserve">, </w:t>
      </w:r>
      <w:r w:rsidR="00AE2E65" w:rsidRPr="00AE2E65">
        <w:t xml:space="preserve">the grandparented </w:t>
      </w:r>
      <w:r w:rsidRPr="00331700">
        <w:t>Special Benefit</w:t>
      </w:r>
      <w:r>
        <w:t xml:space="preserve">, </w:t>
      </w:r>
      <w:r w:rsidRPr="00331700">
        <w:t>The Away from Home Allowance</w:t>
      </w:r>
      <w:r>
        <w:t xml:space="preserve"> and </w:t>
      </w:r>
      <w:r w:rsidRPr="00331700">
        <w:t xml:space="preserve">The Student Allowance Accommodation Benefit </w:t>
      </w:r>
      <w:r w:rsidR="00CB796D">
        <w:t xml:space="preserve">for </w:t>
      </w:r>
      <w:r w:rsidRPr="00331700">
        <w:t>a sole parent.</w:t>
      </w:r>
    </w:p>
    <w:p w14:paraId="21D29597" w14:textId="2EA30919" w:rsidR="00EF02C5" w:rsidRDefault="00EF02C5" w:rsidP="006C05B1">
      <w:pPr>
        <w:numPr>
          <w:ilvl w:val="1"/>
          <w:numId w:val="4"/>
        </w:numPr>
        <w:spacing w:before="60" w:line="240" w:lineRule="auto"/>
        <w:ind w:left="1276" w:hanging="567"/>
      </w:pPr>
      <w:r>
        <w:t>B</w:t>
      </w:r>
      <w:r w:rsidRPr="00331700">
        <w:t>roadening of existing authorising provisions for ADM in relation to</w:t>
      </w:r>
      <w:r w:rsidR="0062335C">
        <w:t xml:space="preserve"> </w:t>
      </w:r>
      <w:r w:rsidR="0062335C" w:rsidRPr="0062335C">
        <w:t>the administration of AS</w:t>
      </w:r>
      <w:r w:rsidRPr="00331700">
        <w:t xml:space="preserve">, </w:t>
      </w:r>
      <w:r>
        <w:t>and the introduction of</w:t>
      </w:r>
      <w:r w:rsidRPr="00331700">
        <w:t xml:space="preserve"> mandatory reviews </w:t>
      </w:r>
      <w:r w:rsidR="001B5B32">
        <w:t xml:space="preserve">of housing subsidies </w:t>
      </w:r>
      <w:r w:rsidRPr="00331700">
        <w:t>to test ongoing rate and eligibility for some payments</w:t>
      </w:r>
      <w:r>
        <w:t>.</w:t>
      </w:r>
    </w:p>
    <w:p w14:paraId="26C1831F" w14:textId="41C245DD" w:rsidR="00EF02C5" w:rsidRDefault="00EF02C5" w:rsidP="006C05B1">
      <w:pPr>
        <w:numPr>
          <w:ilvl w:val="1"/>
          <w:numId w:val="4"/>
        </w:numPr>
        <w:spacing w:before="60" w:line="240" w:lineRule="auto"/>
        <w:ind w:left="1276" w:hanging="567"/>
      </w:pPr>
      <w:bookmarkStart w:id="40" w:name="_Hlk191635504"/>
      <w:r>
        <w:t>B</w:t>
      </w:r>
      <w:r w:rsidRPr="00331700">
        <w:t xml:space="preserve">oarders will be </w:t>
      </w:r>
      <w:r w:rsidR="001B5B32">
        <w:t>defined</w:t>
      </w:r>
      <w:r w:rsidR="001B5B32" w:rsidRPr="00331700">
        <w:t xml:space="preserve"> </w:t>
      </w:r>
      <w:r w:rsidRPr="00331700">
        <w:t>in legislation for the purposes of AS</w:t>
      </w:r>
      <w:r w:rsidR="001B5B32">
        <w:t xml:space="preserve"> and TAS</w:t>
      </w:r>
      <w:r w:rsidRPr="00331700">
        <w:t>, and if a person is not identified as a boarder, they will be treated as a rente</w:t>
      </w:r>
      <w:bookmarkEnd w:id="40"/>
      <w:r w:rsidRPr="00331700">
        <w:t>r</w:t>
      </w:r>
      <w:r>
        <w:t>.</w:t>
      </w:r>
    </w:p>
    <w:p w14:paraId="68CFF7C1" w14:textId="59497D1C" w:rsidR="00EF02C5" w:rsidRDefault="00EF02C5" w:rsidP="006C05B1">
      <w:pPr>
        <w:numPr>
          <w:ilvl w:val="1"/>
          <w:numId w:val="4"/>
        </w:numPr>
        <w:spacing w:before="60" w:line="240" w:lineRule="auto"/>
        <w:ind w:left="1276" w:hanging="567"/>
      </w:pPr>
      <w:r>
        <w:t xml:space="preserve">When </w:t>
      </w:r>
      <w:r w:rsidRPr="00642E7E">
        <w:t>a person lives in a property that they also use to run a commercial boarding operation, the proportion of the premises used for their business will not be considered part of their accommodation costs</w:t>
      </w:r>
      <w:r>
        <w:t>.</w:t>
      </w:r>
      <w:r w:rsidR="004C275E">
        <w:t xml:space="preserve"> </w:t>
      </w:r>
    </w:p>
    <w:p w14:paraId="0D60897F" w14:textId="7AAE2794" w:rsidR="00EF02C5" w:rsidRPr="00462ED6" w:rsidRDefault="00EF02C5" w:rsidP="006C05B1">
      <w:pPr>
        <w:numPr>
          <w:ilvl w:val="1"/>
          <w:numId w:val="4"/>
        </w:numPr>
        <w:spacing w:before="60" w:line="240" w:lineRule="auto"/>
        <w:ind w:left="1276" w:hanging="567"/>
      </w:pPr>
      <w:r>
        <w:t xml:space="preserve">When there is a discrepancy between the rate of board/rent provided by the person receiving the board/rent payment and the person paying the board/rent, MSD will resolve this through a </w:t>
      </w:r>
      <w:r w:rsidR="001B5B32">
        <w:t>three</w:t>
      </w:r>
      <w:r>
        <w:t>-step process that can include suspending and cancelling housing subsidies or increasing a social housing tenant’s IRR to market rent</w:t>
      </w:r>
      <w:r w:rsidR="00261E35" w:rsidRPr="00261E35">
        <w:t>, if the clients’ have not provided sufficient information to allow MSD to determine the accommodation arrangement</w:t>
      </w:r>
      <w:r>
        <w:t>.</w:t>
      </w:r>
    </w:p>
    <w:p w14:paraId="4B879392" w14:textId="501560AF" w:rsidR="00EF02C5" w:rsidRPr="00BB3E0B" w:rsidRDefault="00EF02C5" w:rsidP="006C05B1">
      <w:pPr>
        <w:numPr>
          <w:ilvl w:val="0"/>
          <w:numId w:val="4"/>
        </w:numPr>
        <w:spacing w:before="60" w:line="240" w:lineRule="auto"/>
        <w:ind w:left="567" w:hanging="567"/>
      </w:pPr>
      <w:r>
        <w:rPr>
          <w:bCs/>
        </w:rPr>
        <w:t xml:space="preserve">The </w:t>
      </w:r>
      <w:r w:rsidRPr="00B869E8">
        <w:rPr>
          <w:bCs/>
        </w:rPr>
        <w:t xml:space="preserve">following sections </w:t>
      </w:r>
      <w:r>
        <w:rPr>
          <w:bCs/>
        </w:rPr>
        <w:t>discuss</w:t>
      </w:r>
      <w:r w:rsidR="00E3177D">
        <w:rPr>
          <w:bCs/>
        </w:rPr>
        <w:t xml:space="preserve"> the</w:t>
      </w:r>
      <w:r w:rsidRPr="00B869E8">
        <w:rPr>
          <w:bCs/>
        </w:rPr>
        <w:t xml:space="preserve"> impacts of the decisions</w:t>
      </w:r>
      <w:r>
        <w:rPr>
          <w:bCs/>
        </w:rPr>
        <w:t>, alignment with the policy’s</w:t>
      </w:r>
      <w:r w:rsidRPr="00B869E8">
        <w:rPr>
          <w:bCs/>
        </w:rPr>
        <w:t xml:space="preserve"> objectives, stakeholder feedback, risks, </w:t>
      </w:r>
      <w:r>
        <w:rPr>
          <w:bCs/>
        </w:rPr>
        <w:t xml:space="preserve">and </w:t>
      </w:r>
      <w:r w:rsidRPr="00B869E8">
        <w:rPr>
          <w:bCs/>
        </w:rPr>
        <w:t>distributional impacts</w:t>
      </w:r>
      <w:r>
        <w:rPr>
          <w:bCs/>
        </w:rPr>
        <w:t>.</w:t>
      </w:r>
      <w:r w:rsidRPr="00B869E8">
        <w:rPr>
          <w:bCs/>
        </w:rPr>
        <w:t xml:space="preserve"> </w:t>
      </w:r>
      <w:r w:rsidR="00885F1B">
        <w:rPr>
          <w:bCs/>
        </w:rPr>
        <w:t xml:space="preserve">A comparison of the agreed option with the counterfactual is at </w:t>
      </w:r>
      <w:r w:rsidR="00885F1B" w:rsidRPr="00885F1B">
        <w:rPr>
          <w:b/>
        </w:rPr>
        <w:t>Annex 1</w:t>
      </w:r>
      <w:r w:rsidR="00885F1B">
        <w:rPr>
          <w:bCs/>
        </w:rPr>
        <w:t xml:space="preserve">. </w:t>
      </w:r>
    </w:p>
    <w:p w14:paraId="3B4EBD03" w14:textId="77777777" w:rsidR="001A6B72" w:rsidRDefault="001A6B72">
      <w:pPr>
        <w:spacing w:after="0" w:line="240" w:lineRule="auto"/>
        <w:rPr>
          <w:b/>
          <w:bCs/>
          <w:color w:val="595959" w:themeColor="text1" w:themeTint="A6"/>
          <w:w w:val="90"/>
        </w:rPr>
      </w:pPr>
      <w:r>
        <w:rPr>
          <w:w w:val="90"/>
        </w:rPr>
        <w:br w:type="page"/>
      </w:r>
    </w:p>
    <w:p w14:paraId="3555DFB2" w14:textId="131582FC" w:rsidR="00B02EC5" w:rsidRPr="00800849" w:rsidRDefault="00B02EC5" w:rsidP="006C05B1">
      <w:pPr>
        <w:pStyle w:val="Heading4"/>
        <w:rPr>
          <w:w w:val="90"/>
        </w:rPr>
      </w:pPr>
      <w:r w:rsidRPr="001078CF">
        <w:rPr>
          <w:w w:val="90"/>
        </w:rPr>
        <w:lastRenderedPageBreak/>
        <w:t xml:space="preserve">Housing contributions from boarders will be recognised when calculating </w:t>
      </w:r>
      <w:r>
        <w:rPr>
          <w:w w:val="90"/>
        </w:rPr>
        <w:t xml:space="preserve">a person’s entitlement to </w:t>
      </w:r>
      <w:r w:rsidRPr="001078CF">
        <w:rPr>
          <w:w w:val="90"/>
        </w:rPr>
        <w:t>housing subsidies under the Social Security Act</w:t>
      </w:r>
      <w:r w:rsidRPr="001078CF" w:rsidDel="000E1D4F">
        <w:rPr>
          <w:w w:val="90"/>
        </w:rPr>
        <w:t xml:space="preserve"> </w:t>
      </w:r>
    </w:p>
    <w:p w14:paraId="3A737127" w14:textId="11A64062" w:rsidR="00B02EC5" w:rsidRPr="00800849" w:rsidRDefault="00B02EC5" w:rsidP="006C05B1">
      <w:pPr>
        <w:numPr>
          <w:ilvl w:val="0"/>
          <w:numId w:val="4"/>
        </w:numPr>
        <w:spacing w:before="60" w:line="240" w:lineRule="auto"/>
        <w:ind w:left="567" w:hanging="567"/>
      </w:pPr>
      <w:r w:rsidRPr="00800849">
        <w:t xml:space="preserve">In October 2024, Joint Ministers agreed that MSD will recognise housing contributions from all boarders (i.e. 62 percent of payments received) by reducing a person’s allowable accommodation costs by any housing contributions they receive from a boarder for housing subsidies under the Social Security Act. This aligns the treatment of housing contributions received from boarders with payments </w:t>
      </w:r>
      <w:r w:rsidR="00261E35">
        <w:t xml:space="preserve">received </w:t>
      </w:r>
      <w:r w:rsidRPr="00800849">
        <w:t xml:space="preserve">from renters. </w:t>
      </w:r>
    </w:p>
    <w:p w14:paraId="79C8B590" w14:textId="4B282D67" w:rsidR="00B02EC5" w:rsidRPr="00800849" w:rsidRDefault="00B02EC5" w:rsidP="006C05B1">
      <w:pPr>
        <w:numPr>
          <w:ilvl w:val="0"/>
          <w:numId w:val="4"/>
        </w:numPr>
        <w:spacing w:before="60" w:line="240" w:lineRule="auto"/>
        <w:ind w:left="567" w:hanging="567"/>
      </w:pPr>
      <w:r w:rsidRPr="00800849">
        <w:t xml:space="preserve">Ministers noted that the housing contribution component of board payments will continue to be calculated as 62 percent of the amount paid. The remaining 38 percent will be considered to pay for costs incurred as part of the board arrangement (including meals and utilities) and will be excluded from any assessment of income or accommodation costs for consistency with current legislation (see s65(2)(c) of the Social Security Act and cl 12 of the Public and Community Housing Management (Prescribed Elements of Calculation Mechanism) Regulations).   </w:t>
      </w:r>
    </w:p>
    <w:p w14:paraId="23EA51B2" w14:textId="48104455" w:rsidR="00B02EC5" w:rsidRPr="00800849" w:rsidRDefault="00B02EC5" w:rsidP="006C05B1">
      <w:pPr>
        <w:numPr>
          <w:ilvl w:val="0"/>
          <w:numId w:val="4"/>
        </w:numPr>
        <w:spacing w:before="60" w:line="240" w:lineRule="auto"/>
        <w:ind w:left="567" w:hanging="567"/>
      </w:pPr>
      <w:r w:rsidRPr="00800849">
        <w:t xml:space="preserve">This approach will </w:t>
      </w:r>
      <w:r>
        <w:t xml:space="preserve">meet the objective of </w:t>
      </w:r>
      <w:r w:rsidRPr="00800849">
        <w:t>ensur</w:t>
      </w:r>
      <w:r>
        <w:t>ing</w:t>
      </w:r>
      <w:r w:rsidRPr="00800849">
        <w:t xml:space="preserve"> that housing contributions are not subsidised twice by reducing the amount of </w:t>
      </w:r>
      <w:r w:rsidR="00690CCA">
        <w:t xml:space="preserve">allowable </w:t>
      </w:r>
      <w:r w:rsidRPr="00800849">
        <w:t xml:space="preserve">accommodation costs </w:t>
      </w:r>
      <w:r>
        <w:t>a</w:t>
      </w:r>
      <w:r w:rsidRPr="00800849">
        <w:t xml:space="preserve"> person receiving board payments can claim. This will result in </w:t>
      </w:r>
      <w:r w:rsidR="008118F8" w:rsidRPr="008118F8">
        <w:t>better targeting of government expenditure on housing subsidies</w:t>
      </w:r>
      <w:r w:rsidRPr="00800849">
        <w:t xml:space="preserve">. </w:t>
      </w:r>
    </w:p>
    <w:p w14:paraId="6F4CE138" w14:textId="7E5CF42B" w:rsidR="00B02EC5" w:rsidRPr="003B4672" w:rsidRDefault="00B02EC5" w:rsidP="006C05B1">
      <w:pPr>
        <w:pStyle w:val="Heading4"/>
      </w:pPr>
      <w:r w:rsidRPr="0012483F">
        <w:rPr>
          <w:w w:val="90"/>
        </w:rPr>
        <w:t xml:space="preserve">Housing contributions from boarders will be directly reflected in the </w:t>
      </w:r>
      <w:r w:rsidR="00875459">
        <w:rPr>
          <w:w w:val="90"/>
        </w:rPr>
        <w:t>I</w:t>
      </w:r>
      <w:r w:rsidR="00371C2B">
        <w:rPr>
          <w:w w:val="90"/>
        </w:rPr>
        <w:t>ncome</w:t>
      </w:r>
      <w:r w:rsidR="002F74D3">
        <w:rPr>
          <w:w w:val="90"/>
        </w:rPr>
        <w:t>-</w:t>
      </w:r>
      <w:r w:rsidR="00875459">
        <w:rPr>
          <w:w w:val="90"/>
        </w:rPr>
        <w:t>R</w:t>
      </w:r>
      <w:r w:rsidR="00371C2B">
        <w:rPr>
          <w:w w:val="90"/>
        </w:rPr>
        <w:t xml:space="preserve">elated </w:t>
      </w:r>
      <w:r w:rsidR="00875459">
        <w:rPr>
          <w:w w:val="90"/>
        </w:rPr>
        <w:t>R</w:t>
      </w:r>
      <w:r w:rsidR="00371C2B">
        <w:rPr>
          <w:w w:val="90"/>
        </w:rPr>
        <w:t>ent</w:t>
      </w:r>
      <w:r w:rsidRPr="0012483F">
        <w:rPr>
          <w:w w:val="90"/>
        </w:rPr>
        <w:t xml:space="preserve"> a social housing tenant must pay </w:t>
      </w:r>
    </w:p>
    <w:p w14:paraId="2DEAAD80" w14:textId="3377A9F6" w:rsidR="00806395" w:rsidRDefault="00B02EC5" w:rsidP="006C05B1">
      <w:pPr>
        <w:pStyle w:val="BodyText-Numbered"/>
        <w:keepNext w:val="0"/>
        <w:numPr>
          <w:ilvl w:val="0"/>
          <w:numId w:val="4"/>
        </w:numPr>
        <w:spacing w:after="0"/>
        <w:ind w:left="567" w:hanging="567"/>
        <w:rPr>
          <w:lang w:val="en-NZ"/>
        </w:rPr>
      </w:pPr>
      <w:r w:rsidRPr="00A346A0">
        <w:rPr>
          <w:lang w:val="en-NZ"/>
        </w:rPr>
        <w:t xml:space="preserve">For the purposes of calculating IRR, Joint Ministers agreed that MSD will include housing contributions that a social housing tenant receives from boarders (i.e. 62 percent of </w:t>
      </w:r>
      <w:r w:rsidR="007E4C3A">
        <w:rPr>
          <w:lang w:val="en-NZ"/>
        </w:rPr>
        <w:t xml:space="preserve">the </w:t>
      </w:r>
      <w:r w:rsidRPr="00A346A0">
        <w:rPr>
          <w:lang w:val="en-NZ"/>
        </w:rPr>
        <w:t>payment received</w:t>
      </w:r>
      <w:r w:rsidR="007E4C3A">
        <w:rPr>
          <w:lang w:val="en-NZ"/>
        </w:rPr>
        <w:t xml:space="preserve"> from each boarder</w:t>
      </w:r>
      <w:r w:rsidRPr="00A346A0">
        <w:rPr>
          <w:lang w:val="en-NZ"/>
        </w:rPr>
        <w:t xml:space="preserve">). </w:t>
      </w:r>
      <w:r>
        <w:rPr>
          <w:lang w:val="en-NZ"/>
        </w:rPr>
        <w:t xml:space="preserve">It was </w:t>
      </w:r>
      <w:r w:rsidRPr="00A346A0">
        <w:rPr>
          <w:lang w:val="en-NZ"/>
        </w:rPr>
        <w:t xml:space="preserve">agreed that the calculation of IRR will be modified to ensure that the housing contribution from boarders is directly reflected in the IRR </w:t>
      </w:r>
      <w:r>
        <w:rPr>
          <w:lang w:val="en-NZ"/>
        </w:rPr>
        <w:t xml:space="preserve">that </w:t>
      </w:r>
      <w:r w:rsidRPr="00A346A0">
        <w:rPr>
          <w:lang w:val="en-NZ"/>
        </w:rPr>
        <w:t xml:space="preserve">a social housing tenant must pay. See the table below for a description of the agreed modified IRR calculation and the alternative option </w:t>
      </w:r>
      <w:r>
        <w:rPr>
          <w:lang w:val="en-NZ"/>
        </w:rPr>
        <w:t xml:space="preserve">for calculating </w:t>
      </w:r>
      <w:r w:rsidRPr="00A346A0">
        <w:rPr>
          <w:lang w:val="en-NZ"/>
        </w:rPr>
        <w:t xml:space="preserve">IRR </w:t>
      </w:r>
      <w:r>
        <w:rPr>
          <w:lang w:val="en-NZ"/>
        </w:rPr>
        <w:t xml:space="preserve">considered </w:t>
      </w:r>
      <w:r w:rsidRPr="00A346A0">
        <w:rPr>
          <w:lang w:val="en-NZ"/>
        </w:rPr>
        <w:t xml:space="preserve">by </w:t>
      </w:r>
      <w:r>
        <w:rPr>
          <w:lang w:val="en-NZ"/>
        </w:rPr>
        <w:t xml:space="preserve">Joint </w:t>
      </w:r>
      <w:r w:rsidRPr="00A346A0">
        <w:rPr>
          <w:lang w:val="en-NZ"/>
        </w:rPr>
        <w:t xml:space="preserve">Ministers. </w:t>
      </w:r>
      <w:r w:rsidR="00806395">
        <w:rPr>
          <w:lang w:val="en-NZ"/>
        </w:rPr>
        <w:br w:type="page"/>
      </w:r>
    </w:p>
    <w:p w14:paraId="44902F9C" w14:textId="77777777" w:rsidR="00B02EC5" w:rsidRPr="00A346A0" w:rsidRDefault="00B02EC5" w:rsidP="006C05B1">
      <w:pPr>
        <w:pStyle w:val="BodyText-Numbered"/>
        <w:keepNext w:val="0"/>
        <w:rPr>
          <w:lang w:val="en-NZ"/>
        </w:rPr>
      </w:pPr>
    </w:p>
    <w:tbl>
      <w:tblPr>
        <w:tblStyle w:val="TableGrid"/>
        <w:tblW w:w="5000" w:type="pct"/>
        <w:tblInd w:w="-5" w:type="dxa"/>
        <w:tblLook w:val="04A0" w:firstRow="1" w:lastRow="0" w:firstColumn="1" w:lastColumn="0" w:noHBand="0" w:noVBand="1"/>
      </w:tblPr>
      <w:tblGrid>
        <w:gridCol w:w="4535"/>
        <w:gridCol w:w="4525"/>
      </w:tblGrid>
      <w:tr w:rsidR="009D7803" w:rsidRPr="003E7A07" w14:paraId="7F0A09CD" w14:textId="77777777" w:rsidTr="00776538">
        <w:tc>
          <w:tcPr>
            <w:tcW w:w="5000" w:type="pct"/>
            <w:gridSpan w:val="2"/>
            <w:tcBorders>
              <w:bottom w:val="single" w:sz="4" w:space="0" w:color="000000"/>
            </w:tcBorders>
            <w:shd w:val="clear" w:color="auto" w:fill="auto"/>
          </w:tcPr>
          <w:p w14:paraId="04EA7EF2" w14:textId="3291470C" w:rsidR="00271C1C" w:rsidRDefault="009722D8" w:rsidP="006C05B1">
            <w:pPr>
              <w:shd w:val="clear" w:color="auto" w:fill="FFFFFF"/>
              <w:spacing w:line="240" w:lineRule="auto"/>
              <w:jc w:val="center"/>
              <w:rPr>
                <w:b/>
                <w:color w:val="000000"/>
                <w:sz w:val="20"/>
              </w:rPr>
            </w:pPr>
            <w:r>
              <w:rPr>
                <w:b/>
                <w:color w:val="000000"/>
                <w:sz w:val="20"/>
              </w:rPr>
              <w:t>Income-</w:t>
            </w:r>
            <w:r w:rsidR="00C60504">
              <w:rPr>
                <w:b/>
                <w:color w:val="000000"/>
                <w:sz w:val="20"/>
              </w:rPr>
              <w:t>R</w:t>
            </w:r>
            <w:r>
              <w:rPr>
                <w:b/>
                <w:color w:val="000000"/>
                <w:sz w:val="20"/>
              </w:rPr>
              <w:t>elated Re</w:t>
            </w:r>
            <w:r w:rsidR="00C60504">
              <w:rPr>
                <w:b/>
                <w:color w:val="000000"/>
                <w:sz w:val="20"/>
              </w:rPr>
              <w:t xml:space="preserve">lated Rent </w:t>
            </w:r>
            <w:r w:rsidR="00BB0C54">
              <w:rPr>
                <w:b/>
                <w:color w:val="000000"/>
                <w:sz w:val="20"/>
              </w:rPr>
              <w:t xml:space="preserve">(IRR) </w:t>
            </w:r>
            <w:r w:rsidR="00C60504">
              <w:rPr>
                <w:b/>
                <w:color w:val="000000"/>
                <w:sz w:val="20"/>
              </w:rPr>
              <w:t>Calculation</w:t>
            </w:r>
          </w:p>
        </w:tc>
      </w:tr>
      <w:tr w:rsidR="00537F3F" w:rsidRPr="003E7A07" w14:paraId="44542757" w14:textId="77777777" w:rsidTr="00776538">
        <w:tc>
          <w:tcPr>
            <w:tcW w:w="2503" w:type="pct"/>
            <w:tcBorders>
              <w:bottom w:val="single" w:sz="4" w:space="0" w:color="000000"/>
            </w:tcBorders>
            <w:shd w:val="clear" w:color="auto" w:fill="D9E2F3" w:themeFill="accent5" w:themeFillTint="33"/>
          </w:tcPr>
          <w:p w14:paraId="0458E80E" w14:textId="77777777" w:rsidR="004C48AD" w:rsidRPr="003E7A07" w:rsidRDefault="004C48AD" w:rsidP="006C05B1">
            <w:pPr>
              <w:shd w:val="clear" w:color="auto" w:fill="FFFFFF"/>
              <w:spacing w:line="240" w:lineRule="auto"/>
              <w:jc w:val="center"/>
              <w:rPr>
                <w:b/>
                <w:color w:val="000000"/>
                <w:sz w:val="20"/>
              </w:rPr>
            </w:pPr>
            <w:r>
              <w:rPr>
                <w:b/>
                <w:color w:val="000000"/>
                <w:sz w:val="20"/>
              </w:rPr>
              <w:t>Agreed modified</w:t>
            </w:r>
            <w:r w:rsidRPr="003E7A07">
              <w:rPr>
                <w:b/>
                <w:color w:val="000000"/>
                <w:sz w:val="20"/>
              </w:rPr>
              <w:t xml:space="preserve"> IRR calculation</w:t>
            </w:r>
          </w:p>
        </w:tc>
        <w:tc>
          <w:tcPr>
            <w:tcW w:w="2497" w:type="pct"/>
            <w:tcBorders>
              <w:bottom w:val="single" w:sz="4" w:space="0" w:color="000000"/>
            </w:tcBorders>
          </w:tcPr>
          <w:p w14:paraId="61CB038D" w14:textId="77777777" w:rsidR="004C48AD" w:rsidRPr="003E7A07" w:rsidRDefault="004C48AD" w:rsidP="006C05B1">
            <w:pPr>
              <w:shd w:val="clear" w:color="auto" w:fill="FFFFFF"/>
              <w:spacing w:line="240" w:lineRule="auto"/>
              <w:jc w:val="center"/>
              <w:rPr>
                <w:b/>
                <w:color w:val="000000"/>
                <w:sz w:val="20"/>
              </w:rPr>
            </w:pPr>
            <w:r>
              <w:rPr>
                <w:b/>
                <w:color w:val="000000"/>
                <w:sz w:val="20"/>
              </w:rPr>
              <w:t>The alternative IRR</w:t>
            </w:r>
            <w:r w:rsidRPr="003E7A07">
              <w:rPr>
                <w:b/>
                <w:color w:val="000000"/>
                <w:sz w:val="20"/>
              </w:rPr>
              <w:t xml:space="preserve"> calculation</w:t>
            </w:r>
            <w:r>
              <w:rPr>
                <w:b/>
                <w:color w:val="000000"/>
                <w:sz w:val="20"/>
              </w:rPr>
              <w:t xml:space="preserve"> option </w:t>
            </w:r>
          </w:p>
        </w:tc>
      </w:tr>
      <w:tr w:rsidR="00537F3F" w:rsidRPr="003E7A07" w14:paraId="5EF1FDB6" w14:textId="77777777" w:rsidTr="00776538">
        <w:tc>
          <w:tcPr>
            <w:tcW w:w="2503" w:type="pct"/>
            <w:tcBorders>
              <w:bottom w:val="nil"/>
            </w:tcBorders>
            <w:shd w:val="clear" w:color="auto" w:fill="D9E2F3" w:themeFill="accent5" w:themeFillTint="33"/>
          </w:tcPr>
          <w:p w14:paraId="6B761CC1" w14:textId="77777777" w:rsidR="004C48AD" w:rsidRDefault="004C48AD" w:rsidP="006C05B1">
            <w:pPr>
              <w:shd w:val="clear" w:color="auto" w:fill="FFFFFF"/>
              <w:spacing w:line="264" w:lineRule="auto"/>
              <w:jc w:val="center"/>
              <w:rPr>
                <w:color w:val="000000"/>
                <w:sz w:val="20"/>
              </w:rPr>
            </w:pPr>
            <w:r>
              <w:rPr>
                <w:b/>
                <w:bCs/>
                <w:color w:val="000000"/>
                <w:sz w:val="20"/>
              </w:rPr>
              <w:t>A</w:t>
            </w:r>
            <w:r w:rsidRPr="00D76A99">
              <w:rPr>
                <w:b/>
                <w:bCs/>
                <w:color w:val="000000"/>
                <w:sz w:val="20"/>
              </w:rPr>
              <w:t>ssessable income</w:t>
            </w:r>
            <w:r>
              <w:rPr>
                <w:b/>
                <w:bCs/>
                <w:color w:val="000000"/>
                <w:sz w:val="20"/>
              </w:rPr>
              <w:t xml:space="preserve"> </w:t>
            </w:r>
            <w:r>
              <w:rPr>
                <w:color w:val="000000"/>
                <w:sz w:val="20"/>
              </w:rPr>
              <w:t xml:space="preserve">is: </w:t>
            </w:r>
          </w:p>
          <w:p w14:paraId="2D3A0463" w14:textId="77777777" w:rsidR="004C48AD" w:rsidRDefault="004C48AD" w:rsidP="006C05B1">
            <w:pPr>
              <w:shd w:val="clear" w:color="auto" w:fill="FFFFFF"/>
              <w:spacing w:line="264" w:lineRule="auto"/>
              <w:jc w:val="center"/>
              <w:rPr>
                <w:color w:val="000000"/>
                <w:sz w:val="20"/>
              </w:rPr>
            </w:pPr>
            <w:r w:rsidRPr="00D76A99">
              <w:rPr>
                <w:color w:val="000000"/>
                <w:sz w:val="20"/>
              </w:rPr>
              <w:t>main benefit</w:t>
            </w:r>
          </w:p>
          <w:p w14:paraId="25C70F93" w14:textId="77777777" w:rsidR="004C48AD" w:rsidRPr="00D76A99" w:rsidRDefault="004C48AD" w:rsidP="006C05B1">
            <w:pPr>
              <w:shd w:val="clear" w:color="auto" w:fill="FFFFFF"/>
              <w:spacing w:line="264" w:lineRule="auto"/>
              <w:jc w:val="center"/>
              <w:rPr>
                <w:color w:val="000000"/>
                <w:sz w:val="32"/>
                <w:szCs w:val="32"/>
              </w:rPr>
            </w:pPr>
            <w:r w:rsidRPr="00D76A99">
              <w:rPr>
                <w:b/>
                <w:bCs/>
                <w:color w:val="000000"/>
                <w:sz w:val="32"/>
                <w:szCs w:val="32"/>
              </w:rPr>
              <w:t>+</w:t>
            </w:r>
          </w:p>
          <w:p w14:paraId="60AD4A6D" w14:textId="77777777" w:rsidR="004C48AD" w:rsidRPr="00D76A99" w:rsidRDefault="004C48AD" w:rsidP="006C05B1">
            <w:pPr>
              <w:shd w:val="clear" w:color="auto" w:fill="FFFFFF"/>
              <w:spacing w:line="264" w:lineRule="auto"/>
              <w:jc w:val="center"/>
              <w:rPr>
                <w:color w:val="000000"/>
                <w:sz w:val="20"/>
              </w:rPr>
            </w:pPr>
            <w:r w:rsidRPr="00D76A99">
              <w:rPr>
                <w:color w:val="000000"/>
                <w:sz w:val="20"/>
              </w:rPr>
              <w:t>other income</w:t>
            </w:r>
          </w:p>
          <w:p w14:paraId="730D1122" w14:textId="77777777" w:rsidR="004C48AD" w:rsidRDefault="004C48AD" w:rsidP="006C05B1">
            <w:pPr>
              <w:shd w:val="clear" w:color="auto" w:fill="FFFFFF"/>
              <w:spacing w:line="264" w:lineRule="auto"/>
              <w:jc w:val="center"/>
              <w:rPr>
                <w:b/>
                <w:bCs/>
                <w:color w:val="000000"/>
                <w:sz w:val="20"/>
              </w:rPr>
            </w:pPr>
          </w:p>
        </w:tc>
        <w:tc>
          <w:tcPr>
            <w:tcW w:w="2497" w:type="pct"/>
            <w:tcBorders>
              <w:bottom w:val="nil"/>
            </w:tcBorders>
          </w:tcPr>
          <w:p w14:paraId="575747E0" w14:textId="77777777" w:rsidR="004C48AD" w:rsidRDefault="004C48AD" w:rsidP="006C05B1">
            <w:pPr>
              <w:shd w:val="clear" w:color="auto" w:fill="FFFFFF"/>
              <w:spacing w:line="264" w:lineRule="auto"/>
              <w:jc w:val="center"/>
              <w:rPr>
                <w:color w:val="000000"/>
                <w:sz w:val="20"/>
              </w:rPr>
            </w:pPr>
            <w:r>
              <w:rPr>
                <w:b/>
                <w:bCs/>
                <w:color w:val="000000"/>
                <w:sz w:val="20"/>
              </w:rPr>
              <w:t>A</w:t>
            </w:r>
            <w:r w:rsidRPr="00D76A99">
              <w:rPr>
                <w:b/>
                <w:bCs/>
                <w:color w:val="000000"/>
                <w:sz w:val="20"/>
              </w:rPr>
              <w:t>ssessable income</w:t>
            </w:r>
            <w:r>
              <w:rPr>
                <w:b/>
                <w:bCs/>
                <w:color w:val="000000"/>
                <w:sz w:val="20"/>
              </w:rPr>
              <w:t xml:space="preserve"> </w:t>
            </w:r>
            <w:r>
              <w:rPr>
                <w:color w:val="000000"/>
                <w:sz w:val="20"/>
              </w:rPr>
              <w:t xml:space="preserve">is: </w:t>
            </w:r>
          </w:p>
          <w:p w14:paraId="4A6D4666" w14:textId="77777777" w:rsidR="004C48AD" w:rsidRDefault="004C48AD" w:rsidP="006C05B1">
            <w:pPr>
              <w:shd w:val="clear" w:color="auto" w:fill="FFFFFF"/>
              <w:spacing w:line="264" w:lineRule="auto"/>
              <w:jc w:val="center"/>
              <w:rPr>
                <w:color w:val="000000"/>
                <w:sz w:val="20"/>
              </w:rPr>
            </w:pPr>
            <w:r w:rsidRPr="00D76A99">
              <w:rPr>
                <w:color w:val="000000"/>
                <w:sz w:val="20"/>
              </w:rPr>
              <w:t>main benefit</w:t>
            </w:r>
          </w:p>
          <w:p w14:paraId="5D3291B7" w14:textId="77777777" w:rsidR="004C48AD" w:rsidRPr="00D76A99" w:rsidRDefault="004C48AD" w:rsidP="006C05B1">
            <w:pPr>
              <w:shd w:val="clear" w:color="auto" w:fill="FFFFFF"/>
              <w:spacing w:line="264" w:lineRule="auto"/>
              <w:jc w:val="center"/>
              <w:rPr>
                <w:color w:val="000000"/>
                <w:sz w:val="32"/>
                <w:szCs w:val="32"/>
              </w:rPr>
            </w:pPr>
            <w:r w:rsidRPr="00D76A99">
              <w:rPr>
                <w:b/>
                <w:bCs/>
                <w:color w:val="000000"/>
                <w:sz w:val="32"/>
                <w:szCs w:val="32"/>
              </w:rPr>
              <w:t>+</w:t>
            </w:r>
          </w:p>
          <w:p w14:paraId="780D1170" w14:textId="77777777" w:rsidR="004C48AD" w:rsidRPr="00D76A99" w:rsidRDefault="004C48AD" w:rsidP="006C05B1">
            <w:pPr>
              <w:shd w:val="clear" w:color="auto" w:fill="FFFFFF"/>
              <w:spacing w:line="264" w:lineRule="auto"/>
              <w:jc w:val="center"/>
              <w:rPr>
                <w:color w:val="000000"/>
                <w:sz w:val="20"/>
              </w:rPr>
            </w:pPr>
            <w:r w:rsidRPr="00D76A99">
              <w:rPr>
                <w:color w:val="000000"/>
                <w:sz w:val="20"/>
              </w:rPr>
              <w:t>other income</w:t>
            </w:r>
          </w:p>
          <w:p w14:paraId="2862EE79" w14:textId="77777777" w:rsidR="004C48AD" w:rsidRPr="003E7A07" w:rsidRDefault="004C48AD" w:rsidP="006C05B1">
            <w:pPr>
              <w:shd w:val="clear" w:color="auto" w:fill="FFFFFF"/>
              <w:spacing w:line="264" w:lineRule="auto"/>
              <w:jc w:val="center"/>
              <w:rPr>
                <w:b/>
                <w:color w:val="0070C0"/>
                <w:sz w:val="32"/>
                <w:szCs w:val="32"/>
              </w:rPr>
            </w:pPr>
            <w:r w:rsidRPr="003E7A07">
              <w:rPr>
                <w:b/>
                <w:color w:val="0070C0"/>
                <w:sz w:val="32"/>
                <w:szCs w:val="32"/>
              </w:rPr>
              <w:t>+</w:t>
            </w:r>
          </w:p>
          <w:p w14:paraId="76636A4D" w14:textId="18D94CBA" w:rsidR="004C48AD" w:rsidRPr="003E7A07" w:rsidRDefault="004C48AD" w:rsidP="006C05B1">
            <w:pPr>
              <w:shd w:val="clear" w:color="auto" w:fill="FFFFFF"/>
              <w:spacing w:line="264" w:lineRule="auto"/>
              <w:jc w:val="center"/>
              <w:rPr>
                <w:color w:val="000000"/>
                <w:sz w:val="20"/>
              </w:rPr>
            </w:pPr>
            <w:r w:rsidRPr="003E7A07">
              <w:rPr>
                <w:b/>
                <w:color w:val="0070C0"/>
                <w:sz w:val="20"/>
              </w:rPr>
              <w:t>(</w:t>
            </w:r>
            <w:r w:rsidR="00B60A42" w:rsidRPr="00B60A42">
              <w:rPr>
                <w:b/>
                <w:color w:val="0070C0"/>
                <w:sz w:val="20"/>
              </w:rPr>
              <w:t>62% of the payment received from each boarder</w:t>
            </w:r>
            <w:r w:rsidRPr="003E7A07">
              <w:rPr>
                <w:b/>
                <w:color w:val="0070C0"/>
                <w:sz w:val="20"/>
              </w:rPr>
              <w:t>)</w:t>
            </w:r>
          </w:p>
        </w:tc>
      </w:tr>
      <w:tr w:rsidR="00537F3F" w:rsidRPr="003E7A07" w14:paraId="3E54CDA2" w14:textId="77777777" w:rsidTr="00776538">
        <w:trPr>
          <w:trHeight w:val="5245"/>
        </w:trPr>
        <w:tc>
          <w:tcPr>
            <w:tcW w:w="2503" w:type="pct"/>
            <w:tcBorders>
              <w:top w:val="nil"/>
            </w:tcBorders>
            <w:shd w:val="clear" w:color="auto" w:fill="D9E2F3" w:themeFill="accent5" w:themeFillTint="33"/>
          </w:tcPr>
          <w:p w14:paraId="049F2522" w14:textId="63614932" w:rsidR="004C48AD" w:rsidRPr="003E7A07" w:rsidRDefault="004C48AD" w:rsidP="006C05B1">
            <w:pPr>
              <w:shd w:val="clear" w:color="auto" w:fill="FFFFFF"/>
              <w:spacing w:before="240" w:after="240" w:line="264" w:lineRule="auto"/>
              <w:jc w:val="center"/>
              <w:rPr>
                <w:color w:val="000000"/>
                <w:sz w:val="20"/>
              </w:rPr>
            </w:pPr>
            <w:r w:rsidRPr="003E7A07">
              <w:rPr>
                <w:color w:val="000000"/>
                <w:sz w:val="20"/>
              </w:rPr>
              <w:t xml:space="preserve">The rate of </w:t>
            </w:r>
            <w:r w:rsidR="00BB0C54">
              <w:rPr>
                <w:color w:val="000000"/>
                <w:sz w:val="20"/>
              </w:rPr>
              <w:t>IRR</w:t>
            </w:r>
            <w:r w:rsidRPr="003E7A07">
              <w:rPr>
                <w:color w:val="000000"/>
                <w:sz w:val="20"/>
              </w:rPr>
              <w:t xml:space="preserve"> calculated using the household income is the total of:</w:t>
            </w:r>
          </w:p>
          <w:p w14:paraId="6860400C" w14:textId="77777777" w:rsidR="004C48AD" w:rsidRPr="003E7A07" w:rsidRDefault="004C48AD" w:rsidP="006C05B1">
            <w:pPr>
              <w:shd w:val="clear" w:color="auto" w:fill="FFFFFF"/>
              <w:spacing w:before="192" w:after="192" w:line="264" w:lineRule="auto"/>
              <w:jc w:val="center"/>
              <w:rPr>
                <w:color w:val="000000"/>
                <w:sz w:val="20"/>
              </w:rPr>
            </w:pPr>
            <w:r w:rsidRPr="003E7A07">
              <w:rPr>
                <w:color w:val="000000"/>
                <w:sz w:val="20"/>
              </w:rPr>
              <w:t xml:space="preserve">25% of </w:t>
            </w:r>
            <w:r w:rsidRPr="003E7A07">
              <w:rPr>
                <w:b/>
                <w:color w:val="000000"/>
                <w:sz w:val="20"/>
              </w:rPr>
              <w:t>assessable income</w:t>
            </w:r>
            <w:r w:rsidRPr="003E7A07">
              <w:rPr>
                <w:color w:val="000000"/>
                <w:sz w:val="20"/>
              </w:rPr>
              <w:t>, at or below the income threshold</w:t>
            </w:r>
          </w:p>
          <w:p w14:paraId="4F85FD20" w14:textId="77777777" w:rsidR="004C48AD" w:rsidRPr="003E7A07" w:rsidRDefault="004C48AD" w:rsidP="006C05B1">
            <w:pPr>
              <w:shd w:val="clear" w:color="auto" w:fill="FFFFFF"/>
              <w:spacing w:before="192" w:after="192" w:line="264" w:lineRule="auto"/>
              <w:jc w:val="center"/>
              <w:rPr>
                <w:color w:val="000000"/>
                <w:sz w:val="20"/>
              </w:rPr>
            </w:pPr>
            <w:r w:rsidRPr="00D76A99">
              <w:rPr>
                <w:b/>
                <w:bCs/>
                <w:color w:val="000000"/>
                <w:sz w:val="32"/>
                <w:szCs w:val="32"/>
              </w:rPr>
              <w:t>+</w:t>
            </w:r>
          </w:p>
          <w:p w14:paraId="624C9CA0" w14:textId="77777777" w:rsidR="004C48AD" w:rsidRPr="003E7A07" w:rsidRDefault="004C48AD" w:rsidP="006C05B1">
            <w:pPr>
              <w:shd w:val="clear" w:color="auto" w:fill="FFFFFF"/>
              <w:spacing w:before="192" w:after="192" w:line="264" w:lineRule="auto"/>
              <w:jc w:val="center"/>
              <w:rPr>
                <w:color w:val="000000"/>
                <w:sz w:val="20"/>
              </w:rPr>
            </w:pPr>
            <w:r w:rsidRPr="003E7A07">
              <w:rPr>
                <w:color w:val="000000"/>
                <w:sz w:val="20"/>
              </w:rPr>
              <w:t xml:space="preserve">50% of </w:t>
            </w:r>
            <w:r w:rsidRPr="003E7A07">
              <w:rPr>
                <w:b/>
                <w:color w:val="000000"/>
                <w:sz w:val="20"/>
              </w:rPr>
              <w:t>assessable income</w:t>
            </w:r>
            <w:r w:rsidRPr="003E7A07">
              <w:rPr>
                <w:color w:val="000000"/>
                <w:sz w:val="20"/>
              </w:rPr>
              <w:t xml:space="preserve"> above the income threshold</w:t>
            </w:r>
          </w:p>
          <w:p w14:paraId="30218476" w14:textId="77777777" w:rsidR="004C48AD" w:rsidRPr="003E7A07" w:rsidRDefault="004C48AD" w:rsidP="006C05B1">
            <w:pPr>
              <w:shd w:val="clear" w:color="auto" w:fill="FFFFFF"/>
              <w:spacing w:before="192" w:after="192" w:line="264" w:lineRule="auto"/>
              <w:jc w:val="center"/>
              <w:rPr>
                <w:color w:val="000000"/>
                <w:sz w:val="32"/>
                <w:szCs w:val="32"/>
              </w:rPr>
            </w:pPr>
            <w:r w:rsidRPr="00D76A99">
              <w:rPr>
                <w:b/>
                <w:bCs/>
                <w:color w:val="000000"/>
                <w:sz w:val="32"/>
                <w:szCs w:val="32"/>
              </w:rPr>
              <w:t>+</w:t>
            </w:r>
          </w:p>
          <w:p w14:paraId="10E370A5" w14:textId="77777777" w:rsidR="004C48AD" w:rsidRPr="003E7A07" w:rsidRDefault="004C48AD" w:rsidP="006C05B1">
            <w:pPr>
              <w:shd w:val="clear" w:color="auto" w:fill="FFFFFF"/>
              <w:spacing w:before="192" w:after="192" w:line="264" w:lineRule="auto"/>
              <w:jc w:val="center"/>
              <w:rPr>
                <w:color w:val="000000"/>
                <w:sz w:val="20"/>
              </w:rPr>
            </w:pPr>
            <w:r w:rsidRPr="003E7A07">
              <w:rPr>
                <w:color w:val="000000"/>
                <w:sz w:val="20"/>
              </w:rPr>
              <w:t>a portion of the tenant's and their partner's family tax credit entitlement</w:t>
            </w:r>
          </w:p>
          <w:p w14:paraId="00653240" w14:textId="77777777" w:rsidR="004C48AD" w:rsidRPr="003E7A07" w:rsidRDefault="004C48AD" w:rsidP="006C05B1">
            <w:pPr>
              <w:shd w:val="clear" w:color="auto" w:fill="FFFFFF"/>
              <w:spacing w:before="192" w:after="192" w:line="264" w:lineRule="auto"/>
              <w:jc w:val="center"/>
              <w:rPr>
                <w:color w:val="000000"/>
                <w:sz w:val="32"/>
                <w:szCs w:val="32"/>
              </w:rPr>
            </w:pPr>
            <w:r w:rsidRPr="003E7A07">
              <w:rPr>
                <w:b/>
                <w:color w:val="0070C0"/>
                <w:sz w:val="32"/>
                <w:szCs w:val="32"/>
              </w:rPr>
              <w:t>+</w:t>
            </w:r>
          </w:p>
          <w:p w14:paraId="45457F97" w14:textId="00F128BC" w:rsidR="004C48AD" w:rsidRPr="003E7A07" w:rsidRDefault="004C48AD" w:rsidP="006C05B1">
            <w:pPr>
              <w:shd w:val="clear" w:color="auto" w:fill="FFFFFF"/>
              <w:spacing w:before="240" w:after="240" w:line="264" w:lineRule="auto"/>
              <w:jc w:val="center"/>
              <w:rPr>
                <w:color w:val="000000"/>
                <w:sz w:val="20"/>
              </w:rPr>
            </w:pPr>
            <w:r>
              <w:rPr>
                <w:b/>
                <w:color w:val="0070C0"/>
                <w:sz w:val="20"/>
              </w:rPr>
              <w:t>(</w:t>
            </w:r>
            <w:r w:rsidR="003D4E8C" w:rsidRPr="003D4E8C">
              <w:rPr>
                <w:b/>
                <w:color w:val="0070C0"/>
                <w:sz w:val="20"/>
              </w:rPr>
              <w:t>62% of the payment received from each boarder</w:t>
            </w:r>
            <w:r>
              <w:rPr>
                <w:b/>
                <w:color w:val="0070C0"/>
                <w:sz w:val="20"/>
              </w:rPr>
              <w:t>)</w:t>
            </w:r>
          </w:p>
        </w:tc>
        <w:tc>
          <w:tcPr>
            <w:tcW w:w="2497" w:type="pct"/>
            <w:tcBorders>
              <w:top w:val="nil"/>
            </w:tcBorders>
          </w:tcPr>
          <w:p w14:paraId="163CA27F" w14:textId="3EB4595E" w:rsidR="004C48AD" w:rsidRPr="003E7A07" w:rsidRDefault="004C48AD" w:rsidP="006C05B1">
            <w:pPr>
              <w:shd w:val="clear" w:color="auto" w:fill="FFFFFF"/>
              <w:spacing w:before="240" w:after="240" w:line="264" w:lineRule="auto"/>
              <w:jc w:val="center"/>
              <w:rPr>
                <w:color w:val="000000"/>
                <w:sz w:val="20"/>
              </w:rPr>
            </w:pPr>
            <w:r w:rsidRPr="003E7A07">
              <w:rPr>
                <w:color w:val="000000"/>
                <w:sz w:val="20"/>
              </w:rPr>
              <w:t xml:space="preserve">The rate of </w:t>
            </w:r>
            <w:r w:rsidR="00BB0C54">
              <w:rPr>
                <w:color w:val="000000"/>
                <w:sz w:val="20"/>
              </w:rPr>
              <w:t>IRR</w:t>
            </w:r>
            <w:r w:rsidRPr="003E7A07">
              <w:rPr>
                <w:color w:val="000000"/>
                <w:sz w:val="20"/>
              </w:rPr>
              <w:t xml:space="preserve"> calculated using the household income is the total of:</w:t>
            </w:r>
          </w:p>
          <w:p w14:paraId="2F328D72" w14:textId="77777777" w:rsidR="004C48AD" w:rsidRPr="003E7A07" w:rsidRDefault="004C48AD" w:rsidP="006C05B1">
            <w:pPr>
              <w:shd w:val="clear" w:color="auto" w:fill="FFFFFF"/>
              <w:spacing w:before="192" w:after="192" w:line="264" w:lineRule="auto"/>
              <w:jc w:val="center"/>
              <w:rPr>
                <w:color w:val="000000"/>
                <w:sz w:val="20"/>
              </w:rPr>
            </w:pPr>
            <w:r w:rsidRPr="003E7A07">
              <w:rPr>
                <w:color w:val="000000"/>
                <w:sz w:val="20"/>
              </w:rPr>
              <w:t xml:space="preserve">25% of </w:t>
            </w:r>
            <w:r w:rsidRPr="003E7A07">
              <w:rPr>
                <w:b/>
                <w:color w:val="000000"/>
                <w:sz w:val="20"/>
              </w:rPr>
              <w:t>assessable income</w:t>
            </w:r>
            <w:r w:rsidRPr="003E7A07">
              <w:rPr>
                <w:color w:val="000000"/>
                <w:sz w:val="20"/>
              </w:rPr>
              <w:t>, at or below the income threshold</w:t>
            </w:r>
          </w:p>
          <w:p w14:paraId="416927CE" w14:textId="77777777" w:rsidR="004C48AD" w:rsidRPr="003E7A07" w:rsidRDefault="004C48AD" w:rsidP="006C05B1">
            <w:pPr>
              <w:shd w:val="clear" w:color="auto" w:fill="FFFFFF"/>
              <w:spacing w:before="192" w:after="192" w:line="264" w:lineRule="auto"/>
              <w:jc w:val="center"/>
              <w:rPr>
                <w:color w:val="000000"/>
                <w:sz w:val="32"/>
                <w:szCs w:val="32"/>
              </w:rPr>
            </w:pPr>
            <w:r w:rsidRPr="003E7A07">
              <w:rPr>
                <w:b/>
                <w:bCs/>
                <w:color w:val="000000"/>
                <w:sz w:val="32"/>
                <w:szCs w:val="32"/>
              </w:rPr>
              <w:t>+</w:t>
            </w:r>
          </w:p>
          <w:p w14:paraId="7A28D80F" w14:textId="77777777" w:rsidR="004C48AD" w:rsidRPr="003E7A07" w:rsidRDefault="004C48AD" w:rsidP="006C05B1">
            <w:pPr>
              <w:shd w:val="clear" w:color="auto" w:fill="FFFFFF"/>
              <w:spacing w:before="192" w:after="192" w:line="264" w:lineRule="auto"/>
              <w:jc w:val="center"/>
              <w:rPr>
                <w:color w:val="000000"/>
                <w:sz w:val="20"/>
              </w:rPr>
            </w:pPr>
            <w:r w:rsidRPr="003E7A07">
              <w:rPr>
                <w:color w:val="000000"/>
                <w:sz w:val="20"/>
              </w:rPr>
              <w:t xml:space="preserve">50% of </w:t>
            </w:r>
            <w:r w:rsidRPr="003E7A07">
              <w:rPr>
                <w:b/>
                <w:color w:val="000000"/>
                <w:sz w:val="20"/>
              </w:rPr>
              <w:t>assessable income</w:t>
            </w:r>
            <w:r w:rsidRPr="003E7A07">
              <w:rPr>
                <w:color w:val="000000"/>
                <w:sz w:val="20"/>
              </w:rPr>
              <w:t xml:space="preserve"> above the income threshold</w:t>
            </w:r>
          </w:p>
          <w:p w14:paraId="0BF5A992" w14:textId="77777777" w:rsidR="004C48AD" w:rsidRPr="003E7A07" w:rsidRDefault="004C48AD" w:rsidP="006C05B1">
            <w:pPr>
              <w:shd w:val="clear" w:color="auto" w:fill="FFFFFF"/>
              <w:spacing w:before="192" w:after="192" w:line="264" w:lineRule="auto"/>
              <w:jc w:val="center"/>
              <w:rPr>
                <w:color w:val="000000"/>
                <w:sz w:val="32"/>
                <w:szCs w:val="32"/>
              </w:rPr>
            </w:pPr>
            <w:r w:rsidRPr="00D76A99">
              <w:rPr>
                <w:b/>
                <w:bCs/>
                <w:color w:val="000000"/>
                <w:sz w:val="32"/>
                <w:szCs w:val="32"/>
              </w:rPr>
              <w:t>+</w:t>
            </w:r>
          </w:p>
          <w:p w14:paraId="6A76EBBA" w14:textId="77777777" w:rsidR="004C48AD" w:rsidRPr="003E7A07" w:rsidRDefault="004C48AD" w:rsidP="006C05B1">
            <w:pPr>
              <w:shd w:val="clear" w:color="auto" w:fill="FFFFFF"/>
              <w:spacing w:before="192" w:after="192" w:line="264" w:lineRule="auto"/>
              <w:jc w:val="center"/>
              <w:rPr>
                <w:color w:val="000000"/>
                <w:sz w:val="20"/>
              </w:rPr>
            </w:pPr>
            <w:r w:rsidRPr="003E7A07">
              <w:rPr>
                <w:color w:val="000000"/>
                <w:sz w:val="20"/>
              </w:rPr>
              <w:t>a portion of the tenant's and their partner's family tax credit entitlement</w:t>
            </w:r>
          </w:p>
          <w:p w14:paraId="6F3E266B" w14:textId="77777777" w:rsidR="004C48AD" w:rsidRPr="003E7A07" w:rsidRDefault="004C48AD" w:rsidP="006C05B1">
            <w:pPr>
              <w:shd w:val="clear" w:color="auto" w:fill="FFFFFF"/>
              <w:spacing w:before="240" w:after="240" w:line="264" w:lineRule="auto"/>
              <w:rPr>
                <w:sz w:val="20"/>
              </w:rPr>
            </w:pPr>
          </w:p>
        </w:tc>
      </w:tr>
    </w:tbl>
    <w:p w14:paraId="565EF4E6" w14:textId="77777777" w:rsidR="008112BE" w:rsidRDefault="008112BE" w:rsidP="006C05B1">
      <w:pPr>
        <w:rPr>
          <w:lang w:val="en-NZ"/>
        </w:rPr>
      </w:pPr>
    </w:p>
    <w:p w14:paraId="6F50EAA1" w14:textId="4AE2097C" w:rsidR="007876B6" w:rsidRDefault="007876B6" w:rsidP="006C05B1">
      <w:pPr>
        <w:pStyle w:val="BodyText-Numbered"/>
        <w:keepNext w:val="0"/>
        <w:numPr>
          <w:ilvl w:val="0"/>
          <w:numId w:val="4"/>
        </w:numPr>
        <w:ind w:left="567" w:hanging="567"/>
        <w:rPr>
          <w:lang w:val="en-NZ"/>
        </w:rPr>
      </w:pPr>
      <w:r>
        <w:rPr>
          <w:lang w:val="en-NZ"/>
        </w:rPr>
        <w:t xml:space="preserve">The agreed option </w:t>
      </w:r>
      <w:r w:rsidR="00700CF8" w:rsidRPr="00700CF8">
        <w:rPr>
          <w:lang w:val="en-NZ"/>
        </w:rPr>
        <w:t xml:space="preserve">will more tightly target the IRRS and </w:t>
      </w:r>
      <w:r>
        <w:rPr>
          <w:lang w:val="en-NZ"/>
        </w:rPr>
        <w:t xml:space="preserve">reduce government spending on the IRRS. It will </w:t>
      </w:r>
      <w:r w:rsidR="00A5609D">
        <w:rPr>
          <w:lang w:val="en-NZ"/>
        </w:rPr>
        <w:t>also achieve</w:t>
      </w:r>
      <w:r>
        <w:rPr>
          <w:lang w:val="en-NZ"/>
        </w:rPr>
        <w:t xml:space="preserve"> objectives by ensuring households are treated more equitably across housing subsidies - a boarder’s housing contribution will be </w:t>
      </w:r>
      <w:r w:rsidR="00D53919" w:rsidRPr="00D53919">
        <w:rPr>
          <w:lang w:val="en-NZ"/>
        </w:rPr>
        <w:t xml:space="preserve">added to the tenant’s </w:t>
      </w:r>
      <w:r>
        <w:rPr>
          <w:lang w:val="en-NZ"/>
        </w:rPr>
        <w:t>IRR,</w:t>
      </w:r>
      <w:r w:rsidDel="00F6330E">
        <w:rPr>
          <w:lang w:val="en-NZ"/>
        </w:rPr>
        <w:t xml:space="preserve"> </w:t>
      </w:r>
      <w:r>
        <w:rPr>
          <w:lang w:val="en-NZ"/>
        </w:rPr>
        <w:t xml:space="preserve">as it is for a person’s AS accommodation costs </w:t>
      </w:r>
      <w:r w:rsidRPr="00B86038">
        <w:rPr>
          <w:lang w:val="en-NZ"/>
        </w:rPr>
        <w:t>(i.e</w:t>
      </w:r>
      <w:r>
        <w:rPr>
          <w:lang w:val="en-NZ"/>
        </w:rPr>
        <w:t>.</w:t>
      </w:r>
      <w:r w:rsidRPr="00B86038">
        <w:rPr>
          <w:lang w:val="en-NZ"/>
        </w:rPr>
        <w:t xml:space="preserve"> boarder contributions</w:t>
      </w:r>
      <w:r>
        <w:rPr>
          <w:lang w:val="en-NZ"/>
        </w:rPr>
        <w:t xml:space="preserve"> will be</w:t>
      </w:r>
      <w:r w:rsidRPr="00B86038">
        <w:rPr>
          <w:lang w:val="en-NZ"/>
        </w:rPr>
        <w:t xml:space="preserve"> treated as</w:t>
      </w:r>
      <w:r>
        <w:rPr>
          <w:lang w:val="en-NZ"/>
        </w:rPr>
        <w:t xml:space="preserve"> directly</w:t>
      </w:r>
      <w:r w:rsidRPr="00B86038">
        <w:rPr>
          <w:lang w:val="en-NZ"/>
        </w:rPr>
        <w:t xml:space="preserve"> </w:t>
      </w:r>
      <w:r>
        <w:rPr>
          <w:lang w:val="en-NZ"/>
        </w:rPr>
        <w:t xml:space="preserve">reducing </w:t>
      </w:r>
      <w:r w:rsidRPr="00B86038">
        <w:rPr>
          <w:lang w:val="en-NZ"/>
        </w:rPr>
        <w:t>accommodation costs for both)</w:t>
      </w:r>
      <w:r>
        <w:rPr>
          <w:lang w:val="en-NZ"/>
        </w:rPr>
        <w:t xml:space="preserve">. </w:t>
      </w:r>
    </w:p>
    <w:p w14:paraId="0E462398" w14:textId="77777777" w:rsidR="007876B6" w:rsidRDefault="007876B6" w:rsidP="006C05B1">
      <w:pPr>
        <w:pStyle w:val="BodyText-Numbered"/>
        <w:keepNext w:val="0"/>
        <w:numPr>
          <w:ilvl w:val="0"/>
          <w:numId w:val="4"/>
        </w:numPr>
        <w:ind w:left="567" w:hanging="567"/>
        <w:rPr>
          <w:lang w:val="en-NZ"/>
        </w:rPr>
      </w:pPr>
      <w:r>
        <w:rPr>
          <w:lang w:val="en-NZ"/>
        </w:rPr>
        <w:t xml:space="preserve">If this option were not progressed, </w:t>
      </w:r>
      <w:r w:rsidRPr="00825FB1">
        <w:rPr>
          <w:lang w:val="en-NZ"/>
        </w:rPr>
        <w:t>social housing</w:t>
      </w:r>
      <w:r>
        <w:rPr>
          <w:lang w:val="en-NZ"/>
        </w:rPr>
        <w:t xml:space="preserve"> tenants would only have 25 or 50 percent of their boarder housing contributions reflected in their IRR (depending on their other assessable income).</w:t>
      </w:r>
    </w:p>
    <w:p w14:paraId="33D0307F" w14:textId="61FB2A95" w:rsidR="007876B6" w:rsidRPr="00207500" w:rsidRDefault="007876B6" w:rsidP="006C05B1">
      <w:pPr>
        <w:pStyle w:val="Heading4"/>
      </w:pPr>
      <w:r>
        <w:rPr>
          <w:w w:val="90"/>
        </w:rPr>
        <w:t>E</w:t>
      </w:r>
      <w:r w:rsidRPr="001479C4">
        <w:rPr>
          <w:w w:val="90"/>
        </w:rPr>
        <w:t>xcess income from boarders will be</w:t>
      </w:r>
      <w:r w:rsidRPr="00803C98">
        <w:rPr>
          <w:w w:val="90"/>
        </w:rPr>
        <w:t xml:space="preserve"> included as income</w:t>
      </w:r>
      <w:r>
        <w:rPr>
          <w:w w:val="90"/>
        </w:rPr>
        <w:t xml:space="preserve"> when assessing </w:t>
      </w:r>
      <w:r w:rsidRPr="00803C98">
        <w:rPr>
          <w:w w:val="90"/>
        </w:rPr>
        <w:t>any other income-tested assistance</w:t>
      </w:r>
    </w:p>
    <w:p w14:paraId="5D3EDBB7" w14:textId="065686FC" w:rsidR="00A76057" w:rsidRPr="00965881" w:rsidRDefault="00A76057" w:rsidP="006C05B1">
      <w:pPr>
        <w:pStyle w:val="BodyText-Numbered"/>
        <w:keepNext w:val="0"/>
        <w:numPr>
          <w:ilvl w:val="0"/>
          <w:numId w:val="4"/>
        </w:numPr>
        <w:ind w:left="567" w:hanging="567"/>
        <w:rPr>
          <w:bCs/>
          <w:szCs w:val="22"/>
        </w:rPr>
      </w:pPr>
      <w:r w:rsidRPr="00965881">
        <w:rPr>
          <w:bCs/>
          <w:szCs w:val="22"/>
        </w:rPr>
        <w:t xml:space="preserve">Joint Ministers agreed </w:t>
      </w:r>
      <w:bookmarkStart w:id="41" w:name="_Hlk191468798"/>
      <w:r w:rsidRPr="00965881">
        <w:rPr>
          <w:bCs/>
          <w:szCs w:val="22"/>
        </w:rPr>
        <w:t>that when housing contributions from boarders exceed the total allowable accommodation costs (for Social Security Act assistance) or the market rent applicable (for the social housing property), th</w:t>
      </w:r>
      <w:r>
        <w:rPr>
          <w:bCs/>
          <w:szCs w:val="22"/>
        </w:rPr>
        <w:t>e</w:t>
      </w:r>
      <w:r w:rsidRPr="00965881">
        <w:rPr>
          <w:bCs/>
          <w:szCs w:val="22"/>
        </w:rPr>
        <w:t xml:space="preserve"> excess </w:t>
      </w:r>
      <w:r>
        <w:rPr>
          <w:bCs/>
          <w:szCs w:val="22"/>
        </w:rPr>
        <w:t xml:space="preserve">income </w:t>
      </w:r>
      <w:r w:rsidRPr="00965881">
        <w:rPr>
          <w:bCs/>
          <w:szCs w:val="22"/>
        </w:rPr>
        <w:t xml:space="preserve">will be included as income for any other income-tested assistance </w:t>
      </w:r>
      <w:bookmarkEnd w:id="41"/>
      <w:r w:rsidRPr="00965881">
        <w:rPr>
          <w:bCs/>
          <w:szCs w:val="22"/>
        </w:rPr>
        <w:t xml:space="preserve">under the </w:t>
      </w:r>
      <w:r w:rsidRPr="00B91CA5">
        <w:rPr>
          <w:bCs/>
          <w:szCs w:val="22"/>
        </w:rPr>
        <w:t xml:space="preserve">Social Security Act </w:t>
      </w:r>
      <w:r w:rsidRPr="00965881">
        <w:rPr>
          <w:bCs/>
          <w:szCs w:val="22"/>
        </w:rPr>
        <w:t xml:space="preserve">and/or </w:t>
      </w:r>
      <w:r w:rsidRPr="00965881">
        <w:rPr>
          <w:bCs/>
          <w:szCs w:val="22"/>
        </w:rPr>
        <w:lastRenderedPageBreak/>
        <w:t xml:space="preserve">any </w:t>
      </w:r>
      <w:r w:rsidR="007D7451">
        <w:rPr>
          <w:bCs/>
          <w:szCs w:val="22"/>
        </w:rPr>
        <w:t xml:space="preserve">other </w:t>
      </w:r>
      <w:r w:rsidRPr="00965881">
        <w:rPr>
          <w:bCs/>
          <w:szCs w:val="22"/>
        </w:rPr>
        <w:t xml:space="preserve">income-tested assistance that uses the </w:t>
      </w:r>
      <w:r w:rsidRPr="00B91CA5">
        <w:rPr>
          <w:bCs/>
          <w:szCs w:val="22"/>
        </w:rPr>
        <w:t xml:space="preserve">Social Security Act </w:t>
      </w:r>
      <w:r w:rsidRPr="00965881">
        <w:rPr>
          <w:bCs/>
          <w:szCs w:val="22"/>
        </w:rPr>
        <w:t>definition of income.</w:t>
      </w:r>
    </w:p>
    <w:p w14:paraId="4F7FD851" w14:textId="35523E30" w:rsidR="00A76057" w:rsidRPr="00965881" w:rsidRDefault="00A76057" w:rsidP="006C05B1">
      <w:pPr>
        <w:pStyle w:val="BodyText-Numbered"/>
        <w:keepNext w:val="0"/>
        <w:numPr>
          <w:ilvl w:val="0"/>
          <w:numId w:val="4"/>
        </w:numPr>
        <w:ind w:left="567" w:hanging="567"/>
        <w:rPr>
          <w:bCs/>
          <w:szCs w:val="22"/>
        </w:rPr>
      </w:pPr>
      <w:r w:rsidRPr="00965881">
        <w:rPr>
          <w:bCs/>
          <w:szCs w:val="22"/>
        </w:rPr>
        <w:t>This will apply regardless of whether</w:t>
      </w:r>
      <w:r w:rsidR="006432FD">
        <w:rPr>
          <w:bCs/>
          <w:szCs w:val="22"/>
        </w:rPr>
        <w:t xml:space="preserve"> or not</w:t>
      </w:r>
      <w:r w:rsidRPr="00965881">
        <w:rPr>
          <w:bCs/>
          <w:szCs w:val="22"/>
        </w:rPr>
        <w:t xml:space="preserve"> a client is accessing a housing subsidy. This will ensure that housing contributions from board payments are treated </w:t>
      </w:r>
      <w:r w:rsidR="00B1565B">
        <w:rPr>
          <w:bCs/>
          <w:szCs w:val="22"/>
        </w:rPr>
        <w:t xml:space="preserve">more </w:t>
      </w:r>
      <w:r w:rsidRPr="00965881">
        <w:rPr>
          <w:bCs/>
          <w:szCs w:val="22"/>
        </w:rPr>
        <w:t xml:space="preserve">consistently </w:t>
      </w:r>
      <w:r w:rsidR="00B1565B">
        <w:rPr>
          <w:bCs/>
          <w:szCs w:val="22"/>
        </w:rPr>
        <w:t xml:space="preserve">with rent payments </w:t>
      </w:r>
      <w:r w:rsidRPr="00965881">
        <w:rPr>
          <w:bCs/>
          <w:szCs w:val="22"/>
        </w:rPr>
        <w:t>across MSD assistance.</w:t>
      </w:r>
    </w:p>
    <w:p w14:paraId="769A7749" w14:textId="525FE0ED" w:rsidR="00A76057" w:rsidRPr="00965881" w:rsidRDefault="00A76057" w:rsidP="006C05B1">
      <w:pPr>
        <w:pStyle w:val="BodyText-Numbered"/>
        <w:keepNext w:val="0"/>
        <w:numPr>
          <w:ilvl w:val="0"/>
          <w:numId w:val="4"/>
        </w:numPr>
        <w:ind w:left="567" w:hanging="567"/>
        <w:rPr>
          <w:bCs/>
          <w:szCs w:val="22"/>
        </w:rPr>
      </w:pPr>
      <w:r>
        <w:rPr>
          <w:bCs/>
          <w:szCs w:val="22"/>
        </w:rPr>
        <w:t>The e</w:t>
      </w:r>
      <w:r w:rsidRPr="00965881">
        <w:rPr>
          <w:bCs/>
          <w:szCs w:val="22"/>
        </w:rPr>
        <w:t xml:space="preserve">xcess income policy was not included in </w:t>
      </w:r>
      <w:r w:rsidR="00E445EE">
        <w:rPr>
          <w:bCs/>
          <w:szCs w:val="22"/>
        </w:rPr>
        <w:t xml:space="preserve">2024 </w:t>
      </w:r>
      <w:r w:rsidRPr="00965881">
        <w:rPr>
          <w:bCs/>
          <w:szCs w:val="22"/>
        </w:rPr>
        <w:t xml:space="preserve">Budget costings, given the policy was agreed by Ministers as part of detailed design decisions made after </w:t>
      </w:r>
      <w:r w:rsidR="00C47E27">
        <w:rPr>
          <w:bCs/>
          <w:szCs w:val="22"/>
        </w:rPr>
        <w:t xml:space="preserve">the </w:t>
      </w:r>
      <w:r w:rsidRPr="00965881">
        <w:rPr>
          <w:bCs/>
          <w:szCs w:val="22"/>
        </w:rPr>
        <w:t>Budget</w:t>
      </w:r>
      <w:r>
        <w:rPr>
          <w:bCs/>
          <w:szCs w:val="22"/>
        </w:rPr>
        <w:t xml:space="preserve">. However costings have since been updated to reflect </w:t>
      </w:r>
      <w:r w:rsidR="00C47E27">
        <w:rPr>
          <w:bCs/>
          <w:szCs w:val="22"/>
        </w:rPr>
        <w:t xml:space="preserve">this </w:t>
      </w:r>
      <w:r>
        <w:rPr>
          <w:bCs/>
          <w:szCs w:val="22"/>
        </w:rPr>
        <w:t xml:space="preserve">policy decision. </w:t>
      </w:r>
    </w:p>
    <w:p w14:paraId="1EDF1FE3" w14:textId="5C950A0B" w:rsidR="00A76057" w:rsidRPr="00776538" w:rsidRDefault="00A76057" w:rsidP="006C05B1">
      <w:pPr>
        <w:pStyle w:val="BodyText-Numbered"/>
        <w:keepNext w:val="0"/>
        <w:numPr>
          <w:ilvl w:val="0"/>
          <w:numId w:val="4"/>
        </w:numPr>
        <w:ind w:left="567" w:hanging="567"/>
        <w:rPr>
          <w:lang w:val="en-NZ"/>
        </w:rPr>
      </w:pPr>
      <w:r>
        <w:t xml:space="preserve">This </w:t>
      </w:r>
      <w:r w:rsidR="00C47E27">
        <w:t xml:space="preserve">decision </w:t>
      </w:r>
      <w:r>
        <w:t xml:space="preserve">will </w:t>
      </w:r>
      <w:r w:rsidRPr="32CD03B4">
        <w:rPr>
          <w:lang w:val="en-NZ"/>
        </w:rPr>
        <w:t xml:space="preserve">bring the treatment of households with boarders and renters closer together when calculating Social Security Act assistance, so these households are treated more equitably. </w:t>
      </w:r>
      <w:r w:rsidRPr="00E31924">
        <w:rPr>
          <w:lang w:val="en-NZ"/>
        </w:rPr>
        <w:t xml:space="preserve">Currently, when calculating Social Security Act assistance, contributions from renters in the household are reflected in a reduction in accommodation costs and income from renters above the accommodation costs </w:t>
      </w:r>
      <w:r w:rsidR="00EC38A3">
        <w:rPr>
          <w:lang w:val="en-NZ"/>
        </w:rPr>
        <w:t>is</w:t>
      </w:r>
      <w:r w:rsidR="00EC38A3" w:rsidRPr="00E31924">
        <w:rPr>
          <w:lang w:val="en-NZ"/>
        </w:rPr>
        <w:t xml:space="preserve"> </w:t>
      </w:r>
      <w:r w:rsidRPr="00E31924">
        <w:rPr>
          <w:lang w:val="en-NZ"/>
        </w:rPr>
        <w:t xml:space="preserve">recognised as income (alongside income from other sources). By contrast, contributions from the first two boarders are currently ignored and </w:t>
      </w:r>
      <w:r w:rsidR="002F1E46">
        <w:rPr>
          <w:lang w:val="en-NZ"/>
        </w:rPr>
        <w:t>the housing contributions</w:t>
      </w:r>
      <w:r w:rsidRPr="00E31924">
        <w:rPr>
          <w:lang w:val="en-NZ"/>
        </w:rPr>
        <w:t xml:space="preserve"> of the third and subsequent boarder</w:t>
      </w:r>
      <w:r w:rsidR="002F1E46">
        <w:rPr>
          <w:lang w:val="en-NZ"/>
        </w:rPr>
        <w:t xml:space="preserve">s </w:t>
      </w:r>
      <w:r w:rsidR="00142A27">
        <w:rPr>
          <w:lang w:val="en-NZ"/>
        </w:rPr>
        <w:t>are</w:t>
      </w:r>
      <w:r w:rsidRPr="00E31924">
        <w:rPr>
          <w:lang w:val="en-NZ"/>
        </w:rPr>
        <w:t xml:space="preserve"> counted when calculating </w:t>
      </w:r>
      <w:r w:rsidR="00C47E27">
        <w:rPr>
          <w:lang w:val="en-NZ"/>
        </w:rPr>
        <w:t xml:space="preserve">assistance under the </w:t>
      </w:r>
      <w:r w:rsidRPr="00E31924">
        <w:rPr>
          <w:lang w:val="en-NZ"/>
        </w:rPr>
        <w:t>Social Security Act. </w:t>
      </w:r>
    </w:p>
    <w:p w14:paraId="70D6FE62" w14:textId="77777777" w:rsidR="00A76057" w:rsidRPr="00462ED6" w:rsidRDefault="00A76057" w:rsidP="006C05B1">
      <w:pPr>
        <w:pStyle w:val="Heading4"/>
        <w:rPr>
          <w:w w:val="90"/>
        </w:rPr>
      </w:pPr>
      <w:r>
        <w:rPr>
          <w:w w:val="90"/>
        </w:rPr>
        <w:t>Recognising housing contributions from boarders will have an impact on</w:t>
      </w:r>
      <w:r w:rsidRPr="00462ED6">
        <w:rPr>
          <w:w w:val="90"/>
        </w:rPr>
        <w:t xml:space="preserve"> </w:t>
      </w:r>
      <w:r>
        <w:rPr>
          <w:w w:val="90"/>
        </w:rPr>
        <w:t>entitlement to</w:t>
      </w:r>
      <w:r w:rsidRPr="00462ED6">
        <w:rPr>
          <w:w w:val="90"/>
        </w:rPr>
        <w:t xml:space="preserve"> </w:t>
      </w:r>
      <w:r>
        <w:rPr>
          <w:w w:val="90"/>
        </w:rPr>
        <w:t xml:space="preserve">other </w:t>
      </w:r>
      <w:r w:rsidRPr="00462ED6">
        <w:rPr>
          <w:w w:val="90"/>
        </w:rPr>
        <w:t>assistanc</w:t>
      </w:r>
      <w:r>
        <w:rPr>
          <w:w w:val="90"/>
        </w:rPr>
        <w:t>e</w:t>
      </w:r>
    </w:p>
    <w:p w14:paraId="02E9FB47" w14:textId="77777777" w:rsidR="00A76057" w:rsidRPr="00776538" w:rsidRDefault="00A76057" w:rsidP="006C05B1">
      <w:pPr>
        <w:pStyle w:val="BodyText-Numbered"/>
        <w:keepNext w:val="0"/>
        <w:rPr>
          <w:i/>
        </w:rPr>
      </w:pPr>
      <w:r w:rsidRPr="00776538">
        <w:rPr>
          <w:i/>
        </w:rPr>
        <w:t>Direct impacts of the policy</w:t>
      </w:r>
    </w:p>
    <w:p w14:paraId="65598811" w14:textId="77777777" w:rsidR="00A76057" w:rsidRPr="00E01A79" w:rsidRDefault="00A76057" w:rsidP="006C05B1">
      <w:pPr>
        <w:numPr>
          <w:ilvl w:val="0"/>
          <w:numId w:val="4"/>
        </w:numPr>
        <w:spacing w:before="60" w:line="240" w:lineRule="auto"/>
        <w:ind w:left="567" w:hanging="567"/>
      </w:pPr>
      <w:r w:rsidRPr="00E01A79">
        <w:t xml:space="preserve">Decisions that Joint Ministers have taken on the design of this policy will have flow-on implications for </w:t>
      </w:r>
      <w:r>
        <w:t xml:space="preserve">a person’s eligibility for </w:t>
      </w:r>
      <w:r w:rsidRPr="00E01A79">
        <w:t>other subsidies. The subsidies affected are:</w:t>
      </w:r>
    </w:p>
    <w:p w14:paraId="36C5D3A3" w14:textId="77777777" w:rsidR="00A76057" w:rsidRPr="00E01A79" w:rsidRDefault="00A76057" w:rsidP="006C05B1">
      <w:pPr>
        <w:numPr>
          <w:ilvl w:val="1"/>
          <w:numId w:val="12"/>
        </w:numPr>
        <w:spacing w:after="120" w:line="240" w:lineRule="auto"/>
        <w:ind w:left="992" w:hanging="425"/>
      </w:pPr>
      <w:r w:rsidRPr="00E01A79">
        <w:t xml:space="preserve">Temporary Additional Support </w:t>
      </w:r>
    </w:p>
    <w:p w14:paraId="5E54EE6D" w14:textId="2B0C191C" w:rsidR="00A76057" w:rsidRPr="00E01A79" w:rsidRDefault="00190F9E" w:rsidP="006C05B1">
      <w:pPr>
        <w:numPr>
          <w:ilvl w:val="1"/>
          <w:numId w:val="12"/>
        </w:numPr>
        <w:spacing w:after="120" w:line="240" w:lineRule="auto"/>
        <w:ind w:left="992" w:hanging="425"/>
      </w:pPr>
      <w:r>
        <w:t xml:space="preserve">Grandparented </w:t>
      </w:r>
      <w:r w:rsidR="00A76057" w:rsidRPr="00E01A79">
        <w:t xml:space="preserve">Special Benefit  </w:t>
      </w:r>
    </w:p>
    <w:p w14:paraId="7B4BC01C" w14:textId="38C89E77" w:rsidR="00A76057" w:rsidRPr="00E01A79" w:rsidRDefault="00A76057" w:rsidP="006C05B1">
      <w:pPr>
        <w:numPr>
          <w:ilvl w:val="1"/>
          <w:numId w:val="12"/>
        </w:numPr>
        <w:spacing w:after="120" w:line="240" w:lineRule="auto"/>
        <w:ind w:left="992" w:hanging="425"/>
      </w:pPr>
      <w:r w:rsidRPr="00E01A79">
        <w:t>Away from Home Allowance</w:t>
      </w:r>
    </w:p>
    <w:p w14:paraId="2415DD52" w14:textId="14D26250" w:rsidR="00A76057" w:rsidRPr="00E01A79" w:rsidRDefault="00A76057" w:rsidP="006C05B1">
      <w:pPr>
        <w:numPr>
          <w:ilvl w:val="1"/>
          <w:numId w:val="12"/>
        </w:numPr>
        <w:spacing w:after="120" w:line="240" w:lineRule="auto"/>
        <w:ind w:left="992" w:hanging="425"/>
      </w:pPr>
      <w:r w:rsidRPr="00E01A79">
        <w:t>Student Allowance Accommodation Benefit at a sole parent rate.</w:t>
      </w:r>
    </w:p>
    <w:p w14:paraId="75D86309" w14:textId="089D9BC0" w:rsidR="00A76057" w:rsidRPr="00054B83" w:rsidRDefault="00A76057" w:rsidP="006C05B1">
      <w:pPr>
        <w:numPr>
          <w:ilvl w:val="0"/>
          <w:numId w:val="4"/>
        </w:numPr>
        <w:spacing w:before="60" w:line="240" w:lineRule="auto"/>
        <w:ind w:left="567" w:hanging="567"/>
      </w:pPr>
      <w:r w:rsidRPr="00054B83">
        <w:t xml:space="preserve">In addition, the decision to include excess income from boarders as income for the purposes of </w:t>
      </w:r>
      <w:r w:rsidR="0026476C">
        <w:t xml:space="preserve">assessing </w:t>
      </w:r>
      <w:r w:rsidRPr="00054B83">
        <w:t>income-tested assistance under the Social Security Act (and assistance that uses the Social Security Act definition of income) will impact</w:t>
      </w:r>
      <w:r w:rsidR="0026476C">
        <w:t xml:space="preserve"> on the</w:t>
      </w:r>
      <w:r w:rsidRPr="00054B83">
        <w:t xml:space="preserve"> rate of </w:t>
      </w:r>
      <w:r w:rsidR="0026476C">
        <w:t xml:space="preserve">other </w:t>
      </w:r>
      <w:r w:rsidRPr="00054B83">
        <w:t xml:space="preserve">assistance </w:t>
      </w:r>
      <w:r w:rsidR="001767A4">
        <w:t>that some people receive</w:t>
      </w:r>
      <w:r w:rsidRPr="00054B83">
        <w:t xml:space="preserve">. However, this change will only impact the small number of households that have excess income from boarders (estimated to be </w:t>
      </w:r>
      <w:r w:rsidR="00774FC2">
        <w:t>5</w:t>
      </w:r>
      <w:r w:rsidRPr="00054B83">
        <w:t>00 AS recipients</w:t>
      </w:r>
      <w:r w:rsidR="002C59EF">
        <w:t xml:space="preserve">, and </w:t>
      </w:r>
      <w:r w:rsidR="002C59EF" w:rsidRPr="002C59EF">
        <w:t>an additional number of social housing tenants</w:t>
      </w:r>
      <w:r w:rsidRPr="00054B83">
        <w:t>).</w:t>
      </w:r>
    </w:p>
    <w:p w14:paraId="095C3EB8" w14:textId="77777777" w:rsidR="00A76057" w:rsidRPr="00776538" w:rsidRDefault="00A76057" w:rsidP="006C05B1">
      <w:pPr>
        <w:spacing w:before="60" w:line="240" w:lineRule="auto"/>
      </w:pPr>
      <w:r w:rsidRPr="00776538">
        <w:rPr>
          <w:i/>
        </w:rPr>
        <w:t>Temporary Additional Support</w:t>
      </w:r>
      <w:r w:rsidRPr="00776538">
        <w:t xml:space="preserve"> </w:t>
      </w:r>
      <w:r w:rsidRPr="00776538">
        <w:rPr>
          <w:i/>
        </w:rPr>
        <w:t>and Special Benefit</w:t>
      </w:r>
    </w:p>
    <w:p w14:paraId="32DEC26E" w14:textId="67AB3754" w:rsidR="00A76057" w:rsidRPr="00E01A79" w:rsidRDefault="00A76057" w:rsidP="006C05B1">
      <w:pPr>
        <w:numPr>
          <w:ilvl w:val="0"/>
          <w:numId w:val="4"/>
        </w:numPr>
        <w:spacing w:before="60" w:line="240" w:lineRule="auto"/>
        <w:ind w:left="567" w:hanging="567"/>
      </w:pPr>
      <w:r w:rsidRPr="00E01A79">
        <w:t xml:space="preserve">Temporary Additional Support and Special Benefit help clients with their regular essential living costs that cannot be met from their income and other resources. The settings for both Temporary Additional Support and Special Benefit use the AS definition of accommodation costs. This means that housing contributions from boarders will reduce allowable accommodation costs for Temporary Additional Support and Special Benefit in the same way as the AS. </w:t>
      </w:r>
    </w:p>
    <w:p w14:paraId="26D5C889" w14:textId="77777777" w:rsidR="00A76057" w:rsidRPr="00E01A79" w:rsidRDefault="00A76057" w:rsidP="006C05B1">
      <w:pPr>
        <w:numPr>
          <w:ilvl w:val="0"/>
          <w:numId w:val="4"/>
        </w:numPr>
        <w:spacing w:before="60" w:line="240" w:lineRule="auto"/>
        <w:ind w:left="567" w:hanging="567"/>
      </w:pPr>
      <w:r w:rsidRPr="00E01A79">
        <w:t>Temporary Additional Support is a means-tested weekly hardship payment that helps people when they do not have enough money to cover their essential living costs (not just housing).  For a person who receives board payments, they will have a reduction in allowable accommodation costs, which could reduce the rate of Temporary Additional Support they receive.</w:t>
      </w:r>
    </w:p>
    <w:p w14:paraId="727AE9B0" w14:textId="77777777" w:rsidR="00A76057" w:rsidRPr="00E01A79" w:rsidRDefault="00A76057" w:rsidP="006C05B1">
      <w:pPr>
        <w:numPr>
          <w:ilvl w:val="0"/>
          <w:numId w:val="4"/>
        </w:numPr>
        <w:spacing w:before="60" w:line="240" w:lineRule="auto"/>
        <w:ind w:left="567" w:hanging="567"/>
      </w:pPr>
      <w:r w:rsidRPr="00E01A79">
        <w:t xml:space="preserve">Special Benefit is a grandparented subsidy, which is a means-tested weekly discretionary benefit that supports people whose circumstances are causing them </w:t>
      </w:r>
      <w:r w:rsidRPr="00E01A79">
        <w:lastRenderedPageBreak/>
        <w:t>hardship (housing or otherwise).</w:t>
      </w:r>
      <w:r w:rsidRPr="00E01A79">
        <w:rPr>
          <w:vertAlign w:val="superscript"/>
        </w:rPr>
        <w:footnoteReference w:id="11"/>
      </w:r>
      <w:r w:rsidRPr="00E01A79">
        <w:rPr>
          <w:vertAlign w:val="superscript"/>
        </w:rPr>
        <w:t xml:space="preserve"> </w:t>
      </w:r>
      <w:r w:rsidRPr="00E01A79">
        <w:t>Unlike Temporary Additional Support, the Special Benefit is a discretionary benefit, so the actual impact on recipients will depend on their individual circumstances.</w:t>
      </w:r>
      <w:r w:rsidRPr="00E01A79">
        <w:rPr>
          <w:vertAlign w:val="superscript"/>
        </w:rPr>
        <w:footnoteReference w:id="12"/>
      </w:r>
    </w:p>
    <w:p w14:paraId="7063EE6F" w14:textId="77777777" w:rsidR="00A76057" w:rsidRPr="00776538" w:rsidRDefault="00A76057" w:rsidP="006C05B1">
      <w:pPr>
        <w:spacing w:before="60" w:line="240" w:lineRule="auto"/>
        <w:rPr>
          <w:i/>
        </w:rPr>
      </w:pPr>
      <w:r w:rsidRPr="00776538">
        <w:rPr>
          <w:i/>
        </w:rPr>
        <w:t>Away from Home Allowance</w:t>
      </w:r>
    </w:p>
    <w:p w14:paraId="44BF0EF0" w14:textId="7030D375" w:rsidR="00A76057" w:rsidRPr="00E01A79" w:rsidRDefault="00A76057" w:rsidP="006C05B1">
      <w:pPr>
        <w:numPr>
          <w:ilvl w:val="0"/>
          <w:numId w:val="4"/>
        </w:numPr>
        <w:spacing w:before="60" w:line="240" w:lineRule="auto"/>
        <w:ind w:left="567" w:hanging="567"/>
      </w:pPr>
      <w:r w:rsidRPr="00E01A79">
        <w:t>The Away from Home Allowance is assistance paid to the caregiver of a 16 or 17-year-old dependent child who is living away from home while participating in tertiary study or employment-related training. The Away from Home Allowance rate is the rate of AS the young person would get if they were a recipient of Jobseeker Support and with accommodation costs.</w:t>
      </w:r>
    </w:p>
    <w:p w14:paraId="70ACD557" w14:textId="70269E73" w:rsidR="00A76057" w:rsidRPr="00E01A79" w:rsidRDefault="00A76057" w:rsidP="006C05B1">
      <w:pPr>
        <w:numPr>
          <w:ilvl w:val="0"/>
          <w:numId w:val="4"/>
        </w:numPr>
        <w:spacing w:before="60" w:line="240" w:lineRule="auto"/>
        <w:ind w:left="567" w:hanging="567"/>
      </w:pPr>
      <w:r w:rsidRPr="00E01A79">
        <w:t>This means the Away from Home Allowance rate is calculated in the same way as the AS. Changing the way AS recognises housing contributions from boarders will also impact the way the Away from Home Allowance recognises housing contributions from boarders. This may result in reduced assistance if the young person were receiving contributions from boarders</w:t>
      </w:r>
      <w:r w:rsidR="000A5B85">
        <w:t>, but this scenario is unlikely</w:t>
      </w:r>
      <w:r w:rsidRPr="00E01A79">
        <w:t>.</w:t>
      </w:r>
      <w:r w:rsidRPr="00E01A79">
        <w:rPr>
          <w:vertAlign w:val="superscript"/>
        </w:rPr>
        <w:footnoteReference w:id="13"/>
      </w:r>
    </w:p>
    <w:p w14:paraId="318167BD" w14:textId="77777777" w:rsidR="00A76057" w:rsidRPr="00776538" w:rsidRDefault="00A76057" w:rsidP="006C05B1">
      <w:pPr>
        <w:spacing w:before="60" w:line="240" w:lineRule="auto"/>
        <w:rPr>
          <w:i/>
        </w:rPr>
      </w:pPr>
      <w:r w:rsidRPr="00776538">
        <w:rPr>
          <w:i/>
        </w:rPr>
        <w:t>Student Allowance Accommodation Benefit at a sole parent rate</w:t>
      </w:r>
    </w:p>
    <w:p w14:paraId="4C757E53" w14:textId="6863D669" w:rsidR="00A76057" w:rsidRPr="00E01A79" w:rsidRDefault="00A76057" w:rsidP="006C05B1">
      <w:pPr>
        <w:numPr>
          <w:ilvl w:val="0"/>
          <w:numId w:val="4"/>
        </w:numPr>
        <w:spacing w:before="60" w:line="240" w:lineRule="auto"/>
        <w:ind w:left="567" w:hanging="567"/>
      </w:pPr>
      <w:r w:rsidRPr="00E01A79">
        <w:t xml:space="preserve">The Student Allowance Accommodation Benefit </w:t>
      </w:r>
      <w:r w:rsidR="00F532DE">
        <w:t>paid to</w:t>
      </w:r>
      <w:r w:rsidR="00F532DE" w:rsidRPr="00E01A79">
        <w:t xml:space="preserve"> </w:t>
      </w:r>
      <w:r w:rsidRPr="00E01A79">
        <w:t>a sole parent is an accommodation benefit for eligible sole parents receiving the Student Allowance.</w:t>
      </w:r>
    </w:p>
    <w:p w14:paraId="527C06A0" w14:textId="152CA719" w:rsidR="00A76057" w:rsidRDefault="00A76057" w:rsidP="006C05B1">
      <w:pPr>
        <w:numPr>
          <w:ilvl w:val="0"/>
          <w:numId w:val="4"/>
        </w:numPr>
        <w:spacing w:before="60" w:line="240" w:lineRule="auto"/>
        <w:ind w:left="567" w:hanging="567"/>
      </w:pPr>
      <w:r w:rsidRPr="00E01A79">
        <w:t xml:space="preserve">The Student Allowance Accommodation Benefit </w:t>
      </w:r>
      <w:r w:rsidR="007C6553">
        <w:t xml:space="preserve">paid to </w:t>
      </w:r>
      <w:r w:rsidRPr="00E01A79">
        <w:t xml:space="preserve">a sole parent is </w:t>
      </w:r>
      <w:r w:rsidR="00260670">
        <w:t xml:space="preserve">calculated in </w:t>
      </w:r>
      <w:r w:rsidRPr="00E01A79">
        <w:t xml:space="preserve">the same </w:t>
      </w:r>
      <w:r w:rsidR="00260670">
        <w:t xml:space="preserve">way </w:t>
      </w:r>
      <w:r w:rsidRPr="00E01A79">
        <w:t xml:space="preserve">as the AS </w:t>
      </w:r>
      <w:r w:rsidR="003F1905">
        <w:t>is calculated for</w:t>
      </w:r>
      <w:r w:rsidRPr="00E01A79">
        <w:t xml:space="preserve"> recipients of Sole Parent Support. This means changing the way the AS recognises housing contributions from boarders will also impact the way the sole parent rate of the Student Allowance Accommodation Benefit </w:t>
      </w:r>
      <w:r w:rsidR="00E313CF" w:rsidRPr="00E313CF">
        <w:t>is calculated. Some sole parent students may receive a reduction in the rate of their Student Allowance Accommodation Benefit</w:t>
      </w:r>
      <w:r w:rsidRPr="00E01A79">
        <w:t>.</w:t>
      </w:r>
    </w:p>
    <w:p w14:paraId="5117E3EF" w14:textId="1C40B275" w:rsidR="00EA595D" w:rsidRDefault="005A3755" w:rsidP="006C05B1">
      <w:pPr>
        <w:spacing w:before="60" w:line="240" w:lineRule="auto"/>
      </w:pPr>
      <w:r w:rsidRPr="005A3755">
        <w:rPr>
          <w:i/>
        </w:rPr>
        <w:t>Eligibility for social housing and priority rating on the Social Housing Register</w:t>
      </w:r>
      <w:r w:rsidR="00EA595D">
        <w:t>.</w:t>
      </w:r>
    </w:p>
    <w:p w14:paraId="63728783" w14:textId="28A88811" w:rsidR="00EA595D" w:rsidRDefault="00EA595D" w:rsidP="006C05B1">
      <w:pPr>
        <w:numPr>
          <w:ilvl w:val="0"/>
          <w:numId w:val="4"/>
        </w:numPr>
        <w:spacing w:before="60" w:line="240" w:lineRule="auto"/>
        <w:ind w:left="567" w:hanging="567"/>
      </w:pPr>
      <w:r>
        <w:t xml:space="preserve">The </w:t>
      </w:r>
      <w:r w:rsidR="009A4B52" w:rsidRPr="009A4B52">
        <w:t xml:space="preserve">changes introduced by this initiative may </w:t>
      </w:r>
      <w:r w:rsidR="00F179E1">
        <w:t>impact</w:t>
      </w:r>
      <w:r w:rsidR="009A4B52" w:rsidRPr="009A4B52">
        <w:t xml:space="preserve"> some households</w:t>
      </w:r>
      <w:r w:rsidR="00AE753F">
        <w:t xml:space="preserve">’ eligibility </w:t>
      </w:r>
      <w:r w:rsidR="00F179E1">
        <w:t>for</w:t>
      </w:r>
      <w:r w:rsidR="009A4B52" w:rsidRPr="009A4B52">
        <w:t xml:space="preserve"> social housing, as well as the priority rating of some social housing applicants who are on the Social Housing Register</w:t>
      </w:r>
      <w:r w:rsidR="009A4B52">
        <w:t>.</w:t>
      </w:r>
    </w:p>
    <w:p w14:paraId="6B2FFCE8" w14:textId="196A327D" w:rsidR="009A4B52" w:rsidRDefault="008A7CFB" w:rsidP="006C05B1">
      <w:pPr>
        <w:numPr>
          <w:ilvl w:val="0"/>
          <w:numId w:val="4"/>
        </w:numPr>
        <w:spacing w:before="60" w:line="240" w:lineRule="auto"/>
        <w:ind w:left="567" w:hanging="567"/>
      </w:pPr>
      <w:r>
        <w:t xml:space="preserve">As </w:t>
      </w:r>
      <w:r w:rsidR="0021274D" w:rsidRPr="0021274D">
        <w:t>MSD does not currently collect information on one or two boarders in a household as part of an assessment for eligibility for social housing (unless that boarder will be moving into social housing as part of the household), it is difficult to predict how many households will be affected by this change</w:t>
      </w:r>
      <w:r w:rsidR="009E582B">
        <w:t>.</w:t>
      </w:r>
    </w:p>
    <w:p w14:paraId="3E662D4C" w14:textId="1311B314" w:rsidR="009A4B52" w:rsidRPr="00E01A79" w:rsidRDefault="00B4526F" w:rsidP="006C05B1">
      <w:pPr>
        <w:numPr>
          <w:ilvl w:val="0"/>
          <w:numId w:val="4"/>
        </w:numPr>
        <w:spacing w:before="60" w:line="240" w:lineRule="auto"/>
        <w:ind w:left="567" w:hanging="567"/>
      </w:pPr>
      <w:r>
        <w:t xml:space="preserve">HUD </w:t>
      </w:r>
      <w:r w:rsidR="009E582B" w:rsidRPr="009E582B">
        <w:t>and Kāinga Ora have raised concerns around contributions from boarders impacting social housing eligibility. Kāinga Ora noted that contributions from a boarder that is not part of the household is specific to the house the applicant is currently in, not to them as an individual. However, Kāinga Ora acknowledged that the income is relevant to the affordability calculations of their current housing situation and alternative housing options available. In addition, HUD noted the impact on eligibility and priority rating for social housing is a significant risk in the context of high rental costs in the private market. HUD noted that this could increase applications for, and time spent in emergency housing or transitional housing</w:t>
      </w:r>
      <w:r w:rsidR="009E582B">
        <w:t>.</w:t>
      </w:r>
    </w:p>
    <w:p w14:paraId="10B1D534" w14:textId="77777777" w:rsidR="00A76057" w:rsidRPr="00776538" w:rsidRDefault="00A76057" w:rsidP="006C05B1">
      <w:pPr>
        <w:pStyle w:val="BodyText-Numbered"/>
        <w:keepNext w:val="0"/>
        <w:rPr>
          <w:i/>
        </w:rPr>
      </w:pPr>
      <w:r w:rsidRPr="00776538">
        <w:rPr>
          <w:i/>
        </w:rPr>
        <w:t>Potential flow-on effects from the policy</w:t>
      </w:r>
    </w:p>
    <w:p w14:paraId="114CE8BC" w14:textId="100A4AF1" w:rsidR="00A76057" w:rsidRPr="00E01A79" w:rsidRDefault="00A76057" w:rsidP="006C05B1">
      <w:pPr>
        <w:numPr>
          <w:ilvl w:val="0"/>
          <w:numId w:val="4"/>
        </w:numPr>
        <w:spacing w:before="60" w:line="240" w:lineRule="auto"/>
        <w:ind w:left="567" w:hanging="567"/>
      </w:pPr>
      <w:r w:rsidRPr="00E01A79">
        <w:t xml:space="preserve">MSD </w:t>
      </w:r>
      <w:r w:rsidR="00DD1D31" w:rsidRPr="00DD1D31">
        <w:t xml:space="preserve">may see an increase in requests for some hardship payments and other housing-related payments including Housing Support Products. Since the policy change will result in a decrease to the rate of assistance received (or an increase in rent payable </w:t>
      </w:r>
      <w:r w:rsidR="00DD1D31" w:rsidRPr="00DD1D31">
        <w:lastRenderedPageBreak/>
        <w:t>through the IRR) for some people, MSD may see an increase in applications for hardship and housing supports as households adjust. This would likely be through Special Needs Grants, Recoverable Assistance Payments for Non-Beneficiaries, Advance Payment of Benefit and Housing Support Products (e</w:t>
      </w:r>
      <w:r w:rsidR="00DD1D31">
        <w:t>.</w:t>
      </w:r>
      <w:r w:rsidR="00DD1D31" w:rsidRPr="00DD1D31">
        <w:t>g</w:t>
      </w:r>
      <w:r w:rsidR="00DD1D31">
        <w:t>.</w:t>
      </w:r>
      <w:r w:rsidR="00DD1D31" w:rsidRPr="00DD1D31">
        <w:t xml:space="preserve"> recoverable assistance for rent arrears)</w:t>
      </w:r>
      <w:r w:rsidRPr="00E01A79">
        <w:t xml:space="preserve">. </w:t>
      </w:r>
    </w:p>
    <w:p w14:paraId="4E893AA7" w14:textId="197696BD" w:rsidR="00A76057" w:rsidRDefault="00A76057" w:rsidP="006C05B1">
      <w:pPr>
        <w:numPr>
          <w:ilvl w:val="0"/>
          <w:numId w:val="4"/>
        </w:numPr>
        <w:spacing w:before="60" w:line="240" w:lineRule="auto"/>
        <w:ind w:left="567" w:hanging="567"/>
      </w:pPr>
      <w:r w:rsidRPr="00E01A79">
        <w:t xml:space="preserve">Changes to how excess income from boarders is recognised may mean that some people (anticipated to be a small number) are pushed above the income limit for </w:t>
      </w:r>
      <w:r w:rsidR="00CD4BD9">
        <w:t xml:space="preserve">some types of </w:t>
      </w:r>
      <w:r w:rsidRPr="00E01A79">
        <w:t xml:space="preserve">assistance under the Social Security Act. This may impact eligibility for Special Needs Grants, Recoverable Assistance Payments and </w:t>
      </w:r>
      <w:r w:rsidR="002F6053" w:rsidRPr="002F6053">
        <w:t>Advance Payment of Benefit</w:t>
      </w:r>
      <w:r w:rsidRPr="00E01A79">
        <w:t xml:space="preserve">. The impact on eligibility for Housing Support Products </w:t>
      </w:r>
      <w:r w:rsidRPr="00E01A79" w:rsidDel="00D765F4">
        <w:t xml:space="preserve">that have an income limit </w:t>
      </w:r>
      <w:r w:rsidRPr="00E01A79">
        <w:t>is likely to be minor, as the income limits for Housing Support Products are relatively high compared to other forms of assistance under the Social Security Act.</w:t>
      </w:r>
    </w:p>
    <w:p w14:paraId="019C0804" w14:textId="1C2D14A9" w:rsidR="00A76057" w:rsidRPr="005A3F38" w:rsidRDefault="00A76057" w:rsidP="006C05B1">
      <w:pPr>
        <w:numPr>
          <w:ilvl w:val="0"/>
          <w:numId w:val="4"/>
        </w:numPr>
        <w:spacing w:before="60" w:line="240" w:lineRule="auto"/>
        <w:ind w:left="567" w:hanging="567"/>
      </w:pPr>
      <w:r>
        <w:t xml:space="preserve">Changes </w:t>
      </w:r>
      <w:r w:rsidRPr="00E01A79">
        <w:t>to how excess income from boarders is recognised may also flow through to the assessment of parental income for Student Allowance. This is because the determination of parental income is determined in part from family scheme income, which itself is an adjusted form of net income and</w:t>
      </w:r>
      <w:r w:rsidR="00796A02">
        <w:t>,</w:t>
      </w:r>
      <w:r w:rsidRPr="00E01A79">
        <w:t xml:space="preserve"> as such</w:t>
      </w:r>
      <w:r w:rsidR="00FE6916">
        <w:t>,</w:t>
      </w:r>
      <w:r w:rsidRPr="00E01A79">
        <w:t xml:space="preserve"> will change alongside rates of assistance from MSD (which may be reduced by any excess income from boarders</w:t>
      </w:r>
      <w:r>
        <w:t>).</w:t>
      </w:r>
    </w:p>
    <w:p w14:paraId="651686A8" w14:textId="1879BACD" w:rsidR="006F54F9" w:rsidRPr="008558EF" w:rsidRDefault="00353DB3" w:rsidP="006C05B1">
      <w:pPr>
        <w:pStyle w:val="Heading4"/>
      </w:pPr>
      <w:bookmarkStart w:id="42" w:name="_Hlk191307318"/>
      <w:r>
        <w:t>C</w:t>
      </w:r>
      <w:r w:rsidR="006F54F9" w:rsidRPr="001479C4">
        <w:t xml:space="preserve">hanges </w:t>
      </w:r>
      <w:bookmarkEnd w:id="42"/>
      <w:r w:rsidR="006F54F9" w:rsidRPr="001479C4">
        <w:t xml:space="preserve">to </w:t>
      </w:r>
      <w:r>
        <w:t>enable the use of mandatory reviews to confirm boarders’ contributions</w:t>
      </w:r>
    </w:p>
    <w:p w14:paraId="66D27931" w14:textId="5FB4CE98" w:rsidR="008A5BD7" w:rsidRPr="0024777F" w:rsidRDefault="008A5BD7" w:rsidP="006C05B1">
      <w:pPr>
        <w:pStyle w:val="BodyText-Numbered"/>
        <w:keepNext w:val="0"/>
        <w:numPr>
          <w:ilvl w:val="0"/>
          <w:numId w:val="4"/>
        </w:numPr>
        <w:ind w:left="567" w:hanging="567"/>
      </w:pPr>
      <w:r w:rsidRPr="7AE5DC7C">
        <w:t xml:space="preserve">To implement the boarders’ contribution initiative, MSD must be able to confirm if a client is receiving contributions from boarders </w:t>
      </w:r>
      <w:r w:rsidR="006A279A">
        <w:t>in order to assess</w:t>
      </w:r>
      <w:r w:rsidR="006A279A" w:rsidRPr="7AE5DC7C">
        <w:t xml:space="preserve"> </w:t>
      </w:r>
      <w:r w:rsidRPr="7AE5DC7C">
        <w:t>housing subsidies and income-tested assistance</w:t>
      </w:r>
      <w:r>
        <w:t>.</w:t>
      </w:r>
      <w:r w:rsidRPr="00DD7812">
        <w:t xml:space="preserve"> </w:t>
      </w:r>
      <w:r w:rsidR="598EEE1A">
        <w:t xml:space="preserve">MSD’s discretionary review powers do not currently allow for the regular </w:t>
      </w:r>
      <w:r w:rsidR="00576C62">
        <w:t>re</w:t>
      </w:r>
      <w:r w:rsidR="598EEE1A">
        <w:t>view of all benefits relevant to this initiative. Therefore, Cabinet agreement was sought to introduce the mandatory review of specific benefits to test ongoing rate and eligibility for some payments,</w:t>
      </w:r>
      <w:r w:rsidRPr="598EEE1A">
        <w:rPr>
          <w:rStyle w:val="FootnoteReference"/>
        </w:rPr>
        <w:footnoteReference w:id="14"/>
      </w:r>
      <w:r w:rsidR="598EEE1A">
        <w:t xml:space="preserve">as well as broadening the existing authorising provisions for </w:t>
      </w:r>
      <w:r w:rsidR="003C39EB">
        <w:t xml:space="preserve">the </w:t>
      </w:r>
      <w:r w:rsidR="598EEE1A">
        <w:t>use of ADM.</w:t>
      </w:r>
      <w:r w:rsidRPr="7AE5DC7C">
        <w:rPr>
          <w:rStyle w:val="FootnoteReference"/>
        </w:rPr>
        <w:footnoteReference w:id="15"/>
      </w:r>
      <w:r w:rsidR="0098382B">
        <w:t xml:space="preserve"> </w:t>
      </w:r>
      <w:r w:rsidRPr="7AE5DC7C">
        <w:t xml:space="preserve">Automating the </w:t>
      </w:r>
      <w:r w:rsidR="009A47CE" w:rsidRPr="7AE5DC7C">
        <w:t xml:space="preserve">reviews </w:t>
      </w:r>
      <w:r w:rsidR="009A47CE">
        <w:t>will</w:t>
      </w:r>
      <w:r w:rsidRPr="7AE5DC7C">
        <w:t xml:space="preserve"> avoid significant impacts on </w:t>
      </w:r>
      <w:r w:rsidR="00C42CEA">
        <w:t xml:space="preserve">MSD’s </w:t>
      </w:r>
      <w:r w:rsidRPr="7AE5DC7C">
        <w:t>frontline capacity</w:t>
      </w:r>
      <w:r>
        <w:t>,</w:t>
      </w:r>
      <w:r w:rsidRPr="7AE5DC7C">
        <w:t xml:space="preserve"> as it will allow staff time to be used for higher value interactions (e.g. employment conversations)</w:t>
      </w:r>
      <w:r>
        <w:t xml:space="preserve">. </w:t>
      </w:r>
    </w:p>
    <w:p w14:paraId="398A9BA3" w14:textId="650B384C" w:rsidR="006C5121" w:rsidRDefault="006C5121" w:rsidP="006C05B1">
      <w:pPr>
        <w:pStyle w:val="BodyText-Numbered"/>
        <w:keepNext w:val="0"/>
        <w:numPr>
          <w:ilvl w:val="0"/>
          <w:numId w:val="4"/>
        </w:numPr>
        <w:ind w:left="567" w:hanging="567"/>
      </w:pPr>
      <w:r>
        <w:t>A Regulatory Impact Statement for these proposals was provided alongside advice considered by the Cabinet Social Outcomes Committee on 29 January 2025 and confirmed by Cabinet on 3 February 2025.</w:t>
      </w:r>
    </w:p>
    <w:p w14:paraId="7534158D" w14:textId="64937CF1" w:rsidR="598EEE1A" w:rsidRDefault="006C5121" w:rsidP="006C05B1">
      <w:pPr>
        <w:pStyle w:val="BodyText-Numbered"/>
        <w:keepNext w:val="0"/>
        <w:numPr>
          <w:ilvl w:val="0"/>
          <w:numId w:val="4"/>
        </w:numPr>
        <w:ind w:left="567" w:hanging="567"/>
      </w:pPr>
      <w:r>
        <w:t>In February 2025, Cabinet agreed to the necessary legislative changes to enable ADM in relation to implementing the boarders’ contributions initiative [CAB-25-MIN-0014 refers]. The legislative amendments required to enact this change are included in the Bill.</w:t>
      </w:r>
    </w:p>
    <w:p w14:paraId="4B5D0F3A" w14:textId="03366F58" w:rsidR="03986F4F" w:rsidRPr="00767837" w:rsidRDefault="03986F4F" w:rsidP="006C05B1">
      <w:pPr>
        <w:pStyle w:val="Heading4"/>
      </w:pPr>
      <w:r w:rsidRPr="00767837">
        <w:t xml:space="preserve">Removing discretion </w:t>
      </w:r>
      <w:r w:rsidR="00767837">
        <w:t>in granting the A</w:t>
      </w:r>
      <w:r w:rsidR="00086FB2">
        <w:t xml:space="preserve">ccommodation </w:t>
      </w:r>
      <w:r w:rsidRPr="00767837">
        <w:t>S</w:t>
      </w:r>
      <w:r w:rsidR="00086FB2">
        <w:t>upplement</w:t>
      </w:r>
      <w:r w:rsidR="00013B1D">
        <w:t xml:space="preserve"> (AS)</w:t>
      </w:r>
      <w:r w:rsidRPr="00767837">
        <w:t xml:space="preserve"> </w:t>
      </w:r>
    </w:p>
    <w:p w14:paraId="5D95FB0C" w14:textId="19ECE3B5" w:rsidR="00130CB9" w:rsidRPr="00965881" w:rsidRDefault="00130CB9" w:rsidP="006C05B1">
      <w:pPr>
        <w:numPr>
          <w:ilvl w:val="0"/>
          <w:numId w:val="4"/>
        </w:numPr>
        <w:spacing w:before="60" w:line="240" w:lineRule="auto"/>
        <w:ind w:left="567" w:hanging="567"/>
      </w:pPr>
      <w:r>
        <w:t>To enable the use of ADM</w:t>
      </w:r>
      <w:r w:rsidR="00C27F60">
        <w:t>,</w:t>
      </w:r>
      <w:r>
        <w:t xml:space="preserve"> changes to </w:t>
      </w:r>
      <w:r w:rsidR="00EE5870" w:rsidRPr="00EE5870">
        <w:t xml:space="preserve">the way that the AS </w:t>
      </w:r>
      <w:r>
        <w:t xml:space="preserve">is granted are required. Joint Ministers </w:t>
      </w:r>
      <w:r w:rsidR="003543CF">
        <w:t xml:space="preserve">therefore </w:t>
      </w:r>
      <w:r>
        <w:t xml:space="preserve">agreed to the following amendments to the Social Security Act: </w:t>
      </w:r>
    </w:p>
    <w:p w14:paraId="5DCCDCC4" w14:textId="77777777" w:rsidR="00130CB9" w:rsidRPr="009966DE" w:rsidRDefault="00130CB9" w:rsidP="006C05B1">
      <w:pPr>
        <w:pStyle w:val="BodyText-Numbered"/>
        <w:keepNext w:val="0"/>
        <w:numPr>
          <w:ilvl w:val="1"/>
          <w:numId w:val="4"/>
        </w:numPr>
        <w:ind w:left="1134" w:hanging="567"/>
        <w:contextualSpacing/>
      </w:pPr>
      <w:r w:rsidRPr="001D0F07">
        <w:t>a grant of AS</w:t>
      </w:r>
      <w:r w:rsidRPr="009966DE">
        <w:t xml:space="preserve"> is no longer discretionary, which will be consistent with current MSD practice for the granting of AS</w:t>
      </w:r>
    </w:p>
    <w:p w14:paraId="173E2A24" w14:textId="77777777" w:rsidR="00130CB9" w:rsidRPr="009966DE" w:rsidRDefault="00130CB9" w:rsidP="006C05B1">
      <w:pPr>
        <w:pStyle w:val="BodyText-Numbered"/>
        <w:keepNext w:val="0"/>
        <w:numPr>
          <w:ilvl w:val="1"/>
          <w:numId w:val="4"/>
        </w:numPr>
        <w:ind w:left="1134" w:hanging="567"/>
        <w:contextualSpacing/>
      </w:pPr>
      <w:r w:rsidRPr="009966DE">
        <w:lastRenderedPageBreak/>
        <w:t>AS is not granted for a specified time period (i.e. recipients remain eligible for AS until they are no longer eligible – grants will not expire).</w:t>
      </w:r>
    </w:p>
    <w:p w14:paraId="1633262D" w14:textId="42528DCB" w:rsidR="00F75B71" w:rsidRPr="00413447" w:rsidRDefault="00F75B71" w:rsidP="006C05B1">
      <w:pPr>
        <w:pStyle w:val="Heading4"/>
        <w:rPr>
          <w:i/>
        </w:rPr>
      </w:pPr>
      <w:r w:rsidRPr="00413447">
        <w:t xml:space="preserve">The treatment of boarders and renters will be clarified in legislation, and if a person is not identified as a boarder, they will be treated as a renter </w:t>
      </w:r>
    </w:p>
    <w:p w14:paraId="434C3928" w14:textId="77777777" w:rsidR="00F75B71" w:rsidRPr="004E2B6A" w:rsidRDefault="00F75B71" w:rsidP="006C05B1">
      <w:pPr>
        <w:pStyle w:val="BodyText-Numbered"/>
        <w:keepNext w:val="0"/>
        <w:numPr>
          <w:ilvl w:val="0"/>
          <w:numId w:val="4"/>
        </w:numPr>
        <w:ind w:left="567" w:hanging="567"/>
        <w:rPr>
          <w:bCs/>
          <w:szCs w:val="22"/>
        </w:rPr>
      </w:pPr>
      <w:r w:rsidRPr="004E2B6A">
        <w:rPr>
          <w:bCs/>
        </w:rPr>
        <w:t xml:space="preserve">The changes aim to treat boarders and renters consistently. </w:t>
      </w:r>
    </w:p>
    <w:p w14:paraId="645B766D" w14:textId="08EC58F6" w:rsidR="00865B8D" w:rsidRDefault="0065122E" w:rsidP="006C05B1">
      <w:pPr>
        <w:pStyle w:val="BodyText-Numbered"/>
        <w:keepNext w:val="0"/>
        <w:numPr>
          <w:ilvl w:val="0"/>
          <w:numId w:val="4"/>
        </w:numPr>
        <w:ind w:left="567" w:hanging="567"/>
        <w:rPr>
          <w:bCs/>
          <w:szCs w:val="22"/>
        </w:rPr>
      </w:pPr>
      <w:r w:rsidRPr="00E54290">
        <w:rPr>
          <w:bCs/>
          <w:szCs w:val="22"/>
        </w:rPr>
        <w:t xml:space="preserve">The current </w:t>
      </w:r>
      <w:r w:rsidR="001C44E8" w:rsidRPr="001C44E8">
        <w:rPr>
          <w:bCs/>
          <w:szCs w:val="22"/>
        </w:rPr>
        <w:t xml:space="preserve">determination as to whether a person is a </w:t>
      </w:r>
      <w:proofErr w:type="gramStart"/>
      <w:r w:rsidR="001C44E8" w:rsidRPr="001C44E8">
        <w:rPr>
          <w:bCs/>
          <w:szCs w:val="22"/>
        </w:rPr>
        <w:t>boarder</w:t>
      </w:r>
      <w:proofErr w:type="gramEnd"/>
      <w:r w:rsidR="001C44E8" w:rsidRPr="001C44E8">
        <w:rPr>
          <w:bCs/>
          <w:szCs w:val="22"/>
        </w:rPr>
        <w:t xml:space="preserve"> or a renter</w:t>
      </w:r>
      <w:r w:rsidR="001C44E8" w:rsidRPr="001C44E8" w:rsidDel="001C44E8">
        <w:rPr>
          <w:bCs/>
          <w:szCs w:val="22"/>
        </w:rPr>
        <w:t xml:space="preserve"> </w:t>
      </w:r>
      <w:r w:rsidRPr="00E54290">
        <w:rPr>
          <w:bCs/>
          <w:szCs w:val="22"/>
        </w:rPr>
        <w:t xml:space="preserve">is described in MSD operational policy and is not included in the legislation. </w:t>
      </w:r>
    </w:p>
    <w:p w14:paraId="5EC3A045" w14:textId="41BDC2D4" w:rsidR="00F75B71" w:rsidRPr="00965881" w:rsidRDefault="00F75B71" w:rsidP="006C05B1">
      <w:pPr>
        <w:pStyle w:val="BodyText-Numbered"/>
        <w:keepNext w:val="0"/>
        <w:numPr>
          <w:ilvl w:val="0"/>
          <w:numId w:val="4"/>
        </w:numPr>
        <w:ind w:left="567" w:hanging="567"/>
        <w:rPr>
          <w:bCs/>
          <w:szCs w:val="22"/>
        </w:rPr>
      </w:pPr>
      <w:r w:rsidRPr="00965881">
        <w:rPr>
          <w:bCs/>
          <w:szCs w:val="22"/>
        </w:rPr>
        <w:t xml:space="preserve">Joint Ministers agreed that boarders will be </w:t>
      </w:r>
      <w:r w:rsidR="00BF03D3">
        <w:rPr>
          <w:bCs/>
          <w:szCs w:val="22"/>
        </w:rPr>
        <w:t>defined</w:t>
      </w:r>
      <w:r w:rsidR="00BF03D3" w:rsidRPr="00965881">
        <w:rPr>
          <w:bCs/>
          <w:szCs w:val="22"/>
        </w:rPr>
        <w:t xml:space="preserve"> </w:t>
      </w:r>
      <w:r w:rsidRPr="00965881">
        <w:rPr>
          <w:bCs/>
          <w:szCs w:val="22"/>
        </w:rPr>
        <w:t xml:space="preserve">in the legislation, for the purposes of AS, and if a person is not identified as a boarder, they will be treated as a renter (meaning 100 percent of their contribution towards accommodation will be treated as accommodation costs, instead of 62 percent). This would also be supplemented by operational guidance. </w:t>
      </w:r>
    </w:p>
    <w:p w14:paraId="4FFA649A" w14:textId="4FB6FAFE" w:rsidR="00D31443" w:rsidRPr="00E54290" w:rsidRDefault="00D31443" w:rsidP="006C05B1">
      <w:pPr>
        <w:pStyle w:val="BodyText-Numbered"/>
        <w:keepNext w:val="0"/>
        <w:numPr>
          <w:ilvl w:val="0"/>
          <w:numId w:val="4"/>
        </w:numPr>
        <w:ind w:left="567" w:hanging="567"/>
        <w:rPr>
          <w:bCs/>
          <w:szCs w:val="22"/>
        </w:rPr>
      </w:pPr>
      <w:r w:rsidRPr="00E54290">
        <w:rPr>
          <w:bCs/>
          <w:szCs w:val="22"/>
        </w:rPr>
        <w:t xml:space="preserve">Joint Ministers </w:t>
      </w:r>
      <w:r>
        <w:rPr>
          <w:bCs/>
          <w:szCs w:val="22"/>
        </w:rPr>
        <w:t xml:space="preserve">also </w:t>
      </w:r>
      <w:r w:rsidRPr="00E54290">
        <w:rPr>
          <w:bCs/>
          <w:szCs w:val="22"/>
        </w:rPr>
        <w:t xml:space="preserve">agreed that the legislation will confirm the current treatment of renters, alongside the changes describing the treatment of boarders. This will ensure the legislation will provide for the treatment of boarders and renters together. </w:t>
      </w:r>
      <w:r w:rsidR="006A5CDD" w:rsidRPr="00965881">
        <w:rPr>
          <w:bCs/>
          <w:szCs w:val="22"/>
        </w:rPr>
        <w:t xml:space="preserve">The draft Bill proposes to define </w:t>
      </w:r>
      <w:r w:rsidR="006A5CDD">
        <w:rPr>
          <w:bCs/>
          <w:szCs w:val="22"/>
        </w:rPr>
        <w:t xml:space="preserve">a </w:t>
      </w:r>
      <w:r w:rsidR="006A5CDD" w:rsidRPr="00965881">
        <w:rPr>
          <w:bCs/>
          <w:szCs w:val="22"/>
        </w:rPr>
        <w:t>boarder in the legislation and treat all those who do not fall into the definition of a boarder (or homeowner) as a renter.</w:t>
      </w:r>
    </w:p>
    <w:p w14:paraId="11E870AE" w14:textId="39B4396F" w:rsidR="00F75B71" w:rsidRPr="00965881" w:rsidRDefault="00F75B71" w:rsidP="006C05B1">
      <w:pPr>
        <w:pStyle w:val="BodyText-Numbered"/>
        <w:keepNext w:val="0"/>
        <w:numPr>
          <w:ilvl w:val="0"/>
          <w:numId w:val="4"/>
        </w:numPr>
        <w:ind w:left="567" w:hanging="567"/>
        <w:rPr>
          <w:bCs/>
          <w:szCs w:val="22"/>
        </w:rPr>
      </w:pPr>
      <w:r w:rsidRPr="00965881">
        <w:rPr>
          <w:bCs/>
          <w:szCs w:val="22"/>
        </w:rPr>
        <w:t xml:space="preserve">A boarder </w:t>
      </w:r>
      <w:r w:rsidR="00233A6A">
        <w:rPr>
          <w:bCs/>
          <w:szCs w:val="22"/>
        </w:rPr>
        <w:t>is</w:t>
      </w:r>
      <w:r w:rsidR="0014773B">
        <w:rPr>
          <w:bCs/>
          <w:szCs w:val="22"/>
        </w:rPr>
        <w:t xml:space="preserve"> defined as</w:t>
      </w:r>
      <w:r w:rsidR="00DC4AF9">
        <w:rPr>
          <w:bCs/>
          <w:szCs w:val="22"/>
        </w:rPr>
        <w:t xml:space="preserve"> follows</w:t>
      </w:r>
      <w:r w:rsidRPr="00965881">
        <w:rPr>
          <w:bCs/>
          <w:szCs w:val="22"/>
        </w:rPr>
        <w:t>:</w:t>
      </w:r>
    </w:p>
    <w:p w14:paraId="1D376F1F" w14:textId="77777777" w:rsidR="00F75B71" w:rsidRPr="00B54C4F" w:rsidRDefault="00F75B71" w:rsidP="006C05B1">
      <w:pPr>
        <w:pStyle w:val="Bullet1"/>
        <w:tabs>
          <w:tab w:val="clear" w:pos="454"/>
          <w:tab w:val="num" w:pos="964"/>
        </w:tabs>
        <w:spacing w:before="120" w:after="60"/>
        <w:ind w:left="964" w:hanging="397"/>
        <w:rPr>
          <w:rFonts w:ascii="Arial" w:hAnsi="Arial"/>
          <w:sz w:val="22"/>
          <w:szCs w:val="22"/>
        </w:rPr>
      </w:pPr>
      <w:r w:rsidRPr="00B54C4F">
        <w:rPr>
          <w:rFonts w:ascii="Arial" w:hAnsi="Arial"/>
          <w:sz w:val="22"/>
          <w:szCs w:val="22"/>
        </w:rPr>
        <w:t>A boarder:</w:t>
      </w:r>
    </w:p>
    <w:p w14:paraId="72AEBCAB" w14:textId="520C3D3A" w:rsidR="00F75B71" w:rsidRPr="00B54C4F" w:rsidRDefault="00F75B71" w:rsidP="006C05B1">
      <w:pPr>
        <w:pStyle w:val="Bullet1"/>
        <w:numPr>
          <w:ilvl w:val="1"/>
          <w:numId w:val="39"/>
        </w:numPr>
        <w:tabs>
          <w:tab w:val="clear" w:pos="454"/>
        </w:tabs>
        <w:spacing w:before="120" w:after="60"/>
        <w:ind w:left="1701" w:hanging="567"/>
        <w:contextualSpacing/>
        <w:rPr>
          <w:rFonts w:ascii="Arial" w:hAnsi="Arial"/>
          <w:sz w:val="22"/>
          <w:szCs w:val="22"/>
        </w:rPr>
      </w:pPr>
      <w:r w:rsidRPr="00B54C4F">
        <w:rPr>
          <w:rFonts w:ascii="Arial" w:hAnsi="Arial"/>
          <w:sz w:val="22"/>
          <w:szCs w:val="22"/>
        </w:rPr>
        <w:t xml:space="preserve">makes a regular payment for living </w:t>
      </w:r>
      <w:r w:rsidR="00741316">
        <w:rPr>
          <w:rFonts w:ascii="Arial" w:hAnsi="Arial"/>
          <w:sz w:val="22"/>
          <w:szCs w:val="22"/>
        </w:rPr>
        <w:t>at</w:t>
      </w:r>
      <w:r w:rsidR="00741316" w:rsidRPr="00B54C4F">
        <w:rPr>
          <w:rFonts w:ascii="Arial" w:hAnsi="Arial"/>
          <w:sz w:val="22"/>
          <w:szCs w:val="22"/>
        </w:rPr>
        <w:t xml:space="preserve"> </w:t>
      </w:r>
      <w:r w:rsidRPr="00B54C4F">
        <w:rPr>
          <w:rFonts w:ascii="Arial" w:hAnsi="Arial"/>
          <w:sz w:val="22"/>
          <w:szCs w:val="22"/>
        </w:rPr>
        <w:t xml:space="preserve">the premises, and </w:t>
      </w:r>
    </w:p>
    <w:p w14:paraId="3488E61B" w14:textId="77777777" w:rsidR="00F75B71" w:rsidRPr="00B54C4F" w:rsidRDefault="00F75B71" w:rsidP="006C05B1">
      <w:pPr>
        <w:pStyle w:val="Bullet1"/>
        <w:numPr>
          <w:ilvl w:val="1"/>
          <w:numId w:val="39"/>
        </w:numPr>
        <w:tabs>
          <w:tab w:val="clear" w:pos="454"/>
        </w:tabs>
        <w:spacing w:before="120" w:after="60" w:line="240" w:lineRule="auto"/>
        <w:ind w:left="1701" w:hanging="567"/>
        <w:contextualSpacing/>
        <w:rPr>
          <w:rFonts w:ascii="Arial" w:hAnsi="Arial"/>
          <w:sz w:val="22"/>
          <w:szCs w:val="22"/>
        </w:rPr>
      </w:pPr>
      <w:r w:rsidRPr="00B54C4F">
        <w:rPr>
          <w:rFonts w:ascii="Arial" w:hAnsi="Arial"/>
          <w:sz w:val="22"/>
          <w:szCs w:val="22"/>
        </w:rPr>
        <w:t xml:space="preserve">the regular payment is for their accommodation and food, and may include utilities and other service costs, and </w:t>
      </w:r>
    </w:p>
    <w:p w14:paraId="02F06890" w14:textId="77777777" w:rsidR="00F75B71" w:rsidRPr="00B54C4F" w:rsidRDefault="00F75B71" w:rsidP="006C05B1">
      <w:pPr>
        <w:pStyle w:val="Bullet1"/>
        <w:numPr>
          <w:ilvl w:val="1"/>
          <w:numId w:val="39"/>
        </w:numPr>
        <w:tabs>
          <w:tab w:val="clear" w:pos="454"/>
        </w:tabs>
        <w:spacing w:before="120" w:after="60"/>
        <w:ind w:left="1701" w:hanging="567"/>
        <w:contextualSpacing/>
        <w:rPr>
          <w:rFonts w:ascii="Arial" w:hAnsi="Arial"/>
          <w:sz w:val="22"/>
          <w:szCs w:val="22"/>
        </w:rPr>
      </w:pPr>
      <w:r w:rsidRPr="00B54C4F">
        <w:rPr>
          <w:rFonts w:ascii="Arial" w:hAnsi="Arial"/>
          <w:sz w:val="22"/>
          <w:szCs w:val="22"/>
        </w:rPr>
        <w:t>is not named on the tenancy agreement, and</w:t>
      </w:r>
    </w:p>
    <w:p w14:paraId="5BE80C1E" w14:textId="77777777" w:rsidR="00F75B71" w:rsidRPr="00B54C4F" w:rsidRDefault="00F75B71" w:rsidP="006C05B1">
      <w:pPr>
        <w:pStyle w:val="Bullet1"/>
        <w:numPr>
          <w:ilvl w:val="1"/>
          <w:numId w:val="39"/>
        </w:numPr>
        <w:tabs>
          <w:tab w:val="clear" w:pos="454"/>
        </w:tabs>
        <w:spacing w:before="120" w:after="60" w:line="240" w:lineRule="auto"/>
        <w:ind w:left="1701" w:hanging="567"/>
        <w:contextualSpacing/>
        <w:rPr>
          <w:rFonts w:ascii="Arial" w:hAnsi="Arial"/>
          <w:sz w:val="22"/>
          <w:szCs w:val="22"/>
        </w:rPr>
      </w:pPr>
      <w:r w:rsidRPr="00B54C4F">
        <w:rPr>
          <w:rFonts w:ascii="Arial" w:hAnsi="Arial"/>
          <w:sz w:val="22"/>
          <w:szCs w:val="22"/>
        </w:rPr>
        <w:t>is not a flatmate with shared food costs that can be identified separately from their accommodation costs.</w:t>
      </w:r>
    </w:p>
    <w:p w14:paraId="7025B064" w14:textId="77777777" w:rsidR="00F75B71" w:rsidRPr="00C22493" w:rsidRDefault="00F75B71" w:rsidP="006C05B1">
      <w:pPr>
        <w:pStyle w:val="Bullet1"/>
        <w:numPr>
          <w:ilvl w:val="0"/>
          <w:numId w:val="0"/>
        </w:numPr>
        <w:tabs>
          <w:tab w:val="clear" w:pos="454"/>
        </w:tabs>
        <w:spacing w:before="120" w:after="60"/>
        <w:ind w:left="720" w:hanging="153"/>
        <w:contextualSpacing/>
        <w:rPr>
          <w:rFonts w:ascii="Arial" w:hAnsi="Arial"/>
          <w:sz w:val="22"/>
          <w:szCs w:val="22"/>
        </w:rPr>
      </w:pPr>
      <w:r w:rsidRPr="00C22493">
        <w:rPr>
          <w:rFonts w:ascii="Arial" w:hAnsi="Arial"/>
          <w:sz w:val="22"/>
          <w:szCs w:val="22"/>
        </w:rPr>
        <w:t>OR</w:t>
      </w:r>
    </w:p>
    <w:p w14:paraId="70ECE6D5" w14:textId="74FDE3A4" w:rsidR="00F75B71" w:rsidRDefault="00F75B71" w:rsidP="006C05B1">
      <w:pPr>
        <w:pStyle w:val="BodyText-Numbered"/>
        <w:keepNext w:val="0"/>
        <w:numPr>
          <w:ilvl w:val="0"/>
          <w:numId w:val="29"/>
        </w:numPr>
        <w:ind w:left="964" w:hanging="397"/>
      </w:pPr>
      <w:r>
        <w:t>f</w:t>
      </w:r>
      <w:r w:rsidRPr="00B54C4F">
        <w:t xml:space="preserve">or those living in social housing properties, a boarder is </w:t>
      </w:r>
      <w:r>
        <w:t xml:space="preserve">a person who meets the definition of </w:t>
      </w:r>
      <w:r w:rsidRPr="00B54C4F">
        <w:t>additional resident (</w:t>
      </w:r>
      <w:r>
        <w:t>under</w:t>
      </w:r>
      <w:r w:rsidRPr="00B54C4F">
        <w:t xml:space="preserve"> s</w:t>
      </w:r>
      <w:r>
        <w:t xml:space="preserve">ection </w:t>
      </w:r>
      <w:r w:rsidRPr="00B54C4F">
        <w:t>2 of the Public and Community Housing Management Act 1992)</w:t>
      </w:r>
      <w:r w:rsidR="004D336E">
        <w:t>.</w:t>
      </w:r>
    </w:p>
    <w:p w14:paraId="6B51949B" w14:textId="77777777" w:rsidR="00F75B71" w:rsidRPr="00E54290" w:rsidRDefault="00F75B71" w:rsidP="006C05B1">
      <w:pPr>
        <w:pStyle w:val="BodyText-Numbered"/>
        <w:keepNext w:val="0"/>
        <w:numPr>
          <w:ilvl w:val="0"/>
          <w:numId w:val="4"/>
        </w:numPr>
        <w:ind w:left="567" w:hanging="567"/>
        <w:rPr>
          <w:bCs/>
          <w:szCs w:val="22"/>
        </w:rPr>
      </w:pPr>
      <w:r w:rsidRPr="00E54290">
        <w:rPr>
          <w:bCs/>
          <w:szCs w:val="22"/>
        </w:rPr>
        <w:t>A person will be a renter for the purposes of Social Security Act assistance if they do not meet the definition of a boarder above</w:t>
      </w:r>
      <w:r>
        <w:rPr>
          <w:bCs/>
          <w:szCs w:val="22"/>
        </w:rPr>
        <w:t>, and are not a homeowner</w:t>
      </w:r>
      <w:r w:rsidRPr="00E54290">
        <w:rPr>
          <w:bCs/>
          <w:szCs w:val="22"/>
        </w:rPr>
        <w:t>.</w:t>
      </w:r>
    </w:p>
    <w:p w14:paraId="786CF823" w14:textId="15BA85F1" w:rsidR="00C74E13" w:rsidRDefault="00ED117B" w:rsidP="006C05B1">
      <w:pPr>
        <w:pStyle w:val="BodyText-Numbered"/>
        <w:keepNext w:val="0"/>
        <w:numPr>
          <w:ilvl w:val="0"/>
          <w:numId w:val="4"/>
        </w:numPr>
        <w:spacing w:before="120"/>
        <w:ind w:left="567" w:hanging="567"/>
        <w:rPr>
          <w:bCs/>
          <w:szCs w:val="22"/>
        </w:rPr>
      </w:pPr>
      <w:r>
        <w:rPr>
          <w:bCs/>
          <w:szCs w:val="22"/>
        </w:rPr>
        <w:t>Further detail</w:t>
      </w:r>
      <w:r w:rsidR="000A6F64">
        <w:rPr>
          <w:bCs/>
          <w:szCs w:val="22"/>
        </w:rPr>
        <w:t>s</w:t>
      </w:r>
      <w:r>
        <w:rPr>
          <w:bCs/>
          <w:szCs w:val="22"/>
        </w:rPr>
        <w:t xml:space="preserve"> on </w:t>
      </w:r>
      <w:r w:rsidR="000D59EC">
        <w:rPr>
          <w:bCs/>
          <w:szCs w:val="22"/>
        </w:rPr>
        <w:t>t</w:t>
      </w:r>
      <w:r w:rsidR="00F75B71" w:rsidRPr="00E54290">
        <w:rPr>
          <w:bCs/>
          <w:szCs w:val="22"/>
        </w:rPr>
        <w:t>he current treatment of</w:t>
      </w:r>
      <w:r w:rsidR="00F75B71" w:rsidRPr="00965881">
        <w:rPr>
          <w:bCs/>
          <w:szCs w:val="22"/>
        </w:rPr>
        <w:t xml:space="preserve"> renters for the purposes of Social Security Act assistance </w:t>
      </w:r>
      <w:r w:rsidR="003C3B7A">
        <w:rPr>
          <w:bCs/>
          <w:szCs w:val="22"/>
        </w:rPr>
        <w:t>are</w:t>
      </w:r>
      <w:r w:rsidR="003C3B7A" w:rsidRPr="00965881">
        <w:rPr>
          <w:bCs/>
          <w:szCs w:val="22"/>
        </w:rPr>
        <w:t xml:space="preserve"> </w:t>
      </w:r>
      <w:r w:rsidR="000D59EC">
        <w:rPr>
          <w:bCs/>
          <w:szCs w:val="22"/>
        </w:rPr>
        <w:t xml:space="preserve">provided in </w:t>
      </w:r>
      <w:r w:rsidR="000D59EC" w:rsidRPr="0098382B">
        <w:rPr>
          <w:b/>
          <w:szCs w:val="22"/>
        </w:rPr>
        <w:t xml:space="preserve">Annex </w:t>
      </w:r>
      <w:r w:rsidR="00231218" w:rsidRPr="0098382B">
        <w:rPr>
          <w:b/>
          <w:szCs w:val="22"/>
        </w:rPr>
        <w:t>2</w:t>
      </w:r>
      <w:r w:rsidR="00F75B71" w:rsidRPr="00965881">
        <w:rPr>
          <w:bCs/>
          <w:szCs w:val="22"/>
        </w:rPr>
        <w:t xml:space="preserve">. </w:t>
      </w:r>
      <w:r w:rsidR="00C74E13" w:rsidRPr="00BA5B5A">
        <w:rPr>
          <w:bCs/>
          <w:szCs w:val="22"/>
        </w:rPr>
        <w:t>This option will ensure that who is a boarder and who is a renter is clear in the Social Security Act, to ensure consistency in how boarders and renters are treated. This will also ensure the treatment of renters is described in the legislation to ensure it is clear in the legislation how boarders and renters will be treated for the purposes of Social Security Act assistance.</w:t>
      </w:r>
    </w:p>
    <w:p w14:paraId="07784649" w14:textId="77777777" w:rsidR="00C74E13" w:rsidRPr="00C62F44" w:rsidRDefault="00C74E13" w:rsidP="006C05B1">
      <w:pPr>
        <w:pStyle w:val="Heading4"/>
        <w:rPr>
          <w:szCs w:val="24"/>
        </w:rPr>
      </w:pPr>
      <w:r w:rsidRPr="00C62F44">
        <w:t>How business ventures will be treated</w:t>
      </w:r>
    </w:p>
    <w:p w14:paraId="5AC45687" w14:textId="35839AAE" w:rsidR="00C74E13" w:rsidRPr="0096477A" w:rsidRDefault="00C74E13" w:rsidP="006C05B1">
      <w:pPr>
        <w:pStyle w:val="BodyText-Numbered"/>
        <w:keepNext w:val="0"/>
        <w:numPr>
          <w:ilvl w:val="0"/>
          <w:numId w:val="4"/>
        </w:numPr>
        <w:ind w:left="567" w:hanging="567"/>
        <w:rPr>
          <w:szCs w:val="22"/>
          <w:lang w:val="en-NZ"/>
        </w:rPr>
      </w:pPr>
      <w:r w:rsidRPr="0096477A">
        <w:rPr>
          <w:b/>
          <w:lang w:val="en-NZ"/>
        </w:rPr>
        <w:t xml:space="preserve">Where </w:t>
      </w:r>
      <w:bookmarkStart w:id="43" w:name="_Hlk191469612"/>
      <w:r w:rsidRPr="0096477A">
        <w:rPr>
          <w:b/>
          <w:szCs w:val="22"/>
        </w:rPr>
        <w:t>a person lives in a pr</w:t>
      </w:r>
      <w:r w:rsidR="00596102">
        <w:rPr>
          <w:b/>
          <w:szCs w:val="22"/>
        </w:rPr>
        <w:t>emises</w:t>
      </w:r>
      <w:r w:rsidRPr="0096477A">
        <w:rPr>
          <w:b/>
          <w:szCs w:val="22"/>
        </w:rPr>
        <w:t xml:space="preserve"> that they also use to run a commercial boarding operation</w:t>
      </w:r>
      <w:r w:rsidRPr="00776538">
        <w:rPr>
          <w:b/>
          <w:bCs/>
          <w:szCs w:val="22"/>
        </w:rPr>
        <w:t xml:space="preserve"> </w:t>
      </w:r>
      <w:r w:rsidR="00810D5F" w:rsidRPr="00776538">
        <w:rPr>
          <w:b/>
          <w:bCs/>
          <w:szCs w:val="22"/>
        </w:rPr>
        <w:t xml:space="preserve">or </w:t>
      </w:r>
      <w:r w:rsidR="00810D5F" w:rsidRPr="0096477A">
        <w:rPr>
          <w:b/>
          <w:bCs/>
          <w:szCs w:val="22"/>
          <w:lang w:val="en-NZ"/>
        </w:rPr>
        <w:t>operates a boarder business out of their home</w:t>
      </w:r>
      <w:r w:rsidR="0010180B">
        <w:rPr>
          <w:b/>
          <w:bCs/>
          <w:szCs w:val="22"/>
          <w:lang w:val="en-NZ"/>
        </w:rPr>
        <w:t>,</w:t>
      </w:r>
      <w:r w:rsidR="00810D5F" w:rsidRPr="0096477A" w:rsidDel="00E41107">
        <w:rPr>
          <w:szCs w:val="22"/>
        </w:rPr>
        <w:t xml:space="preserve"> </w:t>
      </w:r>
      <w:r w:rsidRPr="0096477A">
        <w:rPr>
          <w:szCs w:val="22"/>
        </w:rPr>
        <w:t>the proportion of the premises used for their business will not be considered part of their accommodation costs</w:t>
      </w:r>
      <w:bookmarkEnd w:id="43"/>
      <w:r w:rsidR="00DE651C">
        <w:rPr>
          <w:szCs w:val="22"/>
        </w:rPr>
        <w:t xml:space="preserve"> (their </w:t>
      </w:r>
      <w:r w:rsidR="00DE651C" w:rsidRPr="0096477A">
        <w:rPr>
          <w:szCs w:val="22"/>
          <w:lang w:val="en-NZ"/>
        </w:rPr>
        <w:t>accommodation costs will be limited to the portion of the premises they occupy as a home</w:t>
      </w:r>
      <w:r w:rsidR="00DE651C">
        <w:rPr>
          <w:szCs w:val="22"/>
          <w:lang w:val="en-NZ"/>
        </w:rPr>
        <w:t>)</w:t>
      </w:r>
      <w:r w:rsidRPr="0096477A">
        <w:rPr>
          <w:szCs w:val="22"/>
        </w:rPr>
        <w:t xml:space="preserve">. </w:t>
      </w:r>
      <w:r w:rsidR="00CB1FBA">
        <w:rPr>
          <w:szCs w:val="22"/>
        </w:rPr>
        <w:t>W</w:t>
      </w:r>
      <w:r w:rsidR="00CB1FBA" w:rsidRPr="00CB1FBA">
        <w:rPr>
          <w:szCs w:val="22"/>
        </w:rPr>
        <w:t xml:space="preserve">here board payments are made to a commercial boarding operation </w:t>
      </w:r>
      <w:r w:rsidR="00CE05D7">
        <w:rPr>
          <w:szCs w:val="22"/>
        </w:rPr>
        <w:t>or boarder business,</w:t>
      </w:r>
      <w:r w:rsidR="00CB1FBA" w:rsidRPr="00CB1FBA">
        <w:rPr>
          <w:szCs w:val="22"/>
        </w:rPr>
        <w:t xml:space="preserve"> the board payments received will not reduce the person’s assessed accommodation costs</w:t>
      </w:r>
      <w:r w:rsidR="00737A9E">
        <w:rPr>
          <w:szCs w:val="22"/>
        </w:rPr>
        <w:t xml:space="preserve"> </w:t>
      </w:r>
      <w:r w:rsidR="006B3343">
        <w:rPr>
          <w:szCs w:val="22"/>
        </w:rPr>
        <w:t>but</w:t>
      </w:r>
      <w:r w:rsidR="00EA5901">
        <w:rPr>
          <w:szCs w:val="22"/>
        </w:rPr>
        <w:t xml:space="preserve"> will </w:t>
      </w:r>
      <w:r w:rsidR="00BC04EC" w:rsidRPr="00BC04EC">
        <w:rPr>
          <w:szCs w:val="22"/>
        </w:rPr>
        <w:t xml:space="preserve">instead be treated under current </w:t>
      </w:r>
      <w:r w:rsidR="00E05F80">
        <w:rPr>
          <w:szCs w:val="22"/>
        </w:rPr>
        <w:t xml:space="preserve">MSD </w:t>
      </w:r>
      <w:r w:rsidR="00BC04EC" w:rsidRPr="00BC04EC">
        <w:rPr>
          <w:szCs w:val="22"/>
        </w:rPr>
        <w:t xml:space="preserve">guidance as income from </w:t>
      </w:r>
      <w:r w:rsidR="00E05F80">
        <w:rPr>
          <w:szCs w:val="22"/>
        </w:rPr>
        <w:t>a</w:t>
      </w:r>
      <w:r w:rsidR="00BC04EC" w:rsidRPr="00BC04EC">
        <w:rPr>
          <w:szCs w:val="22"/>
        </w:rPr>
        <w:t xml:space="preserve"> business</w:t>
      </w:r>
      <w:r w:rsidR="00CE05D7">
        <w:rPr>
          <w:szCs w:val="22"/>
        </w:rPr>
        <w:t>.</w:t>
      </w:r>
      <w:r w:rsidR="0010180B">
        <w:rPr>
          <w:szCs w:val="22"/>
        </w:rPr>
        <w:t xml:space="preserve"> </w:t>
      </w:r>
      <w:r w:rsidRPr="0096477A">
        <w:rPr>
          <w:szCs w:val="22"/>
          <w:lang w:val="en-NZ"/>
        </w:rPr>
        <w:t xml:space="preserve">The rationale for this </w:t>
      </w:r>
      <w:r w:rsidR="008622C0">
        <w:rPr>
          <w:szCs w:val="22"/>
          <w:lang w:val="en-NZ"/>
        </w:rPr>
        <w:t xml:space="preserve">approach </w:t>
      </w:r>
      <w:r w:rsidR="007A6026">
        <w:rPr>
          <w:szCs w:val="22"/>
          <w:lang w:val="en-NZ"/>
        </w:rPr>
        <w:t xml:space="preserve">is </w:t>
      </w:r>
      <w:r w:rsidRPr="0096477A">
        <w:rPr>
          <w:szCs w:val="22"/>
          <w:lang w:val="en-NZ"/>
        </w:rPr>
        <w:t>that a person does not have</w:t>
      </w:r>
      <w:r w:rsidR="00AA66ED" w:rsidRPr="0096477A">
        <w:rPr>
          <w:szCs w:val="22"/>
          <w:lang w:val="en-NZ"/>
        </w:rPr>
        <w:t xml:space="preserve"> personal</w:t>
      </w:r>
      <w:r w:rsidRPr="0096477A">
        <w:rPr>
          <w:szCs w:val="22"/>
          <w:lang w:val="en-NZ"/>
        </w:rPr>
        <w:t xml:space="preserve"> accommodation costs for the portion of the home run as a business, and </w:t>
      </w:r>
      <w:r w:rsidR="008622C0">
        <w:rPr>
          <w:szCs w:val="22"/>
          <w:lang w:val="en-NZ"/>
        </w:rPr>
        <w:t xml:space="preserve">it </w:t>
      </w:r>
      <w:r w:rsidRPr="0096477A">
        <w:rPr>
          <w:szCs w:val="22"/>
          <w:lang w:val="en-NZ"/>
        </w:rPr>
        <w:t>is consistent with the intent of the Social Security Act, which is not to provide support for businesses.</w:t>
      </w:r>
    </w:p>
    <w:p w14:paraId="39386311" w14:textId="2C5E1D2E" w:rsidR="00C74E13" w:rsidRPr="005C1EE1" w:rsidRDefault="00C74E13" w:rsidP="006C05B1">
      <w:pPr>
        <w:pStyle w:val="BodyText-Numbered"/>
        <w:keepNext w:val="0"/>
        <w:numPr>
          <w:ilvl w:val="0"/>
          <w:numId w:val="4"/>
        </w:numPr>
        <w:ind w:left="567" w:hanging="567"/>
        <w:rPr>
          <w:szCs w:val="22"/>
          <w:lang w:val="en-NZ"/>
        </w:rPr>
      </w:pPr>
      <w:r w:rsidRPr="00C62F44">
        <w:rPr>
          <w:b/>
          <w:bCs/>
          <w:szCs w:val="22"/>
          <w:lang w:val="en-NZ"/>
        </w:rPr>
        <w:lastRenderedPageBreak/>
        <w:t xml:space="preserve">Where a person operates a business </w:t>
      </w:r>
      <w:r w:rsidR="00062455">
        <w:rPr>
          <w:b/>
          <w:bCs/>
          <w:szCs w:val="22"/>
          <w:lang w:val="en-NZ"/>
        </w:rPr>
        <w:t>from</w:t>
      </w:r>
      <w:r w:rsidRPr="00C62F44">
        <w:rPr>
          <w:b/>
          <w:bCs/>
          <w:szCs w:val="22"/>
          <w:lang w:val="en-NZ"/>
        </w:rPr>
        <w:t xml:space="preserve"> their home and has boarders in a private (non-business) capacity</w:t>
      </w:r>
      <w:r w:rsidR="00404073">
        <w:rPr>
          <w:b/>
          <w:bCs/>
          <w:szCs w:val="22"/>
          <w:lang w:val="en-NZ"/>
        </w:rPr>
        <w:t>,</w:t>
      </w:r>
      <w:r w:rsidRPr="005C1EE1">
        <w:rPr>
          <w:szCs w:val="22"/>
          <w:lang w:val="en-NZ"/>
        </w:rPr>
        <w:t xml:space="preserve"> their accommodation costs will be calculated as follows: </w:t>
      </w:r>
    </w:p>
    <w:p w14:paraId="433D5DD7" w14:textId="5AC28BA7" w:rsidR="00C74E13" w:rsidRPr="00575659" w:rsidRDefault="00C74E13" w:rsidP="006C05B1">
      <w:pPr>
        <w:pStyle w:val="BodyText-Numbered"/>
        <w:keepNext w:val="0"/>
        <w:numPr>
          <w:ilvl w:val="0"/>
          <w:numId w:val="36"/>
        </w:numPr>
        <w:ind w:left="993" w:hanging="284"/>
        <w:rPr>
          <w:szCs w:val="22"/>
          <w:lang w:val="en-NZ"/>
        </w:rPr>
      </w:pPr>
      <w:r w:rsidRPr="005C1EE1">
        <w:rPr>
          <w:szCs w:val="22"/>
          <w:lang w:val="en-NZ"/>
        </w:rPr>
        <w:t>(</w:t>
      </w:r>
      <w:r w:rsidR="009F75C5">
        <w:rPr>
          <w:szCs w:val="22"/>
          <w:lang w:val="en-NZ"/>
        </w:rPr>
        <w:t>(</w:t>
      </w:r>
      <w:r w:rsidRPr="005C1EE1">
        <w:rPr>
          <w:szCs w:val="22"/>
          <w:lang w:val="en-NZ"/>
        </w:rPr>
        <w:t>Total accommodation costs x percentage of home not used as business) – 62</w:t>
      </w:r>
      <w:r>
        <w:rPr>
          <w:szCs w:val="22"/>
          <w:lang w:val="en-NZ"/>
        </w:rPr>
        <w:t xml:space="preserve"> percent</w:t>
      </w:r>
      <w:r w:rsidRPr="005C1EE1">
        <w:rPr>
          <w:szCs w:val="22"/>
          <w:lang w:val="en-NZ"/>
        </w:rPr>
        <w:t xml:space="preserve"> of any payments received from boarders) = accommodation costs that can </w:t>
      </w:r>
      <w:r w:rsidRPr="00575659">
        <w:rPr>
          <w:szCs w:val="22"/>
          <w:lang w:val="en-NZ"/>
        </w:rPr>
        <w:t>be claimed for the AS.</w:t>
      </w:r>
    </w:p>
    <w:p w14:paraId="2445D2B4" w14:textId="162F811D" w:rsidR="00C74E13" w:rsidRPr="00575659" w:rsidRDefault="00D43BE3" w:rsidP="006C05B1">
      <w:pPr>
        <w:pStyle w:val="BodyText-Numbered"/>
        <w:keepNext w:val="0"/>
        <w:numPr>
          <w:ilvl w:val="0"/>
          <w:numId w:val="4"/>
        </w:numPr>
        <w:ind w:left="567" w:hanging="567"/>
        <w:rPr>
          <w:szCs w:val="22"/>
          <w:lang w:val="en-NZ"/>
        </w:rPr>
      </w:pPr>
      <w:r>
        <w:rPr>
          <w:bCs/>
          <w:szCs w:val="22"/>
        </w:rPr>
        <w:t xml:space="preserve">To enable implementation of </w:t>
      </w:r>
      <w:r w:rsidR="005C4FBE">
        <w:rPr>
          <w:bCs/>
          <w:szCs w:val="22"/>
        </w:rPr>
        <w:t>these</w:t>
      </w:r>
      <w:r>
        <w:rPr>
          <w:bCs/>
          <w:szCs w:val="22"/>
        </w:rPr>
        <w:t xml:space="preserve"> policy changes</w:t>
      </w:r>
      <w:r w:rsidR="005C4FBE">
        <w:rPr>
          <w:bCs/>
          <w:szCs w:val="22"/>
        </w:rPr>
        <w:t xml:space="preserve">, </w:t>
      </w:r>
      <w:r w:rsidR="00066885">
        <w:rPr>
          <w:bCs/>
          <w:szCs w:val="22"/>
        </w:rPr>
        <w:t>a technical amendment is required, relating</w:t>
      </w:r>
      <w:r>
        <w:rPr>
          <w:bCs/>
          <w:szCs w:val="22"/>
        </w:rPr>
        <w:t xml:space="preserve"> to the definition of ‘premises’ under the Social Security Act. </w:t>
      </w:r>
      <w:r w:rsidR="00066885">
        <w:rPr>
          <w:bCs/>
          <w:szCs w:val="22"/>
        </w:rPr>
        <w:t>T</w:t>
      </w:r>
      <w:r w:rsidR="00C5382D">
        <w:rPr>
          <w:bCs/>
          <w:szCs w:val="22"/>
        </w:rPr>
        <w:t>he</w:t>
      </w:r>
      <w:r w:rsidR="008F275B">
        <w:rPr>
          <w:bCs/>
          <w:szCs w:val="22"/>
        </w:rPr>
        <w:t xml:space="preserve"> Minister of Social Development and Employment’s</w:t>
      </w:r>
      <w:r w:rsidR="000F1562">
        <w:rPr>
          <w:bCs/>
          <w:szCs w:val="22"/>
        </w:rPr>
        <w:t xml:space="preserve"> </w:t>
      </w:r>
      <w:r w:rsidR="00C74E13" w:rsidRPr="00575659">
        <w:rPr>
          <w:bCs/>
          <w:szCs w:val="22"/>
        </w:rPr>
        <w:t xml:space="preserve">agreement will be sought in </w:t>
      </w:r>
      <w:r w:rsidR="00C74E13">
        <w:rPr>
          <w:bCs/>
          <w:szCs w:val="22"/>
        </w:rPr>
        <w:t>May</w:t>
      </w:r>
      <w:r w:rsidR="00C74E13" w:rsidRPr="00575659">
        <w:rPr>
          <w:bCs/>
          <w:szCs w:val="22"/>
        </w:rPr>
        <w:t xml:space="preserve"> 2025 to move the definition of </w:t>
      </w:r>
      <w:r w:rsidR="00C74E13" w:rsidRPr="00575659">
        <w:rPr>
          <w:szCs w:val="22"/>
          <w:lang w:val="en-NZ"/>
        </w:rPr>
        <w:t xml:space="preserve">‘premises’ </w:t>
      </w:r>
      <w:r w:rsidR="00066885">
        <w:rPr>
          <w:szCs w:val="22"/>
          <w:lang w:val="en-NZ"/>
        </w:rPr>
        <w:t>from section 66 of the Act, to ensure it applies to other relevant sections</w:t>
      </w:r>
      <w:r w:rsidR="00066885">
        <w:rPr>
          <w:bCs/>
          <w:szCs w:val="22"/>
        </w:rPr>
        <w:t xml:space="preserve"> </w:t>
      </w:r>
      <w:r w:rsidR="00C74E13" w:rsidRPr="00575659">
        <w:rPr>
          <w:bCs/>
          <w:szCs w:val="22"/>
        </w:rPr>
        <w:t xml:space="preserve">of the Act. This will allow a person’s accommodation costs to be limited to the portion of the premises that they occupy as a home. </w:t>
      </w:r>
    </w:p>
    <w:p w14:paraId="25B115D0" w14:textId="509DD1F1" w:rsidR="00C74E13" w:rsidRDefault="00C74E13" w:rsidP="006C05B1">
      <w:pPr>
        <w:pStyle w:val="BodyText-Numbered"/>
        <w:keepNext w:val="0"/>
        <w:numPr>
          <w:ilvl w:val="0"/>
          <w:numId w:val="4"/>
        </w:numPr>
        <w:ind w:left="567" w:hanging="567"/>
        <w:rPr>
          <w:lang w:val="en-NZ"/>
        </w:rPr>
      </w:pPr>
      <w:r w:rsidRPr="00FC42F8">
        <w:rPr>
          <w:lang w:val="en-NZ"/>
        </w:rPr>
        <w:t xml:space="preserve">This </w:t>
      </w:r>
      <w:r w:rsidR="00FD55E7">
        <w:rPr>
          <w:lang w:val="en-NZ"/>
        </w:rPr>
        <w:t>approach</w:t>
      </w:r>
      <w:r w:rsidR="00FD55E7" w:rsidRPr="00FC42F8">
        <w:rPr>
          <w:lang w:val="en-NZ"/>
        </w:rPr>
        <w:t xml:space="preserve"> </w:t>
      </w:r>
      <w:r w:rsidRPr="00FC42F8">
        <w:rPr>
          <w:lang w:val="en-NZ"/>
        </w:rPr>
        <w:t xml:space="preserve">will ensure </w:t>
      </w:r>
      <w:r>
        <w:rPr>
          <w:lang w:val="en-NZ"/>
        </w:rPr>
        <w:t xml:space="preserve">that </w:t>
      </w:r>
      <w:r w:rsidR="006449D4">
        <w:rPr>
          <w:lang w:val="en-NZ"/>
        </w:rPr>
        <w:t>people using their home to operate a business</w:t>
      </w:r>
      <w:r>
        <w:rPr>
          <w:lang w:val="en-NZ"/>
        </w:rPr>
        <w:t xml:space="preserve"> are treated equitably when calculating housing </w:t>
      </w:r>
      <w:r w:rsidRPr="005C7446">
        <w:rPr>
          <w:szCs w:val="22"/>
        </w:rPr>
        <w:t>subsidies</w:t>
      </w:r>
      <w:r>
        <w:rPr>
          <w:lang w:val="en-NZ"/>
        </w:rPr>
        <w:t xml:space="preserve"> and other MSD assistance, by ensuring it is clear how to treat a person with boarders who is running a business. This will ensure the treatment of </w:t>
      </w:r>
      <w:r w:rsidR="00307D51" w:rsidRPr="00307D51">
        <w:rPr>
          <w:lang w:val="en-NZ"/>
        </w:rPr>
        <w:t xml:space="preserve">people using their home to operate a business </w:t>
      </w:r>
      <w:r>
        <w:rPr>
          <w:lang w:val="en-NZ"/>
        </w:rPr>
        <w:t>is consistent across MSD support.</w:t>
      </w:r>
    </w:p>
    <w:p w14:paraId="3926F32F" w14:textId="334E20C6" w:rsidR="008145BD" w:rsidRPr="00642E7E" w:rsidRDefault="008145BD" w:rsidP="006C05B1">
      <w:pPr>
        <w:pStyle w:val="Heading4"/>
        <w:rPr>
          <w:b w:val="0"/>
          <w:color w:val="0082AB"/>
          <w:spacing w:val="20"/>
          <w:w w:val="90"/>
        </w:rPr>
      </w:pPr>
      <w:r w:rsidRPr="00642E7E">
        <w:rPr>
          <w:w w:val="90"/>
        </w:rPr>
        <w:t>Confirming the rate of AS and IRR when there is a mismatch between information provided about the rate of board or rent paid and the rate of board or rent received</w:t>
      </w:r>
    </w:p>
    <w:p w14:paraId="4FDC489B" w14:textId="46A444E0" w:rsidR="008145BD" w:rsidRPr="00285DD3" w:rsidRDefault="008145BD" w:rsidP="006C05B1">
      <w:pPr>
        <w:pStyle w:val="BodyText-Numbered"/>
        <w:keepNext w:val="0"/>
        <w:numPr>
          <w:ilvl w:val="0"/>
          <w:numId w:val="4"/>
        </w:numPr>
        <w:ind w:left="567" w:hanging="567"/>
        <w:rPr>
          <w:bCs/>
        </w:rPr>
      </w:pPr>
      <w:r w:rsidRPr="00285DD3">
        <w:rPr>
          <w:bCs/>
        </w:rPr>
        <w:t xml:space="preserve">MSD will link a household in its system to ensure the rate of board or rent received from the boarder/renter matches the information provided by the person receiving the board/rent payment. When this information does not match, MSD will resolve this mismatch through </w:t>
      </w:r>
      <w:r w:rsidR="00A601BD">
        <w:rPr>
          <w:bCs/>
        </w:rPr>
        <w:t>a three-step process</w:t>
      </w:r>
      <w:r w:rsidR="008A4C5E">
        <w:rPr>
          <w:bCs/>
        </w:rPr>
        <w:t xml:space="preserve"> (</w:t>
      </w:r>
      <w:r w:rsidR="00483CDA">
        <w:rPr>
          <w:bCs/>
        </w:rPr>
        <w:t xml:space="preserve">the detailed process is </w:t>
      </w:r>
      <w:r w:rsidR="00723F97">
        <w:rPr>
          <w:bCs/>
        </w:rPr>
        <w:t xml:space="preserve">in </w:t>
      </w:r>
      <w:r w:rsidR="00681C1E" w:rsidRPr="00776538">
        <w:rPr>
          <w:b/>
        </w:rPr>
        <w:t xml:space="preserve">Annex </w:t>
      </w:r>
      <w:r w:rsidR="0098382B">
        <w:rPr>
          <w:b/>
        </w:rPr>
        <w:t>3</w:t>
      </w:r>
      <w:r w:rsidR="008A4C5E">
        <w:rPr>
          <w:bCs/>
        </w:rPr>
        <w:t>)</w:t>
      </w:r>
      <w:r w:rsidR="00A601BD">
        <w:rPr>
          <w:bCs/>
        </w:rPr>
        <w:t xml:space="preserve">. </w:t>
      </w:r>
    </w:p>
    <w:p w14:paraId="5A2840CD" w14:textId="6901B5EF" w:rsidR="00812F09" w:rsidRPr="00776538" w:rsidRDefault="00FC7F72" w:rsidP="006C05B1">
      <w:pPr>
        <w:pStyle w:val="BodyText-Numbered"/>
        <w:keepNext w:val="0"/>
        <w:numPr>
          <w:ilvl w:val="0"/>
          <w:numId w:val="4"/>
        </w:numPr>
        <w:ind w:left="567" w:hanging="567"/>
        <w:rPr>
          <w:szCs w:val="22"/>
          <w:lang w:val="en-NZ"/>
        </w:rPr>
      </w:pPr>
      <w:r w:rsidRPr="00BE2FAC">
        <w:rPr>
          <w:bCs/>
        </w:rPr>
        <w:t xml:space="preserve">Step one involves attempting to resolve the mismatch, and if this fails, </w:t>
      </w:r>
      <w:r w:rsidR="00A11542" w:rsidRPr="00BE2FAC">
        <w:rPr>
          <w:bCs/>
        </w:rPr>
        <w:t xml:space="preserve">the process </w:t>
      </w:r>
      <w:r w:rsidR="008B718C" w:rsidRPr="00BE2FAC">
        <w:rPr>
          <w:bCs/>
        </w:rPr>
        <w:t>enters</w:t>
      </w:r>
      <w:r w:rsidRPr="00BE2FAC">
        <w:rPr>
          <w:bCs/>
        </w:rPr>
        <w:t xml:space="preserve"> step two</w:t>
      </w:r>
      <w:r w:rsidR="00A11542" w:rsidRPr="00BE2FAC">
        <w:rPr>
          <w:bCs/>
        </w:rPr>
        <w:t xml:space="preserve">. </w:t>
      </w:r>
      <w:r w:rsidR="004717D7" w:rsidRPr="00BE2FAC">
        <w:rPr>
          <w:bCs/>
        </w:rPr>
        <w:t>At step two, both clients’ AS payments</w:t>
      </w:r>
      <w:r w:rsidR="00585183">
        <w:rPr>
          <w:rStyle w:val="FootnoteReference"/>
          <w:bCs/>
        </w:rPr>
        <w:footnoteReference w:id="16"/>
      </w:r>
      <w:r w:rsidR="004717D7" w:rsidRPr="00BE2FAC">
        <w:rPr>
          <w:bCs/>
        </w:rPr>
        <w:t xml:space="preserve"> are suspended </w:t>
      </w:r>
      <w:r w:rsidR="009A7947" w:rsidRPr="00BE2FAC">
        <w:rPr>
          <w:bCs/>
        </w:rPr>
        <w:t xml:space="preserve">if </w:t>
      </w:r>
      <w:r w:rsidR="00AC1D3B" w:rsidRPr="00BE2FAC">
        <w:rPr>
          <w:bCs/>
        </w:rPr>
        <w:t>the requested information is not provided</w:t>
      </w:r>
      <w:r w:rsidR="00B56D56" w:rsidRPr="00BE2FAC">
        <w:rPr>
          <w:bCs/>
        </w:rPr>
        <w:t xml:space="preserve"> or </w:t>
      </w:r>
      <w:r w:rsidR="00AC1D3B" w:rsidRPr="00BE2FAC">
        <w:rPr>
          <w:bCs/>
        </w:rPr>
        <w:t>continues to be inconsistent after a period of 10 working days</w:t>
      </w:r>
      <w:r w:rsidR="00BE2FAC" w:rsidRPr="00BE2FAC">
        <w:rPr>
          <w:bCs/>
        </w:rPr>
        <w:t xml:space="preserve"> from notification</w:t>
      </w:r>
      <w:r w:rsidR="00AC1D3B" w:rsidRPr="00BE2FAC">
        <w:rPr>
          <w:bCs/>
        </w:rPr>
        <w:t>.</w:t>
      </w:r>
      <w:r w:rsidR="004E0E76">
        <w:rPr>
          <w:rStyle w:val="FootnoteReference"/>
          <w:bCs/>
        </w:rPr>
        <w:footnoteReference w:id="17"/>
      </w:r>
      <w:r w:rsidR="00AC1D3B" w:rsidRPr="00812F09">
        <w:rPr>
          <w:vertAlign w:val="superscript"/>
        </w:rPr>
        <w:t xml:space="preserve"> </w:t>
      </w:r>
      <w:r w:rsidR="00492AE9" w:rsidRPr="00BE2FAC">
        <w:rPr>
          <w:bCs/>
        </w:rPr>
        <w:t xml:space="preserve">At step three, a client’s AS will </w:t>
      </w:r>
      <w:r w:rsidR="00BC0518" w:rsidRPr="00BE2FAC">
        <w:rPr>
          <w:bCs/>
        </w:rPr>
        <w:t xml:space="preserve">be </w:t>
      </w:r>
      <w:r w:rsidR="008135BA" w:rsidRPr="00BE2FAC">
        <w:rPr>
          <w:bCs/>
        </w:rPr>
        <w:t xml:space="preserve">automatically </w:t>
      </w:r>
      <w:r w:rsidR="00BC0518" w:rsidRPr="00BE2FAC">
        <w:rPr>
          <w:bCs/>
        </w:rPr>
        <w:t xml:space="preserve">cancelled </w:t>
      </w:r>
      <w:r w:rsidR="00BE2FAC" w:rsidRPr="00BE2FAC">
        <w:rPr>
          <w:bCs/>
        </w:rPr>
        <w:t xml:space="preserve">if </w:t>
      </w:r>
      <w:r w:rsidR="00512FF1">
        <w:rPr>
          <w:bCs/>
        </w:rPr>
        <w:t>the mismatch cannot be</w:t>
      </w:r>
      <w:r w:rsidR="00BE2FAC" w:rsidRPr="00BE2FAC">
        <w:rPr>
          <w:bCs/>
        </w:rPr>
        <w:t xml:space="preserve"> resolved </w:t>
      </w:r>
      <w:r w:rsidR="00BC0518" w:rsidRPr="00BE2FAC">
        <w:rPr>
          <w:bCs/>
        </w:rPr>
        <w:t>after an eight-week period of suspension</w:t>
      </w:r>
      <w:r w:rsidR="00B1418D" w:rsidRPr="00BE2FAC">
        <w:rPr>
          <w:bCs/>
        </w:rPr>
        <w:t>, and each client would need to reapply for AS</w:t>
      </w:r>
      <w:r w:rsidR="00BE2FAC" w:rsidRPr="00BE2FAC">
        <w:rPr>
          <w:bCs/>
        </w:rPr>
        <w:t xml:space="preserve"> (</w:t>
      </w:r>
      <w:r w:rsidR="008135BA" w:rsidRPr="00BE2FAC">
        <w:rPr>
          <w:bCs/>
        </w:rPr>
        <w:t xml:space="preserve">or </w:t>
      </w:r>
      <w:r w:rsidR="00B56D56" w:rsidRPr="00BE2FAC">
        <w:rPr>
          <w:bCs/>
        </w:rPr>
        <w:t>in the case of a social housing tenant</w:t>
      </w:r>
      <w:r w:rsidR="0033105C" w:rsidRPr="00BE2FAC">
        <w:rPr>
          <w:bCs/>
        </w:rPr>
        <w:t xml:space="preserve">, </w:t>
      </w:r>
      <w:r w:rsidR="00970AB1" w:rsidRPr="00BE2FAC">
        <w:rPr>
          <w:bCs/>
        </w:rPr>
        <w:t>have their rent payment reassessed if they</w:t>
      </w:r>
      <w:r w:rsidR="00835D80" w:rsidRPr="00BE2FAC">
        <w:rPr>
          <w:bCs/>
        </w:rPr>
        <w:t xml:space="preserve"> </w:t>
      </w:r>
      <w:r w:rsidR="0033105C" w:rsidRPr="00BE2FAC">
        <w:rPr>
          <w:bCs/>
        </w:rPr>
        <w:t xml:space="preserve">have </w:t>
      </w:r>
      <w:r w:rsidR="000D3EB6" w:rsidRPr="00BE2FAC">
        <w:rPr>
          <w:bCs/>
        </w:rPr>
        <w:t>been moved to market rent</w:t>
      </w:r>
      <w:r w:rsidR="00BE2FAC" w:rsidRPr="00BE2FAC">
        <w:rPr>
          <w:bCs/>
        </w:rPr>
        <w:t>)</w:t>
      </w:r>
      <w:r w:rsidR="000D3EB6" w:rsidRPr="00BE2FAC">
        <w:rPr>
          <w:bCs/>
        </w:rPr>
        <w:t>.</w:t>
      </w:r>
      <w:r w:rsidR="00B56D56" w:rsidRPr="00812F09">
        <w:rPr>
          <w:vertAlign w:val="superscript"/>
        </w:rPr>
        <w:footnoteReference w:id="18"/>
      </w:r>
      <w:r w:rsidR="000D3EB6" w:rsidRPr="00812F09">
        <w:rPr>
          <w:vertAlign w:val="superscript"/>
        </w:rPr>
        <w:t xml:space="preserve"> </w:t>
      </w:r>
      <w:r w:rsidR="00970AB1" w:rsidRPr="00BE2FAC">
        <w:rPr>
          <w:bCs/>
        </w:rPr>
        <w:t xml:space="preserve"> </w:t>
      </w:r>
    </w:p>
    <w:p w14:paraId="64EFC9CC" w14:textId="3523823A" w:rsidR="008145BD" w:rsidRPr="00285DD3" w:rsidRDefault="008145BD" w:rsidP="006C05B1">
      <w:pPr>
        <w:pStyle w:val="BodyText-Numbered"/>
        <w:keepNext w:val="0"/>
        <w:numPr>
          <w:ilvl w:val="0"/>
          <w:numId w:val="4"/>
        </w:numPr>
        <w:ind w:left="567" w:hanging="567"/>
        <w:rPr>
          <w:szCs w:val="22"/>
          <w:lang w:val="en-NZ"/>
        </w:rPr>
      </w:pPr>
      <w:r w:rsidRPr="00285DD3">
        <w:rPr>
          <w:rFonts w:cs="Times New Roman"/>
          <w:bCs/>
          <w:szCs w:val="22"/>
        </w:rPr>
        <w:t xml:space="preserve">This approach aligns with current processes for when MSD cannot verify a client’s rate of payment. </w:t>
      </w:r>
      <w:r w:rsidR="00DD097A" w:rsidRPr="00DD097A">
        <w:rPr>
          <w:rFonts w:cs="Times New Roman"/>
          <w:bCs/>
          <w:szCs w:val="22"/>
        </w:rPr>
        <w:t xml:space="preserve">It would be inappropriate for MSD to </w:t>
      </w:r>
      <w:r w:rsidRPr="00285DD3">
        <w:rPr>
          <w:rFonts w:cs="Times New Roman"/>
          <w:bCs/>
          <w:szCs w:val="22"/>
        </w:rPr>
        <w:t xml:space="preserve">knowingly pay a client an incorrect rate of </w:t>
      </w:r>
      <w:r w:rsidR="00B47BEE">
        <w:rPr>
          <w:rFonts w:cs="Times New Roman"/>
          <w:bCs/>
          <w:szCs w:val="22"/>
        </w:rPr>
        <w:t>housing subsidy</w:t>
      </w:r>
      <w:r w:rsidR="00B47BEE" w:rsidRPr="00285DD3">
        <w:rPr>
          <w:rFonts w:cs="Times New Roman"/>
          <w:bCs/>
          <w:szCs w:val="22"/>
        </w:rPr>
        <w:t xml:space="preserve"> </w:t>
      </w:r>
      <w:r w:rsidRPr="00285DD3">
        <w:rPr>
          <w:rFonts w:cs="Times New Roman"/>
          <w:bCs/>
          <w:szCs w:val="22"/>
        </w:rPr>
        <w:t xml:space="preserve">(which would not be consistent with </w:t>
      </w:r>
      <w:r w:rsidR="00C35EBE">
        <w:rPr>
          <w:rFonts w:cs="Times New Roman"/>
          <w:bCs/>
          <w:szCs w:val="22"/>
        </w:rPr>
        <w:t xml:space="preserve">the </w:t>
      </w:r>
      <w:r w:rsidR="006C7B69">
        <w:rPr>
          <w:rFonts w:cs="Times New Roman"/>
          <w:bCs/>
          <w:szCs w:val="22"/>
        </w:rPr>
        <w:t xml:space="preserve">policy </w:t>
      </w:r>
      <w:r w:rsidR="00C35EBE">
        <w:rPr>
          <w:rFonts w:cs="Times New Roman"/>
          <w:bCs/>
          <w:szCs w:val="22"/>
        </w:rPr>
        <w:t>intent</w:t>
      </w:r>
      <w:r w:rsidRPr="00285DD3">
        <w:rPr>
          <w:rFonts w:cs="Times New Roman"/>
          <w:bCs/>
          <w:szCs w:val="22"/>
        </w:rPr>
        <w:t>).</w:t>
      </w:r>
    </w:p>
    <w:p w14:paraId="5E1D839B" w14:textId="00280008" w:rsidR="008145BD" w:rsidRDefault="008145BD" w:rsidP="006C05B1">
      <w:pPr>
        <w:pStyle w:val="BodyText-Numbered"/>
        <w:keepNext w:val="0"/>
        <w:numPr>
          <w:ilvl w:val="0"/>
          <w:numId w:val="4"/>
        </w:numPr>
        <w:ind w:left="567" w:hanging="567"/>
        <w:rPr>
          <w:szCs w:val="22"/>
          <w:lang w:val="en-NZ"/>
        </w:rPr>
      </w:pPr>
      <w:r>
        <w:rPr>
          <w:szCs w:val="22"/>
          <w:lang w:val="en-NZ"/>
        </w:rPr>
        <w:t>The agreed</w:t>
      </w:r>
      <w:r w:rsidRPr="00285DD3">
        <w:rPr>
          <w:szCs w:val="22"/>
          <w:lang w:val="en-NZ"/>
        </w:rPr>
        <w:t xml:space="preserve"> approach will prevent double subsidisation of the same housing costs and will incentivise clients to provide MSD with correct information, which is required to accurately determine the correct rate of </w:t>
      </w:r>
      <w:r w:rsidR="000C0269">
        <w:rPr>
          <w:szCs w:val="22"/>
          <w:lang w:val="en-NZ"/>
        </w:rPr>
        <w:t xml:space="preserve">a </w:t>
      </w:r>
      <w:r w:rsidR="00F96A2E">
        <w:rPr>
          <w:szCs w:val="22"/>
          <w:lang w:val="en-NZ"/>
        </w:rPr>
        <w:t xml:space="preserve">housing </w:t>
      </w:r>
      <w:r w:rsidR="00935558">
        <w:rPr>
          <w:szCs w:val="22"/>
          <w:lang w:val="en-NZ"/>
        </w:rPr>
        <w:t xml:space="preserve">subsidy </w:t>
      </w:r>
      <w:r w:rsidR="00F96A2E">
        <w:rPr>
          <w:szCs w:val="22"/>
          <w:lang w:val="en-NZ"/>
        </w:rPr>
        <w:t>payment</w:t>
      </w:r>
      <w:r w:rsidR="00F711A9">
        <w:rPr>
          <w:szCs w:val="22"/>
          <w:lang w:val="en-NZ"/>
        </w:rPr>
        <w:t xml:space="preserve"> or </w:t>
      </w:r>
      <w:r w:rsidRPr="00285DD3">
        <w:rPr>
          <w:szCs w:val="22"/>
          <w:lang w:val="en-NZ"/>
        </w:rPr>
        <w:t>IRR.</w:t>
      </w:r>
    </w:p>
    <w:p w14:paraId="19C2C8A5" w14:textId="77777777" w:rsidR="00936D12" w:rsidRDefault="00936D12" w:rsidP="006C05B1">
      <w:pPr>
        <w:pStyle w:val="Heading3"/>
        <w:keepNext w:val="0"/>
      </w:pPr>
      <w:bookmarkStart w:id="44" w:name="_Toc196390902"/>
      <w:r>
        <w:t>The impacts of the policy changes</w:t>
      </w:r>
      <w:bookmarkEnd w:id="44"/>
    </w:p>
    <w:p w14:paraId="60982740" w14:textId="2AD28439" w:rsidR="00936D12" w:rsidRDefault="00936D12" w:rsidP="006C05B1">
      <w:pPr>
        <w:pStyle w:val="BodyText-Numbered"/>
        <w:keepNext w:val="0"/>
        <w:numPr>
          <w:ilvl w:val="0"/>
          <w:numId w:val="4"/>
        </w:numPr>
        <w:ind w:left="567" w:hanging="567"/>
        <w:rPr>
          <w:szCs w:val="22"/>
          <w:lang w:val="en-NZ"/>
        </w:rPr>
      </w:pPr>
      <w:r>
        <w:rPr>
          <w:szCs w:val="22"/>
          <w:lang w:val="en-NZ"/>
        </w:rPr>
        <w:t xml:space="preserve">The following sections present an overview of the impacts of the policy changes, as well as the </w:t>
      </w:r>
      <w:r w:rsidR="0046568B">
        <w:rPr>
          <w:szCs w:val="22"/>
          <w:lang w:val="en-NZ"/>
        </w:rPr>
        <w:t xml:space="preserve">limited </w:t>
      </w:r>
      <w:r>
        <w:rPr>
          <w:szCs w:val="22"/>
          <w:lang w:val="en-NZ"/>
        </w:rPr>
        <w:t>engagement that was undertaken. This includes:</w:t>
      </w:r>
    </w:p>
    <w:p w14:paraId="48269CC3" w14:textId="77777777" w:rsidR="00936D12" w:rsidRDefault="00936D12" w:rsidP="006C05B1">
      <w:pPr>
        <w:pStyle w:val="BodyText-Numbered"/>
        <w:keepNext w:val="0"/>
        <w:numPr>
          <w:ilvl w:val="1"/>
          <w:numId w:val="4"/>
        </w:numPr>
        <w:ind w:left="1134" w:hanging="425"/>
        <w:rPr>
          <w:szCs w:val="22"/>
          <w:lang w:val="en-NZ"/>
        </w:rPr>
      </w:pPr>
      <w:r>
        <w:rPr>
          <w:szCs w:val="22"/>
          <w:lang w:val="en-NZ"/>
        </w:rPr>
        <w:t>risks that have been identified</w:t>
      </w:r>
    </w:p>
    <w:p w14:paraId="0C58CEDE" w14:textId="77777777" w:rsidR="00936D12" w:rsidRDefault="00936D12" w:rsidP="006C05B1">
      <w:pPr>
        <w:pStyle w:val="BodyText-Numbered"/>
        <w:keepNext w:val="0"/>
        <w:numPr>
          <w:ilvl w:val="1"/>
          <w:numId w:val="4"/>
        </w:numPr>
        <w:ind w:left="1134" w:hanging="425"/>
        <w:rPr>
          <w:szCs w:val="22"/>
          <w:lang w:val="en-NZ"/>
        </w:rPr>
      </w:pPr>
      <w:r w:rsidRPr="007C283B">
        <w:rPr>
          <w:szCs w:val="22"/>
          <w:lang w:val="en-NZ"/>
        </w:rPr>
        <w:t>financial impacts of the policy changes</w:t>
      </w:r>
    </w:p>
    <w:p w14:paraId="4604CEF3" w14:textId="77777777" w:rsidR="00936D12" w:rsidRDefault="00936D12" w:rsidP="006C05B1">
      <w:pPr>
        <w:pStyle w:val="BodyText-Numbered"/>
        <w:keepNext w:val="0"/>
        <w:numPr>
          <w:ilvl w:val="1"/>
          <w:numId w:val="4"/>
        </w:numPr>
        <w:ind w:left="1134" w:hanging="425"/>
        <w:rPr>
          <w:szCs w:val="22"/>
          <w:lang w:val="en-NZ"/>
        </w:rPr>
      </w:pPr>
      <w:r>
        <w:rPr>
          <w:szCs w:val="22"/>
          <w:lang w:val="en-NZ"/>
        </w:rPr>
        <w:t>distributional impacts</w:t>
      </w:r>
    </w:p>
    <w:p w14:paraId="418411E0" w14:textId="77777777" w:rsidR="00936D12" w:rsidRDefault="00936D12" w:rsidP="006C05B1">
      <w:pPr>
        <w:pStyle w:val="BodyText-Numbered"/>
        <w:keepNext w:val="0"/>
        <w:numPr>
          <w:ilvl w:val="1"/>
          <w:numId w:val="4"/>
        </w:numPr>
        <w:ind w:left="1134" w:hanging="425"/>
        <w:rPr>
          <w:szCs w:val="22"/>
          <w:lang w:val="en-NZ"/>
        </w:rPr>
      </w:pPr>
      <w:r>
        <w:rPr>
          <w:szCs w:val="22"/>
          <w:lang w:val="en-NZ"/>
        </w:rPr>
        <w:lastRenderedPageBreak/>
        <w:t>forecasted savings</w:t>
      </w:r>
    </w:p>
    <w:p w14:paraId="02AE90CD" w14:textId="77777777" w:rsidR="00936D12" w:rsidRDefault="00936D12" w:rsidP="006C05B1">
      <w:pPr>
        <w:pStyle w:val="BodyText-Numbered"/>
        <w:keepNext w:val="0"/>
        <w:numPr>
          <w:ilvl w:val="1"/>
          <w:numId w:val="4"/>
        </w:numPr>
        <w:ind w:left="1134" w:hanging="425"/>
        <w:rPr>
          <w:szCs w:val="22"/>
          <w:lang w:val="en-NZ"/>
        </w:rPr>
      </w:pPr>
      <w:r w:rsidRPr="004A283C">
        <w:rPr>
          <w:szCs w:val="22"/>
          <w:lang w:val="en-NZ"/>
        </w:rPr>
        <w:t>implications for consistency with the Government’s Treaty of Waitangi obligations</w:t>
      </w:r>
    </w:p>
    <w:p w14:paraId="7DF5B474" w14:textId="77777777" w:rsidR="00936D12" w:rsidRDefault="00936D12" w:rsidP="006C05B1">
      <w:pPr>
        <w:pStyle w:val="BodyText-Numbered"/>
        <w:keepNext w:val="0"/>
        <w:numPr>
          <w:ilvl w:val="1"/>
          <w:numId w:val="4"/>
        </w:numPr>
        <w:ind w:left="1134" w:hanging="425"/>
        <w:rPr>
          <w:szCs w:val="22"/>
          <w:lang w:val="en-NZ"/>
        </w:rPr>
      </w:pPr>
      <w:r>
        <w:rPr>
          <w:szCs w:val="22"/>
          <w:lang w:val="en-NZ"/>
        </w:rPr>
        <w:t>stakeholder feedback</w:t>
      </w:r>
      <w:r w:rsidDel="00E013B0">
        <w:rPr>
          <w:szCs w:val="22"/>
          <w:lang w:val="en-NZ"/>
        </w:rPr>
        <w:t xml:space="preserve"> </w:t>
      </w:r>
    </w:p>
    <w:p w14:paraId="5618B7E2" w14:textId="6A2F34AC" w:rsidR="00936D12" w:rsidRPr="00073924" w:rsidRDefault="00936D12" w:rsidP="006C05B1">
      <w:pPr>
        <w:pStyle w:val="BodyText-Numbered"/>
        <w:keepNext w:val="0"/>
        <w:numPr>
          <w:ilvl w:val="1"/>
          <w:numId w:val="4"/>
        </w:numPr>
        <w:ind w:left="1134" w:hanging="425"/>
        <w:rPr>
          <w:szCs w:val="22"/>
          <w:lang w:val="en-NZ"/>
        </w:rPr>
      </w:pPr>
      <w:r w:rsidRPr="00073924">
        <w:rPr>
          <w:szCs w:val="22"/>
          <w:lang w:val="en-NZ"/>
        </w:rPr>
        <w:t>marginal costs and benefits of the policy changes.</w:t>
      </w:r>
    </w:p>
    <w:p w14:paraId="0D533FAF" w14:textId="77777777" w:rsidR="00936D12" w:rsidRDefault="00936D12" w:rsidP="006C05B1">
      <w:pPr>
        <w:pStyle w:val="Heading3"/>
        <w:keepNext w:val="0"/>
      </w:pPr>
      <w:bookmarkStart w:id="45" w:name="_Toc196390903"/>
      <w:r>
        <w:t>Risks of unintended consequences</w:t>
      </w:r>
      <w:bookmarkStart w:id="46" w:name="_Hlk191459120"/>
      <w:bookmarkEnd w:id="45"/>
    </w:p>
    <w:bookmarkEnd w:id="46"/>
    <w:p w14:paraId="4DBEC33D" w14:textId="77777777" w:rsidR="00936D12" w:rsidRPr="00716106" w:rsidRDefault="00936D12" w:rsidP="006C05B1">
      <w:pPr>
        <w:spacing w:before="60" w:line="240" w:lineRule="auto"/>
        <w:rPr>
          <w:b/>
          <w:bCs/>
          <w:i/>
          <w:iCs/>
        </w:rPr>
      </w:pPr>
      <w:r>
        <w:rPr>
          <w:b/>
          <w:bCs/>
          <w:i/>
          <w:iCs/>
        </w:rPr>
        <w:t>Risks</w:t>
      </w:r>
      <w:r w:rsidRPr="00716106">
        <w:rPr>
          <w:b/>
          <w:bCs/>
          <w:i/>
          <w:iCs/>
        </w:rPr>
        <w:t xml:space="preserve"> </w:t>
      </w:r>
      <w:r>
        <w:rPr>
          <w:b/>
          <w:bCs/>
          <w:i/>
          <w:iCs/>
        </w:rPr>
        <w:t>include the potential for reduced utilisation of social housing, increased hardship, reduced savings realised, and negative public perception</w:t>
      </w:r>
    </w:p>
    <w:p w14:paraId="2A54CA83" w14:textId="226CB817" w:rsidR="00936D12" w:rsidRPr="00894773" w:rsidRDefault="00936D12" w:rsidP="006C05B1">
      <w:pPr>
        <w:pStyle w:val="BodyText-Numbered"/>
        <w:keepNext w:val="0"/>
        <w:numPr>
          <w:ilvl w:val="0"/>
          <w:numId w:val="4"/>
        </w:numPr>
        <w:ind w:left="567" w:hanging="567"/>
        <w:rPr>
          <w:lang w:val="en-NZ"/>
        </w:rPr>
      </w:pPr>
      <w:bookmarkStart w:id="47" w:name="_Hlk192064572"/>
      <w:r>
        <w:rPr>
          <w:lang w:val="en-NZ"/>
        </w:rPr>
        <w:t>M</w:t>
      </w:r>
      <w:r w:rsidRPr="00894773">
        <w:rPr>
          <w:lang w:val="en-NZ"/>
        </w:rPr>
        <w:t xml:space="preserve">odification of the IRR calculation </w:t>
      </w:r>
      <w:r w:rsidR="0046568B">
        <w:rPr>
          <w:lang w:val="en-NZ"/>
        </w:rPr>
        <w:t>will</w:t>
      </w:r>
      <w:r w:rsidR="0046568B" w:rsidRPr="00894773">
        <w:rPr>
          <w:lang w:val="en-NZ"/>
        </w:rPr>
        <w:t xml:space="preserve"> </w:t>
      </w:r>
      <w:r w:rsidRPr="00894773">
        <w:rPr>
          <w:lang w:val="en-NZ"/>
        </w:rPr>
        <w:t xml:space="preserve">result in an increase </w:t>
      </w:r>
      <w:r>
        <w:rPr>
          <w:lang w:val="en-NZ"/>
        </w:rPr>
        <w:t>in</w:t>
      </w:r>
      <w:r w:rsidRPr="00894773">
        <w:rPr>
          <w:lang w:val="en-NZ"/>
        </w:rPr>
        <w:t xml:space="preserve"> IRR </w:t>
      </w:r>
      <w:r w:rsidR="0046568B">
        <w:rPr>
          <w:lang w:val="en-NZ"/>
        </w:rPr>
        <w:t>(</w:t>
      </w:r>
      <w:r w:rsidRPr="00894773">
        <w:rPr>
          <w:lang w:val="en-NZ"/>
        </w:rPr>
        <w:t xml:space="preserve">and </w:t>
      </w:r>
      <w:r w:rsidR="009A69F1">
        <w:rPr>
          <w:lang w:val="en-NZ"/>
        </w:rPr>
        <w:t xml:space="preserve">a </w:t>
      </w:r>
      <w:r w:rsidRPr="00894773">
        <w:rPr>
          <w:lang w:val="en-NZ"/>
        </w:rPr>
        <w:t xml:space="preserve">reduction </w:t>
      </w:r>
      <w:r>
        <w:rPr>
          <w:lang w:val="en-NZ"/>
        </w:rPr>
        <w:t>in</w:t>
      </w:r>
      <w:r w:rsidRPr="00894773">
        <w:rPr>
          <w:lang w:val="en-NZ"/>
        </w:rPr>
        <w:t xml:space="preserve"> IRRS</w:t>
      </w:r>
      <w:r w:rsidR="0046568B">
        <w:rPr>
          <w:lang w:val="en-NZ"/>
        </w:rPr>
        <w:t>)</w:t>
      </w:r>
      <w:r w:rsidRPr="00894773">
        <w:rPr>
          <w:lang w:val="en-NZ"/>
        </w:rPr>
        <w:t xml:space="preserve"> for all social housing tenants with boarders who are not already paying market rent (note all additional residents</w:t>
      </w:r>
      <w:r>
        <w:rPr>
          <w:rStyle w:val="FootnoteReference"/>
          <w:lang w:val="en-NZ"/>
        </w:rPr>
        <w:footnoteReference w:id="19"/>
      </w:r>
      <w:r w:rsidRPr="00894773">
        <w:rPr>
          <w:lang w:val="en-NZ"/>
        </w:rPr>
        <w:t xml:space="preserve"> are considered boarders).</w:t>
      </w:r>
      <w:r>
        <w:rPr>
          <w:lang w:val="en-NZ"/>
        </w:rPr>
        <w:t xml:space="preserve"> </w:t>
      </w:r>
    </w:p>
    <w:bookmarkEnd w:id="47"/>
    <w:p w14:paraId="11E9C4C8" w14:textId="38C4CA53" w:rsidR="00936D12" w:rsidRPr="00894773" w:rsidRDefault="006B35C8" w:rsidP="006C05B1">
      <w:pPr>
        <w:pStyle w:val="BodyText-Numbered"/>
        <w:keepNext w:val="0"/>
        <w:numPr>
          <w:ilvl w:val="0"/>
          <w:numId w:val="4"/>
        </w:numPr>
        <w:ind w:left="567" w:hanging="567"/>
        <w:rPr>
          <w:lang w:val="en-NZ"/>
        </w:rPr>
      </w:pPr>
      <w:r>
        <w:rPr>
          <w:lang w:val="en-NZ"/>
        </w:rPr>
        <w:t>The r</w:t>
      </w:r>
      <w:r w:rsidR="00936D12" w:rsidRPr="00894773">
        <w:rPr>
          <w:lang w:val="en-NZ"/>
        </w:rPr>
        <w:t xml:space="preserve">isks </w:t>
      </w:r>
      <w:r w:rsidR="00936D12">
        <w:rPr>
          <w:lang w:val="en-NZ"/>
        </w:rPr>
        <w:t xml:space="preserve">introduced </w:t>
      </w:r>
      <w:r w:rsidR="00936D12" w:rsidRPr="00894773">
        <w:rPr>
          <w:lang w:val="en-NZ"/>
        </w:rPr>
        <w:t>with this approach are as follows:</w:t>
      </w:r>
    </w:p>
    <w:p w14:paraId="502EE12E" w14:textId="453B3F14" w:rsidR="00936D12" w:rsidRPr="003538AA" w:rsidRDefault="00936D12" w:rsidP="006C05B1">
      <w:pPr>
        <w:pStyle w:val="BodyText-Numbered"/>
        <w:keepNext w:val="0"/>
        <w:numPr>
          <w:ilvl w:val="1"/>
          <w:numId w:val="4"/>
        </w:numPr>
        <w:ind w:left="1134" w:hanging="567"/>
      </w:pPr>
      <w:r w:rsidRPr="003538AA">
        <w:rPr>
          <w:b/>
          <w:bCs/>
        </w:rPr>
        <w:t xml:space="preserve">Increased tenancy reviews: </w:t>
      </w:r>
      <w:r w:rsidRPr="003538AA">
        <w:t xml:space="preserve">more people </w:t>
      </w:r>
      <w:r w:rsidR="00E6153E">
        <w:t xml:space="preserve">may </w:t>
      </w:r>
      <w:r>
        <w:t>be</w:t>
      </w:r>
      <w:r w:rsidRPr="003538AA">
        <w:t xml:space="preserve"> eligible for tenancy reviews as more </w:t>
      </w:r>
      <w:r w:rsidR="00057846">
        <w:t>social housing tenants will</w:t>
      </w:r>
      <w:r w:rsidR="00057846" w:rsidRPr="003538AA">
        <w:t xml:space="preserve"> </w:t>
      </w:r>
      <w:r w:rsidRPr="003538AA">
        <w:t xml:space="preserve">be </w:t>
      </w:r>
      <w:r>
        <w:t>paying</w:t>
      </w:r>
      <w:r w:rsidRPr="003538AA">
        <w:t xml:space="preserve"> market rent</w:t>
      </w:r>
      <w:r>
        <w:t>. This will reduce tenure security for some households</w:t>
      </w:r>
      <w:r w:rsidRPr="003538AA">
        <w:t xml:space="preserve"> and could have flow</w:t>
      </w:r>
      <w:r>
        <w:t>-</w:t>
      </w:r>
      <w:r w:rsidRPr="003538AA">
        <w:t xml:space="preserve">on impacts </w:t>
      </w:r>
      <w:r w:rsidR="004A6E2C">
        <w:t>on</w:t>
      </w:r>
      <w:r w:rsidR="004A6E2C" w:rsidRPr="003538AA">
        <w:t xml:space="preserve"> </w:t>
      </w:r>
      <w:r w:rsidRPr="003538AA">
        <w:t xml:space="preserve">MSD’s ability to </w:t>
      </w:r>
      <w:r w:rsidR="00057846">
        <w:t>resource additional</w:t>
      </w:r>
      <w:r w:rsidRPr="003538AA">
        <w:t xml:space="preserve"> </w:t>
      </w:r>
      <w:r>
        <w:t>tenancy</w:t>
      </w:r>
      <w:r w:rsidRPr="003538AA">
        <w:t xml:space="preserve"> reviews.</w:t>
      </w:r>
      <w:r>
        <w:rPr>
          <w:rStyle w:val="FootnoteReference"/>
        </w:rPr>
        <w:footnoteReference w:id="20"/>
      </w:r>
      <w:r w:rsidRPr="003538AA">
        <w:t xml:space="preserve"> </w:t>
      </w:r>
    </w:p>
    <w:p w14:paraId="31818837" w14:textId="5361E088" w:rsidR="00936D12" w:rsidRPr="003538AA" w:rsidRDefault="00936D12" w:rsidP="006C05B1">
      <w:pPr>
        <w:pStyle w:val="BodyText-Numbered"/>
        <w:keepNext w:val="0"/>
        <w:numPr>
          <w:ilvl w:val="1"/>
          <w:numId w:val="4"/>
        </w:numPr>
        <w:ind w:left="1134" w:hanging="567"/>
      </w:pPr>
      <w:r w:rsidRPr="003538AA">
        <w:rPr>
          <w:b/>
          <w:bCs/>
        </w:rPr>
        <w:t xml:space="preserve">Reduced utilisation of </w:t>
      </w:r>
      <w:r>
        <w:rPr>
          <w:b/>
          <w:bCs/>
        </w:rPr>
        <w:t>social housing</w:t>
      </w:r>
      <w:r w:rsidRPr="003538AA">
        <w:rPr>
          <w:b/>
          <w:bCs/>
        </w:rPr>
        <w:t xml:space="preserve">: </w:t>
      </w:r>
      <w:r>
        <w:t>there may be reduced utilisation of social housing properties, as t</w:t>
      </w:r>
      <w:r w:rsidRPr="003538AA">
        <w:t xml:space="preserve">he incentive to better utilise a </w:t>
      </w:r>
      <w:r>
        <w:t>social housing</w:t>
      </w:r>
      <w:r w:rsidRPr="003538AA">
        <w:t xml:space="preserve"> property will be </w:t>
      </w:r>
      <w:r w:rsidR="00534546">
        <w:t xml:space="preserve">reduced </w:t>
      </w:r>
      <w:r>
        <w:t>with</w:t>
      </w:r>
      <w:r w:rsidRPr="003538AA">
        <w:t xml:space="preserve"> all boarder housing contributions (i.e. 62 percent of payments from boarders) </w:t>
      </w:r>
      <w:r>
        <w:t xml:space="preserve">being </w:t>
      </w:r>
      <w:r w:rsidRPr="003538AA">
        <w:t xml:space="preserve">fully reflected in </w:t>
      </w:r>
      <w:r>
        <w:t xml:space="preserve">a client’s </w:t>
      </w:r>
      <w:r w:rsidRPr="003538AA">
        <w:t xml:space="preserve">IRR. However, the remaining 38 percent of the boarder contributions would continue to be excluded from the IRR calculation, reflecting </w:t>
      </w:r>
      <w:r w:rsidR="00563117">
        <w:t>the</w:t>
      </w:r>
      <w:r w:rsidR="00563117" w:rsidRPr="00563117">
        <w:t xml:space="preserve"> contribution to other household costs as a result of </w:t>
      </w:r>
      <w:r w:rsidRPr="003538AA">
        <w:t>having a boarder.</w:t>
      </w:r>
    </w:p>
    <w:p w14:paraId="51536C0A" w14:textId="77777777" w:rsidR="00936D12" w:rsidRPr="001F3666" w:rsidRDefault="00936D12" w:rsidP="006C05B1">
      <w:pPr>
        <w:pStyle w:val="BodyText-Numbered"/>
        <w:keepNext w:val="0"/>
        <w:numPr>
          <w:ilvl w:val="1"/>
          <w:numId w:val="4"/>
        </w:numPr>
        <w:ind w:left="1134" w:hanging="567"/>
      </w:pPr>
      <w:r w:rsidRPr="003538AA">
        <w:rPr>
          <w:b/>
          <w:bCs/>
        </w:rPr>
        <w:t xml:space="preserve">Increased demand for temporary housing: </w:t>
      </w:r>
      <w:r w:rsidRPr="003538AA">
        <w:t xml:space="preserve">If </w:t>
      </w:r>
      <w:r>
        <w:t>social housing</w:t>
      </w:r>
      <w:r w:rsidRPr="003538AA">
        <w:t xml:space="preserve"> tenants choose not to take on boarders in response to this policy, there could be flow</w:t>
      </w:r>
      <w:r>
        <w:t>-</w:t>
      </w:r>
      <w:r w:rsidRPr="003538AA">
        <w:t>on impacts for current boarders who may find it difficult to find suitable, affordable alternate accommodation</w:t>
      </w:r>
      <w:r>
        <w:t xml:space="preserve"> (such as lower-income single people).</w:t>
      </w:r>
      <w:r w:rsidRPr="003538AA">
        <w:t xml:space="preserve"> This could put pressure on entry into temporary housing</w:t>
      </w:r>
      <w:r>
        <w:t>,</w:t>
      </w:r>
      <w:r w:rsidRPr="003538AA">
        <w:t xml:space="preserve"> including </w:t>
      </w:r>
      <w:r>
        <w:t>e</w:t>
      </w:r>
      <w:r w:rsidRPr="003538AA" w:rsidDel="0013587F">
        <w:t xml:space="preserve">mergency </w:t>
      </w:r>
      <w:r>
        <w:t>h</w:t>
      </w:r>
      <w:r w:rsidRPr="003538AA" w:rsidDel="0013587F">
        <w:t>ousing</w:t>
      </w:r>
      <w:r w:rsidRPr="003538AA">
        <w:t xml:space="preserve"> and </w:t>
      </w:r>
      <w:r>
        <w:t>t</w:t>
      </w:r>
      <w:r w:rsidRPr="003538AA">
        <w:t xml:space="preserve">ransitional </w:t>
      </w:r>
      <w:r>
        <w:t>h</w:t>
      </w:r>
      <w:r w:rsidRPr="003538AA">
        <w:t>ousing</w:t>
      </w:r>
      <w:r>
        <w:t>, and the housing register.</w:t>
      </w:r>
      <w:r w:rsidRPr="003538AA">
        <w:t xml:space="preserve"> </w:t>
      </w:r>
      <w:r w:rsidRPr="001F3666">
        <w:t xml:space="preserve">However, where boarding arrangements reflect family obligations, we expect these are likely to continue. </w:t>
      </w:r>
    </w:p>
    <w:p w14:paraId="08648F1B" w14:textId="694C861A" w:rsidR="00936D12" w:rsidRPr="003538AA" w:rsidRDefault="00936D12" w:rsidP="006C05B1">
      <w:pPr>
        <w:pStyle w:val="BodyText-Numbered"/>
        <w:keepNext w:val="0"/>
        <w:numPr>
          <w:ilvl w:val="1"/>
          <w:numId w:val="4"/>
        </w:numPr>
        <w:ind w:left="1134" w:hanging="567"/>
      </w:pPr>
      <w:r w:rsidRPr="003538AA">
        <w:rPr>
          <w:b/>
          <w:bCs/>
        </w:rPr>
        <w:t xml:space="preserve">Reduced savings recognised: </w:t>
      </w:r>
      <w:r w:rsidRPr="003538AA">
        <w:t xml:space="preserve">Some </w:t>
      </w:r>
      <w:r w:rsidRPr="00782B5D">
        <w:t>social housing</w:t>
      </w:r>
      <w:r w:rsidRPr="003538AA">
        <w:t xml:space="preserve"> tenants </w:t>
      </w:r>
      <w:r>
        <w:t>may</w:t>
      </w:r>
      <w:r w:rsidRPr="003538AA">
        <w:t xml:space="preserve"> stop charging the boarder</w:t>
      </w:r>
      <w:r>
        <w:t>(s)</w:t>
      </w:r>
      <w:r w:rsidRPr="003538AA">
        <w:t xml:space="preserve"> to live there. This will reduce IRRS savings, but the boarder</w:t>
      </w:r>
      <w:r>
        <w:t>(s)</w:t>
      </w:r>
      <w:r w:rsidRPr="003538AA">
        <w:t xml:space="preserve"> will not qualify for AS</w:t>
      </w:r>
      <w:r w:rsidR="00E92DB5" w:rsidRPr="00E92DB5">
        <w:t xml:space="preserve"> </w:t>
      </w:r>
      <w:r w:rsidR="00E92DB5">
        <w:t xml:space="preserve">and </w:t>
      </w:r>
      <w:r w:rsidR="00E92DB5" w:rsidRPr="00E92DB5">
        <w:t xml:space="preserve">the value of the free accommodation </w:t>
      </w:r>
      <w:r w:rsidR="00E92DB5">
        <w:t>could</w:t>
      </w:r>
      <w:r w:rsidR="00E92DB5" w:rsidRPr="00E92DB5">
        <w:t xml:space="preserve"> be considered income when assessing eligibility for other support under the Social Security Act</w:t>
      </w:r>
      <w:r w:rsidRPr="003538AA">
        <w:t>, which would mean some savings are still realised. However, since the IRRS generally provides more support than the AS, savings may be lower than if the IRRS savings themselves had been realised. This could significant</w:t>
      </w:r>
      <w:r>
        <w:t>ly</w:t>
      </w:r>
      <w:r w:rsidRPr="003538AA">
        <w:t xml:space="preserve"> impact the estimated savings, which </w:t>
      </w:r>
      <w:r>
        <w:t>cannot</w:t>
      </w:r>
      <w:r w:rsidRPr="003538AA">
        <w:t xml:space="preserve"> be modelled as the behaviour change from clients is not able to be reliably </w:t>
      </w:r>
      <w:r>
        <w:t>estimated</w:t>
      </w:r>
      <w:r w:rsidRPr="003538AA">
        <w:t xml:space="preserve">. </w:t>
      </w:r>
    </w:p>
    <w:p w14:paraId="14D2BFA0" w14:textId="5CFD971D" w:rsidR="00936D12" w:rsidRPr="003538AA" w:rsidRDefault="00936D12" w:rsidP="006C05B1">
      <w:pPr>
        <w:pStyle w:val="BodyText-Numbered"/>
        <w:keepNext w:val="0"/>
        <w:numPr>
          <w:ilvl w:val="1"/>
          <w:numId w:val="4"/>
        </w:numPr>
        <w:ind w:left="1134" w:hanging="567"/>
      </w:pPr>
      <w:r w:rsidRPr="003538AA">
        <w:rPr>
          <w:b/>
          <w:bCs/>
        </w:rPr>
        <w:t xml:space="preserve">Increased hardship: </w:t>
      </w:r>
      <w:r w:rsidRPr="003538AA">
        <w:t>Increases in IRR, in addition to recognising contributions from all boarders could create further cost pressures for vulnerable households</w:t>
      </w:r>
      <w:r>
        <w:rPr>
          <w:rStyle w:val="FootnoteReference"/>
        </w:rPr>
        <w:footnoteReference w:id="21"/>
      </w:r>
      <w:r w:rsidRPr="003538AA">
        <w:t xml:space="preserve"> and</w:t>
      </w:r>
      <w:r>
        <w:t xml:space="preserve"> </w:t>
      </w:r>
      <w:r w:rsidR="000C59E6">
        <w:t>could</w:t>
      </w:r>
      <w:r w:rsidRPr="003538AA">
        <w:t xml:space="preserve"> have flow</w:t>
      </w:r>
      <w:r>
        <w:t>-</w:t>
      </w:r>
      <w:r w:rsidRPr="003538AA">
        <w:t>on implications of increasing</w:t>
      </w:r>
      <w:r>
        <w:t xml:space="preserve"> </w:t>
      </w:r>
      <w:r w:rsidR="00AF0F4B">
        <w:t xml:space="preserve">the </w:t>
      </w:r>
      <w:r w:rsidR="00B62718">
        <w:t>need for</w:t>
      </w:r>
      <w:r w:rsidRPr="003538AA">
        <w:t xml:space="preserve"> other hardship assistance (such as Temporary Additional Support). </w:t>
      </w:r>
      <w:r>
        <w:t xml:space="preserve">As households in social </w:t>
      </w:r>
      <w:r>
        <w:lastRenderedPageBreak/>
        <w:t xml:space="preserve">housing who receive contributions from a boarder(s) will have reduced financial support, this could result in increased rent arrears and debt to Kāinga Ora, as well as other operational impacts on Kāinga Ora (e.g. the policy changes could make it more difficult for Kāinga Ora to manage properties if their tenants are not </w:t>
      </w:r>
      <w:r w:rsidR="00A422E7" w:rsidRPr="00A422E7">
        <w:t>become less transparent about boarders/additional occupants</w:t>
      </w:r>
      <w:r>
        <w:t>).</w:t>
      </w:r>
    </w:p>
    <w:p w14:paraId="740E152B" w14:textId="079B1240" w:rsidR="00936D12" w:rsidRDefault="00936D12" w:rsidP="006C05B1">
      <w:pPr>
        <w:pStyle w:val="BodyText-Numbered"/>
        <w:keepNext w:val="0"/>
        <w:numPr>
          <w:ilvl w:val="1"/>
          <w:numId w:val="4"/>
        </w:numPr>
        <w:ind w:left="1134" w:hanging="567"/>
      </w:pPr>
      <w:r w:rsidRPr="00C62F44">
        <w:rPr>
          <w:b/>
          <w:bCs/>
        </w:rPr>
        <w:t>Impacts on other forms of income support:</w:t>
      </w:r>
      <w:r>
        <w:t xml:space="preserve"> For households that rely on government support and boarder </w:t>
      </w:r>
      <w:r w:rsidR="00BE73EB">
        <w:t>contributions</w:t>
      </w:r>
      <w:r>
        <w:t xml:space="preserve">, these changes may make it harder to continue to afford their current accommodation arrangement. This may result in a higher number of applications for hardship assistance and applications for other forms of income support. For these households, the issue may be compounded by reduced eligibility for other assistance, including eligibility for </w:t>
      </w:r>
      <w:r w:rsidR="007615AF">
        <w:t>social housing</w:t>
      </w:r>
      <w:r w:rsidR="00CA18BA">
        <w:t>,</w:t>
      </w:r>
      <w:r>
        <w:t xml:space="preserve"> as a result of contributions from a boarder(s).</w:t>
      </w:r>
    </w:p>
    <w:p w14:paraId="5B4F0DBA" w14:textId="71C3CE48" w:rsidR="00936D12" w:rsidRPr="00C62F44" w:rsidRDefault="00936D12" w:rsidP="006C05B1">
      <w:pPr>
        <w:pStyle w:val="BodyText-Numbered"/>
        <w:keepNext w:val="0"/>
        <w:numPr>
          <w:ilvl w:val="1"/>
          <w:numId w:val="4"/>
        </w:numPr>
        <w:ind w:left="1134" w:hanging="567"/>
        <w:rPr>
          <w:lang w:val="en-NZ"/>
        </w:rPr>
      </w:pPr>
      <w:r w:rsidRPr="00C62F44">
        <w:rPr>
          <w:b/>
          <w:szCs w:val="22"/>
        </w:rPr>
        <w:t>Impacts on homeownership:</w:t>
      </w:r>
      <w:r>
        <w:rPr>
          <w:bCs/>
          <w:szCs w:val="22"/>
        </w:rPr>
        <w:t xml:space="preserve"> </w:t>
      </w:r>
      <w:r w:rsidRPr="002627F0">
        <w:rPr>
          <w:lang w:val="en-NZ"/>
        </w:rPr>
        <w:t xml:space="preserve">For </w:t>
      </w:r>
      <w:r w:rsidRPr="002627F0">
        <w:rPr>
          <w:bCs/>
          <w:lang w:val="en-NZ"/>
        </w:rPr>
        <w:t xml:space="preserve">some </w:t>
      </w:r>
      <w:r w:rsidRPr="002627F0">
        <w:rPr>
          <w:lang w:val="en-NZ"/>
        </w:rPr>
        <w:t xml:space="preserve">households that </w:t>
      </w:r>
      <w:r w:rsidRPr="002627F0">
        <w:rPr>
          <w:bCs/>
          <w:lang w:val="en-NZ"/>
        </w:rPr>
        <w:t>have a boarder(s), this policy will reduce their ability to augment household</w:t>
      </w:r>
      <w:r w:rsidRPr="002627F0">
        <w:rPr>
          <w:lang w:val="en-NZ"/>
        </w:rPr>
        <w:t xml:space="preserve"> income</w:t>
      </w:r>
      <w:r w:rsidRPr="002627F0">
        <w:rPr>
          <w:bCs/>
          <w:lang w:val="en-NZ"/>
        </w:rPr>
        <w:t xml:space="preserve"> at a time when cost of living pressures are substantial.</w:t>
      </w:r>
      <w:r w:rsidRPr="002627F0">
        <w:rPr>
          <w:lang w:val="en-NZ"/>
        </w:rPr>
        <w:t xml:space="preserve"> This could include some recent homeowners who </w:t>
      </w:r>
      <w:r w:rsidR="00BE73EB">
        <w:rPr>
          <w:lang w:val="en-NZ"/>
        </w:rPr>
        <w:t>are claiming the AS and</w:t>
      </w:r>
      <w:r w:rsidRPr="002627F0">
        <w:rPr>
          <w:lang w:val="en-NZ"/>
        </w:rPr>
        <w:t xml:space="preserve"> supplement their income by taking in a boarder(s). Without boarder contributions and the AS, home ownership may no longer be viable for some people.</w:t>
      </w:r>
      <w:r w:rsidR="00355874" w:rsidRPr="00355874">
        <w:t xml:space="preserve"> </w:t>
      </w:r>
      <w:r w:rsidR="00355874" w:rsidRPr="00355874">
        <w:rPr>
          <w:lang w:val="en-NZ"/>
        </w:rPr>
        <w:t>Homeowners can, however, explore options with their bank around repayment arrangements for their mortgage</w:t>
      </w:r>
      <w:r w:rsidR="00355874">
        <w:rPr>
          <w:lang w:val="en-NZ"/>
        </w:rPr>
        <w:t>.</w:t>
      </w:r>
    </w:p>
    <w:p w14:paraId="02CE8333" w14:textId="77777777" w:rsidR="00936D12" w:rsidRPr="00C62F44" w:rsidRDefault="00936D12" w:rsidP="006C05B1">
      <w:pPr>
        <w:pStyle w:val="BodyText-Numbered"/>
        <w:keepNext w:val="0"/>
        <w:numPr>
          <w:ilvl w:val="1"/>
          <w:numId w:val="4"/>
        </w:numPr>
        <w:ind w:left="1134" w:hanging="567"/>
        <w:rPr>
          <w:szCs w:val="22"/>
        </w:rPr>
      </w:pPr>
      <w:r w:rsidRPr="00C62F44">
        <w:rPr>
          <w:b/>
          <w:bCs/>
          <w:szCs w:val="22"/>
        </w:rPr>
        <w:t>Public perception of MSD:</w:t>
      </w:r>
      <w:r>
        <w:rPr>
          <w:szCs w:val="22"/>
        </w:rPr>
        <w:t xml:space="preserve"> </w:t>
      </w:r>
      <w:r>
        <w:rPr>
          <w:lang w:val="en-NZ"/>
        </w:rPr>
        <w:t xml:space="preserve">In some rare and unusual situations a person’s financial loss from reduced housing subsidies could be relatively high compared to the average impact. There is a risk of these situations receiving adverse publicity, which could have a negative impact on MSD’s reputation. However, this risk will be partly mitigated by early communication with impacted clients to ensure they understand the income changes and can plan accordingly. </w:t>
      </w:r>
    </w:p>
    <w:p w14:paraId="396F01BC" w14:textId="3B306011" w:rsidR="00FA0BEC" w:rsidRPr="00C62F44" w:rsidRDefault="00936D12" w:rsidP="006C05B1">
      <w:pPr>
        <w:pStyle w:val="BodyText-Numbered"/>
        <w:keepNext w:val="0"/>
        <w:numPr>
          <w:ilvl w:val="0"/>
          <w:numId w:val="4"/>
        </w:numPr>
        <w:ind w:left="567" w:hanging="567"/>
        <w:rPr>
          <w:lang w:val="en-NZ"/>
        </w:rPr>
      </w:pPr>
      <w:r w:rsidRPr="00FC62AB">
        <w:rPr>
          <w:lang w:val="en-NZ"/>
        </w:rPr>
        <w:t xml:space="preserve">MSD will </w:t>
      </w:r>
      <w:r w:rsidR="000A01F4" w:rsidRPr="00FC62AB">
        <w:rPr>
          <w:lang w:val="en-NZ"/>
        </w:rPr>
        <w:t>monitor</w:t>
      </w:r>
      <w:r w:rsidRPr="00FC62AB">
        <w:rPr>
          <w:lang w:val="en-NZ"/>
        </w:rPr>
        <w:t xml:space="preserve"> any unintended consequences </w:t>
      </w:r>
      <w:r w:rsidR="00A437A1">
        <w:rPr>
          <w:lang w:val="en-NZ"/>
        </w:rPr>
        <w:t>of</w:t>
      </w:r>
      <w:r w:rsidR="00A437A1" w:rsidRPr="00FC62AB">
        <w:rPr>
          <w:lang w:val="en-NZ"/>
        </w:rPr>
        <w:t xml:space="preserve"> </w:t>
      </w:r>
      <w:r w:rsidRPr="00FC62AB">
        <w:rPr>
          <w:lang w:val="en-NZ"/>
        </w:rPr>
        <w:t>this policy change and provide further advice if issues arise.</w:t>
      </w:r>
    </w:p>
    <w:p w14:paraId="15877BF5" w14:textId="5BF180EC" w:rsidR="00A376A8" w:rsidRPr="00A376A8" w:rsidRDefault="00A376A8" w:rsidP="006C05B1">
      <w:pPr>
        <w:spacing w:before="60" w:line="240" w:lineRule="auto"/>
        <w:rPr>
          <w:b/>
          <w:bCs/>
          <w:i/>
          <w:iCs/>
        </w:rPr>
      </w:pPr>
      <w:bookmarkStart w:id="48" w:name="_Hlk192064615"/>
      <w:r w:rsidRPr="00A376A8">
        <w:rPr>
          <w:b/>
          <w:bCs/>
          <w:i/>
          <w:iCs/>
        </w:rPr>
        <w:t>Behavioural changes</w:t>
      </w:r>
    </w:p>
    <w:p w14:paraId="09AB22C6" w14:textId="5D116AFA" w:rsidR="00A376A8" w:rsidRPr="00776538" w:rsidRDefault="00A376A8" w:rsidP="006C05B1">
      <w:pPr>
        <w:pStyle w:val="BodyText-Numbered"/>
        <w:keepNext w:val="0"/>
        <w:numPr>
          <w:ilvl w:val="0"/>
          <w:numId w:val="4"/>
        </w:numPr>
        <w:ind w:left="567" w:hanging="567"/>
        <w:rPr>
          <w:lang w:val="en-NZ"/>
        </w:rPr>
      </w:pPr>
      <w:r w:rsidRPr="20DE748D">
        <w:rPr>
          <w:lang w:val="en-NZ"/>
        </w:rPr>
        <w:t xml:space="preserve">Reducing the amount of government support received by MSD clients </w:t>
      </w:r>
      <w:r w:rsidR="00B42FF2" w:rsidRPr="20DE748D">
        <w:rPr>
          <w:lang w:val="en-NZ"/>
        </w:rPr>
        <w:t xml:space="preserve">who receive </w:t>
      </w:r>
      <w:r w:rsidRPr="20DE748D">
        <w:rPr>
          <w:lang w:val="en-NZ"/>
        </w:rPr>
        <w:t xml:space="preserve">payments from boarders will make offering boarding arrangements less attractive for </w:t>
      </w:r>
      <w:r w:rsidR="00355874">
        <w:rPr>
          <w:lang w:val="en-NZ"/>
        </w:rPr>
        <w:t xml:space="preserve">some </w:t>
      </w:r>
      <w:r w:rsidRPr="20DE748D">
        <w:rPr>
          <w:lang w:val="en-NZ"/>
        </w:rPr>
        <w:t>homeowners and renters. As a result, fewer households may take in boarders to avoid their financial assistance being reduced. This would reduce available housing options for those currently rel</w:t>
      </w:r>
      <w:r w:rsidR="00AD79D7" w:rsidRPr="20DE748D">
        <w:rPr>
          <w:lang w:val="en-NZ"/>
        </w:rPr>
        <w:t>iant</w:t>
      </w:r>
      <w:r w:rsidRPr="20DE748D">
        <w:rPr>
          <w:lang w:val="en-NZ"/>
        </w:rPr>
        <w:t xml:space="preserve"> on boarding. We cannot predict how many households may choose to no longer take on boarders</w:t>
      </w:r>
      <w:r w:rsidR="0032731E">
        <w:rPr>
          <w:lang w:val="en-NZ"/>
        </w:rPr>
        <w:t>,</w:t>
      </w:r>
      <w:r w:rsidR="0032731E" w:rsidRPr="20DE748D">
        <w:rPr>
          <w:lang w:val="en-NZ"/>
        </w:rPr>
        <w:t xml:space="preserve"> </w:t>
      </w:r>
      <w:r w:rsidR="00C04A52" w:rsidRPr="20DE748D">
        <w:rPr>
          <w:lang w:val="en-NZ"/>
        </w:rPr>
        <w:t>h</w:t>
      </w:r>
      <w:r w:rsidRPr="20DE748D">
        <w:rPr>
          <w:lang w:val="en-NZ"/>
        </w:rPr>
        <w:t xml:space="preserve">owever, we think it is less likely for boarding arrangements to cease where these arrangements </w:t>
      </w:r>
      <w:r w:rsidR="00AB5826" w:rsidRPr="20DE748D">
        <w:rPr>
          <w:lang w:val="en-NZ"/>
        </w:rPr>
        <w:t>invol</w:t>
      </w:r>
      <w:r w:rsidR="003E0935" w:rsidRPr="20DE748D">
        <w:rPr>
          <w:lang w:val="en-NZ"/>
        </w:rPr>
        <w:t>ve</w:t>
      </w:r>
      <w:r w:rsidRPr="20DE748D">
        <w:rPr>
          <w:lang w:val="en-NZ"/>
        </w:rPr>
        <w:t xml:space="preserve"> extended family living situations. </w:t>
      </w:r>
    </w:p>
    <w:p w14:paraId="5CB17426" w14:textId="2566A872" w:rsidR="00A376A8" w:rsidRPr="00776538" w:rsidRDefault="009B1FEA" w:rsidP="006C05B1">
      <w:pPr>
        <w:pStyle w:val="BodyText-Numbered"/>
        <w:keepNext w:val="0"/>
        <w:numPr>
          <w:ilvl w:val="0"/>
          <w:numId w:val="4"/>
        </w:numPr>
        <w:ind w:left="567" w:hanging="567"/>
      </w:pPr>
      <w:r>
        <w:t>The policy could mean s</w:t>
      </w:r>
      <w:r w:rsidR="00A376A8">
        <w:t xml:space="preserve">ome households </w:t>
      </w:r>
      <w:r>
        <w:t>c</w:t>
      </w:r>
      <w:r w:rsidR="00A376A8">
        <w:t>hange their boarding arrangements as a result</w:t>
      </w:r>
      <w:r>
        <w:t>,</w:t>
      </w:r>
      <w:r w:rsidR="00A376A8">
        <w:t xml:space="preserve"> for example, by reducing the number of boarders they have, reducing the amount of board they charge, or altering the information they declare to MSD</w:t>
      </w:r>
      <w:r w:rsidR="008E663A">
        <w:t xml:space="preserve"> (i.e. fraud)</w:t>
      </w:r>
      <w:r w:rsidR="00A376A8">
        <w:t xml:space="preserve">. If these changes occur, </w:t>
      </w:r>
      <w:r w:rsidR="00CD1D32">
        <w:t>there is a risk of</w:t>
      </w:r>
      <w:r w:rsidR="00A376A8">
        <w:t xml:space="preserve"> reduced savings. However, these reduced savings could be offset by increased savings as a result of boarding arrangements we were not able to estimate savings for</w:t>
      </w:r>
      <w:r w:rsidR="009D49FA">
        <w:t xml:space="preserve"> (f</w:t>
      </w:r>
      <w:r w:rsidR="00A376A8">
        <w:t xml:space="preserve">or example, we were not able to estimate savings from households receiving the AS where the boarder is not </w:t>
      </w:r>
      <w:r w:rsidR="00991D15">
        <w:t xml:space="preserve">also </w:t>
      </w:r>
      <w:r w:rsidR="00A376A8">
        <w:t>receiving the AS</w:t>
      </w:r>
      <w:r w:rsidR="009D49FA">
        <w:t>)</w:t>
      </w:r>
      <w:r w:rsidR="00A376A8">
        <w:t xml:space="preserve">.  </w:t>
      </w:r>
    </w:p>
    <w:p w14:paraId="5B578DD3" w14:textId="74041BF5" w:rsidR="00936D12" w:rsidRPr="00716106" w:rsidRDefault="00936D12" w:rsidP="006C05B1">
      <w:pPr>
        <w:spacing w:before="60" w:line="240" w:lineRule="auto"/>
        <w:rPr>
          <w:b/>
          <w:bCs/>
          <w:i/>
          <w:iCs/>
        </w:rPr>
      </w:pPr>
      <w:r>
        <w:rPr>
          <w:b/>
          <w:bCs/>
          <w:i/>
          <w:iCs/>
        </w:rPr>
        <w:t>There is a risk of potential</w:t>
      </w:r>
      <w:r w:rsidRPr="002A44D9">
        <w:rPr>
          <w:b/>
          <w:bCs/>
          <w:i/>
          <w:iCs/>
        </w:rPr>
        <w:t xml:space="preserve"> suspension and cancellation of housing subsidies even when a client provides accurate boarding information</w:t>
      </w:r>
      <w:r w:rsidRPr="002A44D9" w:rsidDel="006A2F9B">
        <w:rPr>
          <w:b/>
          <w:bCs/>
          <w:i/>
          <w:iCs/>
        </w:rPr>
        <w:t xml:space="preserve"> </w:t>
      </w:r>
    </w:p>
    <w:p w14:paraId="48E8C413" w14:textId="1CDAB883" w:rsidR="00936D12" w:rsidRDefault="00936D12" w:rsidP="006C05B1">
      <w:pPr>
        <w:pStyle w:val="BodyText-Numbered"/>
        <w:keepNext w:val="0"/>
        <w:numPr>
          <w:ilvl w:val="0"/>
          <w:numId w:val="4"/>
        </w:numPr>
        <w:ind w:left="567" w:hanging="567"/>
        <w:rPr>
          <w:bCs/>
          <w:szCs w:val="22"/>
        </w:rPr>
      </w:pPr>
      <w:r>
        <w:rPr>
          <w:bCs/>
          <w:szCs w:val="22"/>
        </w:rPr>
        <w:t xml:space="preserve">Confirming the rate of AS and IRR will involve </w:t>
      </w:r>
      <w:r w:rsidR="00991D15">
        <w:rPr>
          <w:bCs/>
          <w:szCs w:val="22"/>
        </w:rPr>
        <w:t xml:space="preserve">MSD </w:t>
      </w:r>
      <w:r>
        <w:rPr>
          <w:bCs/>
          <w:szCs w:val="22"/>
        </w:rPr>
        <w:t xml:space="preserve">matching information between clients in a household (where both are receiving a housing subsidy). If </w:t>
      </w:r>
      <w:r w:rsidRPr="00C62F44">
        <w:rPr>
          <w:bCs/>
          <w:szCs w:val="22"/>
        </w:rPr>
        <w:t xml:space="preserve">there is a mismatch </w:t>
      </w:r>
      <w:r>
        <w:rPr>
          <w:bCs/>
          <w:szCs w:val="22"/>
        </w:rPr>
        <w:t xml:space="preserve">in this information that cannot be resolved, there is potential for suspension and cancellation of housing subsidies for both clients, even when one </w:t>
      </w:r>
      <w:r w:rsidR="00C21A81">
        <w:rPr>
          <w:bCs/>
          <w:szCs w:val="22"/>
        </w:rPr>
        <w:t xml:space="preserve">may have </w:t>
      </w:r>
      <w:r>
        <w:rPr>
          <w:bCs/>
          <w:szCs w:val="22"/>
        </w:rPr>
        <w:t>provided accurate information. This c</w:t>
      </w:r>
      <w:r w:rsidRPr="009E0C75">
        <w:rPr>
          <w:bCs/>
          <w:szCs w:val="22"/>
        </w:rPr>
        <w:t>reates some risks from an ethics and fairness perspective</w:t>
      </w:r>
      <w:r>
        <w:rPr>
          <w:bCs/>
          <w:szCs w:val="22"/>
        </w:rPr>
        <w:t>:</w:t>
      </w:r>
    </w:p>
    <w:bookmarkEnd w:id="48"/>
    <w:p w14:paraId="24B6E060" w14:textId="6C92B909" w:rsidR="00936D12" w:rsidRDefault="00936D12" w:rsidP="006C05B1">
      <w:pPr>
        <w:pStyle w:val="BodyText-Numbered"/>
        <w:keepNext w:val="0"/>
        <w:numPr>
          <w:ilvl w:val="1"/>
          <w:numId w:val="4"/>
        </w:numPr>
        <w:ind w:left="1134" w:hanging="425"/>
        <w:rPr>
          <w:bCs/>
          <w:szCs w:val="22"/>
        </w:rPr>
      </w:pPr>
      <w:r w:rsidRPr="009E0C75">
        <w:rPr>
          <w:bCs/>
          <w:szCs w:val="22"/>
        </w:rPr>
        <w:lastRenderedPageBreak/>
        <w:t xml:space="preserve">A client who has provided correct information to MSD and complied with MSD’s requests for further information or evidence may still find their payments suspended, cancelled or </w:t>
      </w:r>
      <w:r w:rsidR="00991D15">
        <w:rPr>
          <w:bCs/>
          <w:szCs w:val="22"/>
        </w:rPr>
        <w:t xml:space="preserve">their rent </w:t>
      </w:r>
      <w:r w:rsidRPr="009E0C75">
        <w:rPr>
          <w:bCs/>
          <w:szCs w:val="22"/>
        </w:rPr>
        <w:t>remaining at market rent</w:t>
      </w:r>
      <w:r>
        <w:rPr>
          <w:bCs/>
          <w:szCs w:val="22"/>
        </w:rPr>
        <w:t>,</w:t>
      </w:r>
      <w:r w:rsidRPr="009E0C75">
        <w:rPr>
          <w:bCs/>
          <w:szCs w:val="22"/>
        </w:rPr>
        <w:t xml:space="preserve"> due to the </w:t>
      </w:r>
      <w:r w:rsidR="00991D15">
        <w:rPr>
          <w:bCs/>
          <w:szCs w:val="22"/>
        </w:rPr>
        <w:t>in</w:t>
      </w:r>
      <w:r w:rsidRPr="009E0C75">
        <w:rPr>
          <w:bCs/>
          <w:szCs w:val="22"/>
        </w:rPr>
        <w:t xml:space="preserve">action of the other person. </w:t>
      </w:r>
      <w:r w:rsidR="00E47209">
        <w:rPr>
          <w:bCs/>
          <w:szCs w:val="22"/>
        </w:rPr>
        <w:t>This is because without verification from the other party,</w:t>
      </w:r>
      <w:r w:rsidR="000873AA">
        <w:rPr>
          <w:bCs/>
          <w:szCs w:val="22"/>
        </w:rPr>
        <w:t xml:space="preserve"> MSD cannot be confident that the declared costs are the actual accommodation costs of that person. </w:t>
      </w:r>
      <w:r w:rsidRPr="009E0C75">
        <w:rPr>
          <w:bCs/>
          <w:szCs w:val="22"/>
        </w:rPr>
        <w:t xml:space="preserve">However, clients will have an opportunity to confirm or correct </w:t>
      </w:r>
      <w:r>
        <w:rPr>
          <w:bCs/>
          <w:szCs w:val="22"/>
        </w:rPr>
        <w:t xml:space="preserve">the </w:t>
      </w:r>
      <w:r w:rsidRPr="009E0C75">
        <w:rPr>
          <w:bCs/>
          <w:szCs w:val="22"/>
        </w:rPr>
        <w:t>information</w:t>
      </w:r>
      <w:r>
        <w:rPr>
          <w:bCs/>
          <w:szCs w:val="22"/>
        </w:rPr>
        <w:t xml:space="preserve"> provided</w:t>
      </w:r>
      <w:r w:rsidRPr="009E0C75">
        <w:rPr>
          <w:bCs/>
          <w:szCs w:val="22"/>
        </w:rPr>
        <w:t xml:space="preserve">, so MSD will not be acting to the detriment of an individual solely based off third-party information. When MSD seeks verification from a client but does not receive a response from them, then </w:t>
      </w:r>
      <w:r>
        <w:rPr>
          <w:bCs/>
          <w:szCs w:val="22"/>
        </w:rPr>
        <w:t xml:space="preserve">the </w:t>
      </w:r>
      <w:r w:rsidRPr="009E0C75">
        <w:rPr>
          <w:bCs/>
          <w:szCs w:val="22"/>
        </w:rPr>
        <w:t>decision to suspend this client’s entitlement is made under s305(2) of the Social Security Act</w:t>
      </w:r>
      <w:r>
        <w:rPr>
          <w:bCs/>
          <w:szCs w:val="22"/>
        </w:rPr>
        <w:t>.</w:t>
      </w:r>
    </w:p>
    <w:p w14:paraId="5B73A280" w14:textId="4910585B" w:rsidR="00F409B4" w:rsidRPr="002C7982" w:rsidRDefault="00F3565A" w:rsidP="006C05B1">
      <w:pPr>
        <w:pStyle w:val="BodyText-Numbered"/>
        <w:keepNext w:val="0"/>
        <w:numPr>
          <w:ilvl w:val="1"/>
          <w:numId w:val="4"/>
        </w:numPr>
        <w:ind w:left="1134" w:hanging="425"/>
        <w:rPr>
          <w:bCs/>
          <w:szCs w:val="22"/>
        </w:rPr>
      </w:pPr>
      <w:r w:rsidRPr="00F3565A">
        <w:rPr>
          <w:bCs/>
          <w:szCs w:val="22"/>
        </w:rPr>
        <w:t>Where payment of a subsidy is suspended, it is automatically cancelled after eight weeks. In most cases, this will be sufficient time for the clients to provide the correct information to MSD and for payments to be re-started</w:t>
      </w:r>
      <w:r>
        <w:rPr>
          <w:bCs/>
          <w:szCs w:val="22"/>
        </w:rPr>
        <w:t xml:space="preserve">. </w:t>
      </w:r>
      <w:r w:rsidR="00936D12" w:rsidRPr="002C7982">
        <w:rPr>
          <w:bCs/>
          <w:szCs w:val="22"/>
        </w:rPr>
        <w:t>Clients would need to reapply for assistance with MSD if their payments have been cancelled, even if they have already provided MSD all the correct information.</w:t>
      </w:r>
    </w:p>
    <w:p w14:paraId="3A52175C" w14:textId="4BD612A6" w:rsidR="00427F56" w:rsidRPr="00776538" w:rsidRDefault="00427F56" w:rsidP="006C05B1">
      <w:pPr>
        <w:pStyle w:val="BodyText-Numbered"/>
        <w:keepNext w:val="0"/>
        <w:numPr>
          <w:ilvl w:val="0"/>
          <w:numId w:val="4"/>
        </w:numPr>
        <w:ind w:left="567" w:hanging="567"/>
        <w:rPr>
          <w:lang w:val="en-NZ"/>
        </w:rPr>
      </w:pPr>
      <w:r w:rsidRPr="00776538">
        <w:rPr>
          <w:lang w:val="en-NZ"/>
        </w:rPr>
        <w:t>MSD believes this process will incentivise clients to provide MSD with correct and consistent information, which is required for MSD to accurately determine a client’s rate of AS and IRR. We have tested th</w:t>
      </w:r>
      <w:r w:rsidR="00C06917">
        <w:rPr>
          <w:lang w:val="en-NZ"/>
        </w:rPr>
        <w:t>e</w:t>
      </w:r>
      <w:r w:rsidRPr="00776538">
        <w:rPr>
          <w:lang w:val="en-NZ"/>
        </w:rPr>
        <w:t xml:space="preserve"> proposed approach with the Office of the Privacy Commissioner, and it is their view that </w:t>
      </w:r>
      <w:r w:rsidR="00C06917">
        <w:rPr>
          <w:lang w:val="en-NZ"/>
        </w:rPr>
        <w:t>the process</w:t>
      </w:r>
      <w:r w:rsidRPr="00776538">
        <w:rPr>
          <w:lang w:val="en-NZ"/>
        </w:rPr>
        <w:t xml:space="preserve"> appear</w:t>
      </w:r>
      <w:r w:rsidR="00C06917">
        <w:rPr>
          <w:lang w:val="en-NZ"/>
        </w:rPr>
        <w:t>s</w:t>
      </w:r>
      <w:r w:rsidRPr="00776538">
        <w:rPr>
          <w:lang w:val="en-NZ"/>
        </w:rPr>
        <w:t xml:space="preserve"> to be reasonable and appropriate.</w:t>
      </w:r>
    </w:p>
    <w:p w14:paraId="446E8DAE" w14:textId="08049F13" w:rsidR="0052429D" w:rsidRPr="00776538" w:rsidRDefault="00427F56" w:rsidP="006C05B1">
      <w:pPr>
        <w:pStyle w:val="BodyText-Numbered"/>
        <w:keepNext w:val="0"/>
        <w:numPr>
          <w:ilvl w:val="0"/>
          <w:numId w:val="4"/>
        </w:numPr>
        <w:ind w:left="567" w:hanging="567"/>
        <w:rPr>
          <w:lang w:val="en-NZ"/>
        </w:rPr>
      </w:pPr>
      <w:r w:rsidRPr="00776538">
        <w:rPr>
          <w:lang w:val="en-NZ"/>
        </w:rPr>
        <w:t xml:space="preserve">To support these settings, both internal and </w:t>
      </w:r>
      <w:proofErr w:type="gramStart"/>
      <w:r w:rsidRPr="00776538">
        <w:rPr>
          <w:lang w:val="en-NZ"/>
        </w:rPr>
        <w:t>publicly-available</w:t>
      </w:r>
      <w:proofErr w:type="gramEnd"/>
      <w:r w:rsidRPr="00776538">
        <w:rPr>
          <w:lang w:val="en-NZ"/>
        </w:rPr>
        <w:t xml:space="preserve"> guidance will be used to clearly explain the responsibilities of clients involved in a boarding situation, and the process that can lead to suspension or cancelation of AS, or an increase </w:t>
      </w:r>
      <w:r w:rsidR="008244A2">
        <w:rPr>
          <w:lang w:val="en-NZ"/>
        </w:rPr>
        <w:t xml:space="preserve">in </w:t>
      </w:r>
      <w:r w:rsidRPr="00776538">
        <w:rPr>
          <w:lang w:val="en-NZ"/>
        </w:rPr>
        <w:t>IRR to</w:t>
      </w:r>
      <w:r w:rsidR="00E63E6B">
        <w:rPr>
          <w:lang w:val="en-NZ"/>
        </w:rPr>
        <w:t xml:space="preserve"> the</w:t>
      </w:r>
      <w:r w:rsidRPr="00776538">
        <w:rPr>
          <w:lang w:val="en-NZ"/>
        </w:rPr>
        <w:t xml:space="preserve"> market rent.</w:t>
      </w:r>
    </w:p>
    <w:p w14:paraId="713C4C32" w14:textId="77777777" w:rsidR="0091158D" w:rsidRPr="00B7215C" w:rsidRDefault="0091158D" w:rsidP="006C05B1">
      <w:pPr>
        <w:pStyle w:val="Heading3"/>
        <w:keepNext w:val="0"/>
      </w:pPr>
      <w:bookmarkStart w:id="49" w:name="_Toc196390904"/>
      <w:r w:rsidRPr="00B7215C">
        <w:t>The financial impacts of the policy changes</w:t>
      </w:r>
      <w:bookmarkEnd w:id="49"/>
    </w:p>
    <w:p w14:paraId="3144035D" w14:textId="77777777" w:rsidR="0091158D" w:rsidRPr="007F2C5C" w:rsidRDefault="0091158D" w:rsidP="006C05B1">
      <w:pPr>
        <w:spacing w:before="60" w:line="240" w:lineRule="auto"/>
        <w:rPr>
          <w:b/>
          <w:bCs/>
          <w:i/>
          <w:iCs/>
        </w:rPr>
      </w:pPr>
      <w:r>
        <w:rPr>
          <w:b/>
          <w:bCs/>
          <w:i/>
          <w:iCs/>
        </w:rPr>
        <w:t xml:space="preserve">Estimated loss of support for clients with boarders receiving </w:t>
      </w:r>
      <w:r w:rsidRPr="007F2C5C">
        <w:rPr>
          <w:b/>
          <w:bCs/>
          <w:i/>
          <w:iCs/>
        </w:rPr>
        <w:t>Social Security Act assistance</w:t>
      </w:r>
    </w:p>
    <w:p w14:paraId="1941E187" w14:textId="357F5714" w:rsidR="0091158D" w:rsidRPr="00F35946" w:rsidRDefault="0091158D" w:rsidP="006C05B1">
      <w:pPr>
        <w:pStyle w:val="BodyText-Numbered"/>
        <w:keepNext w:val="0"/>
        <w:numPr>
          <w:ilvl w:val="0"/>
          <w:numId w:val="4"/>
        </w:numPr>
        <w:ind w:left="567" w:hanging="567"/>
      </w:pPr>
      <w:r w:rsidRPr="00F35946">
        <w:t>We have estimated that 8,200 households who receive the AS have boarders.</w:t>
      </w:r>
      <w:r>
        <w:rPr>
          <w:rStyle w:val="FootnoteReference"/>
        </w:rPr>
        <w:footnoteReference w:id="22"/>
      </w:r>
      <w:r w:rsidRPr="00F35946">
        <w:t xml:space="preserve"> Of these, we expect 7,000 to have a reduction in </w:t>
      </w:r>
      <w:r w:rsidR="00577113">
        <w:t>their housing subsidy</w:t>
      </w:r>
      <w:r w:rsidRPr="00F35946">
        <w:t xml:space="preserve"> as a result of this change. The </w:t>
      </w:r>
      <w:r w:rsidR="00052129">
        <w:t xml:space="preserve">estimated </w:t>
      </w:r>
      <w:r w:rsidRPr="00F35946">
        <w:t xml:space="preserve">average loss per week for </w:t>
      </w:r>
      <w:r>
        <w:t>a</w:t>
      </w:r>
      <w:r w:rsidRPr="00F35946">
        <w:t xml:space="preserve"> </w:t>
      </w:r>
      <w:r w:rsidR="00AD17C9">
        <w:t>AS client</w:t>
      </w:r>
      <w:r w:rsidRPr="00F35946">
        <w:t xml:space="preserve"> receiving board payments, across any number of boarders is </w:t>
      </w:r>
      <w:r w:rsidR="00B159EC">
        <w:t>$100.</w:t>
      </w:r>
    </w:p>
    <w:p w14:paraId="356AD55A" w14:textId="47D84393" w:rsidR="0091158D" w:rsidRPr="00F35946" w:rsidRDefault="0091158D" w:rsidP="006C05B1">
      <w:pPr>
        <w:numPr>
          <w:ilvl w:val="0"/>
          <w:numId w:val="4"/>
        </w:numPr>
        <w:spacing w:before="60" w:line="240" w:lineRule="auto"/>
        <w:ind w:left="567" w:hanging="567"/>
      </w:pPr>
      <w:r w:rsidRPr="00F35946">
        <w:t>The average loss per week</w:t>
      </w:r>
      <w:r>
        <w:rPr>
          <w:rStyle w:val="FootnoteReference"/>
        </w:rPr>
        <w:footnoteReference w:id="23"/>
      </w:r>
      <w:r w:rsidRPr="00F35946">
        <w:t xml:space="preserve"> for</w:t>
      </w:r>
      <w:r w:rsidR="00FD3AA0">
        <w:t xml:space="preserve"> </w:t>
      </w:r>
      <w:r w:rsidR="00745A88">
        <w:t>AS</w:t>
      </w:r>
      <w:r w:rsidR="005A5C71">
        <w:t xml:space="preserve"> clients </w:t>
      </w:r>
      <w:r w:rsidR="005A5C71" w:rsidRPr="005A5C71">
        <w:t>receiving board payments with</w:t>
      </w:r>
      <w:r w:rsidRPr="00F35946">
        <w:t>:</w:t>
      </w:r>
    </w:p>
    <w:p w14:paraId="5E87A267" w14:textId="77777777" w:rsidR="0091158D" w:rsidRPr="00F35946" w:rsidRDefault="0091158D" w:rsidP="006C05B1">
      <w:pPr>
        <w:numPr>
          <w:ilvl w:val="1"/>
          <w:numId w:val="4"/>
        </w:numPr>
        <w:tabs>
          <w:tab w:val="left" w:pos="1418"/>
        </w:tabs>
        <w:spacing w:before="60" w:line="240" w:lineRule="auto"/>
        <w:ind w:left="992" w:hanging="425"/>
        <w:contextualSpacing/>
      </w:pPr>
      <w:r w:rsidRPr="00F35946">
        <w:t>one boarder is $92 per week</w:t>
      </w:r>
    </w:p>
    <w:p w14:paraId="146E38EA" w14:textId="1232968A" w:rsidR="0091158D" w:rsidRPr="00F35946" w:rsidRDefault="0091158D" w:rsidP="006C05B1">
      <w:pPr>
        <w:numPr>
          <w:ilvl w:val="1"/>
          <w:numId w:val="4"/>
        </w:numPr>
        <w:tabs>
          <w:tab w:val="left" w:pos="1418"/>
        </w:tabs>
        <w:spacing w:before="60" w:line="240" w:lineRule="auto"/>
        <w:ind w:left="992" w:hanging="425"/>
        <w:contextualSpacing/>
      </w:pPr>
      <w:r w:rsidRPr="00F35946">
        <w:t>two boarders is $14</w:t>
      </w:r>
      <w:r w:rsidR="00A9733F">
        <w:t>8</w:t>
      </w:r>
      <w:r w:rsidRPr="00F35946">
        <w:t xml:space="preserve"> per week</w:t>
      </w:r>
    </w:p>
    <w:p w14:paraId="638A2745" w14:textId="77777777" w:rsidR="0091158D" w:rsidRPr="00F35946" w:rsidRDefault="0091158D" w:rsidP="006C05B1">
      <w:pPr>
        <w:numPr>
          <w:ilvl w:val="1"/>
          <w:numId w:val="4"/>
        </w:numPr>
        <w:tabs>
          <w:tab w:val="left" w:pos="1418"/>
        </w:tabs>
        <w:spacing w:before="60" w:line="240" w:lineRule="auto"/>
        <w:ind w:left="992" w:hanging="425"/>
      </w:pPr>
      <w:r w:rsidRPr="00F35946">
        <w:t xml:space="preserve">three boarders is $202 per week. </w:t>
      </w:r>
    </w:p>
    <w:p w14:paraId="286C067E" w14:textId="7AAE1375" w:rsidR="0091158D" w:rsidRPr="00882451" w:rsidRDefault="0091158D" w:rsidP="006C05B1">
      <w:pPr>
        <w:pStyle w:val="BodyText-Numbered"/>
        <w:keepNext w:val="0"/>
      </w:pPr>
      <w:r w:rsidRPr="00C62F44">
        <w:rPr>
          <w:b/>
          <w:bCs/>
          <w:i/>
          <w:iCs/>
        </w:rPr>
        <w:t xml:space="preserve">Estimated loss of </w:t>
      </w:r>
      <w:r>
        <w:rPr>
          <w:b/>
          <w:bCs/>
          <w:i/>
          <w:iCs/>
        </w:rPr>
        <w:t>subsidy</w:t>
      </w:r>
      <w:r w:rsidRPr="00C62F44">
        <w:rPr>
          <w:b/>
          <w:bCs/>
          <w:i/>
          <w:iCs/>
        </w:rPr>
        <w:t xml:space="preserve"> for social housing tenants </w:t>
      </w:r>
      <w:r>
        <w:rPr>
          <w:b/>
          <w:bCs/>
          <w:i/>
          <w:iCs/>
        </w:rPr>
        <w:t>with</w:t>
      </w:r>
      <w:r w:rsidRPr="00C62F44">
        <w:rPr>
          <w:b/>
          <w:bCs/>
          <w:i/>
          <w:iCs/>
        </w:rPr>
        <w:t xml:space="preserve"> boarders</w:t>
      </w:r>
      <w:r w:rsidRPr="00C62F44">
        <w:rPr>
          <w:rFonts w:cs="Times New Roman"/>
          <w:b/>
          <w:bCs/>
          <w:i/>
          <w:iCs/>
        </w:rPr>
        <w:t xml:space="preserve"> under the agreed modified IRR calculation</w:t>
      </w:r>
    </w:p>
    <w:p w14:paraId="2AE439ED" w14:textId="713C718E" w:rsidR="0091158D" w:rsidRPr="00CD6892" w:rsidRDefault="0091158D" w:rsidP="006C05B1">
      <w:pPr>
        <w:numPr>
          <w:ilvl w:val="0"/>
          <w:numId w:val="4"/>
        </w:numPr>
        <w:spacing w:before="120" w:line="240" w:lineRule="auto"/>
        <w:ind w:left="567" w:hanging="567"/>
      </w:pPr>
      <w:r w:rsidRPr="00CD6892">
        <w:t xml:space="preserve">There are 6,200 affected households in </w:t>
      </w:r>
      <w:r w:rsidRPr="7AE5DC7C">
        <w:t>social housing</w:t>
      </w:r>
      <w:r>
        <w:t xml:space="preserve"> </w:t>
      </w:r>
      <w:r w:rsidRPr="00CD6892">
        <w:t xml:space="preserve">with at least one boarder </w:t>
      </w:r>
      <w:r>
        <w:t>and t</w:t>
      </w:r>
      <w:r w:rsidRPr="00882451">
        <w:t xml:space="preserve">here is an average </w:t>
      </w:r>
      <w:r w:rsidR="0014362C">
        <w:t>increase in their IRR</w:t>
      </w:r>
      <w:r w:rsidR="0014362C" w:rsidRPr="00882451">
        <w:t xml:space="preserve"> </w:t>
      </w:r>
      <w:r w:rsidRPr="00882451">
        <w:t xml:space="preserve">of $132 per week for affected </w:t>
      </w:r>
      <w:r w:rsidRPr="7AE5DC7C">
        <w:t>social housing</w:t>
      </w:r>
      <w:r w:rsidRPr="00882451">
        <w:t xml:space="preserve"> tenants receiving board payments.</w:t>
      </w:r>
      <w:r>
        <w:rPr>
          <w:rStyle w:val="FootnoteReference"/>
        </w:rPr>
        <w:footnoteReference w:id="24"/>
      </w:r>
      <w:r>
        <w:t xml:space="preserve"> </w:t>
      </w:r>
      <w:r w:rsidRPr="00CD6892">
        <w:t xml:space="preserve">Of the affected households, there would only be very small numbers of </w:t>
      </w:r>
      <w:r w:rsidRPr="7AE5DC7C">
        <w:t>social housing</w:t>
      </w:r>
      <w:r w:rsidRPr="00CD6892">
        <w:t xml:space="preserve"> tenants with excess income from boarders, so no</w:t>
      </w:r>
      <w:bookmarkStart w:id="50" w:name="_Hlk191464293"/>
      <w:r w:rsidRPr="00CD6892">
        <w:t xml:space="preserve"> impact on main benefits has been calculated for </w:t>
      </w:r>
      <w:r w:rsidRPr="7AE5DC7C">
        <w:t>social housing</w:t>
      </w:r>
      <w:r w:rsidRPr="00CD6892">
        <w:t xml:space="preserve"> tenants. </w:t>
      </w:r>
    </w:p>
    <w:bookmarkEnd w:id="50"/>
    <w:p w14:paraId="108F04C7" w14:textId="6FAE915A" w:rsidR="0091158D" w:rsidRPr="00C62F44" w:rsidRDefault="0091158D" w:rsidP="006C05B1">
      <w:pPr>
        <w:pStyle w:val="BodyText-Numbered"/>
        <w:keepNext w:val="0"/>
        <w:rPr>
          <w:i/>
          <w:iCs/>
        </w:rPr>
      </w:pPr>
      <w:r w:rsidRPr="00C62F44">
        <w:rPr>
          <w:i/>
          <w:iCs/>
        </w:rPr>
        <w:lastRenderedPageBreak/>
        <w:t>For comparison:</w:t>
      </w:r>
      <w:r w:rsidR="002A14D5">
        <w:rPr>
          <w:i/>
          <w:iCs/>
        </w:rPr>
        <w:t xml:space="preserve"> </w:t>
      </w:r>
      <w:r w:rsidRPr="00C62F44">
        <w:rPr>
          <w:i/>
          <w:iCs/>
        </w:rPr>
        <w:t xml:space="preserve">how clients in social housing would be affected under </w:t>
      </w:r>
      <w:r>
        <w:rPr>
          <w:i/>
          <w:iCs/>
        </w:rPr>
        <w:t>an</w:t>
      </w:r>
      <w:r w:rsidRPr="00C62F44">
        <w:rPr>
          <w:i/>
          <w:iCs/>
        </w:rPr>
        <w:t xml:space="preserve"> alternative IRR calculation option </w:t>
      </w:r>
    </w:p>
    <w:p w14:paraId="38DA8593" w14:textId="3425113C" w:rsidR="0091158D" w:rsidRPr="00A843ED" w:rsidRDefault="0091158D" w:rsidP="006C05B1">
      <w:pPr>
        <w:numPr>
          <w:ilvl w:val="0"/>
          <w:numId w:val="4"/>
        </w:numPr>
        <w:spacing w:before="60" w:line="240" w:lineRule="auto"/>
        <w:ind w:left="567" w:hanging="567"/>
      </w:pPr>
      <w:r w:rsidRPr="00882451">
        <w:t xml:space="preserve">There would be 6,100 affected households with at least one boarder in </w:t>
      </w:r>
      <w:r w:rsidRPr="7AE5DC7C">
        <w:t>social housing</w:t>
      </w:r>
      <w:r w:rsidRPr="00882451">
        <w:t>.</w:t>
      </w:r>
      <w:r w:rsidRPr="00882451">
        <w:rPr>
          <w:vertAlign w:val="superscript"/>
        </w:rPr>
        <w:footnoteReference w:id="25"/>
      </w:r>
      <w:r w:rsidRPr="00882451">
        <w:t xml:space="preserve"> </w:t>
      </w:r>
      <w:r>
        <w:t>Of those affected, t</w:t>
      </w:r>
      <w:r w:rsidRPr="00882451">
        <w:t xml:space="preserve">here would be an average </w:t>
      </w:r>
      <w:r w:rsidR="00CA7297">
        <w:t>IRR increase</w:t>
      </w:r>
      <w:r w:rsidR="00CA7297" w:rsidRPr="00882451">
        <w:t xml:space="preserve"> </w:t>
      </w:r>
      <w:r w:rsidRPr="00882451">
        <w:t xml:space="preserve">of $48 per week for the </w:t>
      </w:r>
      <w:r w:rsidRPr="7AE5DC7C">
        <w:t>social housing</w:t>
      </w:r>
      <w:r w:rsidRPr="00882451">
        <w:t xml:space="preserve"> tenants receiving board payments</w:t>
      </w:r>
      <w:r>
        <w:t>.</w:t>
      </w:r>
      <w:r>
        <w:rPr>
          <w:rStyle w:val="FootnoteReference"/>
        </w:rPr>
        <w:footnoteReference w:id="26"/>
      </w:r>
      <w:r>
        <w:t xml:space="preserve"> Since t</w:t>
      </w:r>
      <w:r w:rsidRPr="00A843ED">
        <w:t xml:space="preserve">here would be only very small numbers of </w:t>
      </w:r>
      <w:r w:rsidRPr="7AE5DC7C">
        <w:t>social housing</w:t>
      </w:r>
      <w:r w:rsidRPr="00A843ED">
        <w:t xml:space="preserve"> tenants with excess income from boarders, no impact on main benefit was calculated for </w:t>
      </w:r>
      <w:r w:rsidRPr="7AE5DC7C">
        <w:t>social housing</w:t>
      </w:r>
      <w:r w:rsidRPr="00A843ED">
        <w:t xml:space="preserve"> tenants. </w:t>
      </w:r>
    </w:p>
    <w:p w14:paraId="32431E03" w14:textId="3D667BEB" w:rsidR="0091158D" w:rsidRPr="00882451" w:rsidRDefault="0091158D" w:rsidP="006C05B1">
      <w:pPr>
        <w:numPr>
          <w:ilvl w:val="0"/>
          <w:numId w:val="4"/>
        </w:numPr>
        <w:spacing w:before="60" w:line="240" w:lineRule="auto"/>
        <w:ind w:left="567" w:hanging="567"/>
      </w:pPr>
      <w:bookmarkStart w:id="51" w:name="_Hlk191470676"/>
      <w:r w:rsidRPr="00882451">
        <w:t>We assumed for the calculations that these households would be affected from April 2027 – to reflect that rents can only be increased once a year. In practice</w:t>
      </w:r>
      <w:r>
        <w:t>,</w:t>
      </w:r>
      <w:r w:rsidRPr="00882451">
        <w:t xml:space="preserve"> </w:t>
      </w:r>
      <w:r w:rsidR="00394620">
        <w:t xml:space="preserve">affected </w:t>
      </w:r>
      <w:r w:rsidRPr="00882451">
        <w:rPr>
          <w:bCs/>
        </w:rPr>
        <w:t>social housing</w:t>
      </w:r>
      <w:r w:rsidRPr="00882451">
        <w:t xml:space="preserve"> tenants’ rents will </w:t>
      </w:r>
      <w:r w:rsidR="00E47C93">
        <w:t>increase</w:t>
      </w:r>
      <w:r w:rsidR="00E47C93" w:rsidRPr="00882451">
        <w:t xml:space="preserve"> </w:t>
      </w:r>
      <w:r w:rsidRPr="00882451">
        <w:t>between 2 May 2026 and 2 May 2027</w:t>
      </w:r>
      <w:bookmarkEnd w:id="51"/>
      <w:r w:rsidRPr="00882451">
        <w:t xml:space="preserve">. </w:t>
      </w:r>
    </w:p>
    <w:p w14:paraId="53E3291D" w14:textId="7AB900AF" w:rsidR="0091158D" w:rsidRPr="007F2C5C" w:rsidRDefault="00684597" w:rsidP="006C05B1">
      <w:pPr>
        <w:spacing w:before="60" w:line="240" w:lineRule="auto"/>
        <w:rPr>
          <w:b/>
          <w:bCs/>
          <w:i/>
          <w:iCs/>
        </w:rPr>
      </w:pPr>
      <w:r>
        <w:rPr>
          <w:b/>
          <w:bCs/>
          <w:i/>
          <w:iCs/>
        </w:rPr>
        <w:t>I</w:t>
      </w:r>
      <w:r w:rsidR="00F06D93">
        <w:rPr>
          <w:b/>
          <w:bCs/>
          <w:i/>
          <w:iCs/>
        </w:rPr>
        <w:t>nclud</w:t>
      </w:r>
      <w:r>
        <w:rPr>
          <w:b/>
          <w:bCs/>
          <w:i/>
          <w:iCs/>
        </w:rPr>
        <w:t>ing excess income</w:t>
      </w:r>
      <w:r w:rsidR="00F06D93">
        <w:rPr>
          <w:b/>
          <w:bCs/>
          <w:i/>
          <w:iCs/>
        </w:rPr>
        <w:t xml:space="preserve"> </w:t>
      </w:r>
      <w:r w:rsidR="0091158D" w:rsidRPr="007F2C5C">
        <w:rPr>
          <w:b/>
          <w:bCs/>
          <w:i/>
          <w:iCs/>
        </w:rPr>
        <w:t xml:space="preserve">from boarders </w:t>
      </w:r>
      <w:r>
        <w:rPr>
          <w:b/>
          <w:bCs/>
          <w:i/>
          <w:iCs/>
        </w:rPr>
        <w:t xml:space="preserve">in assessment of income-tested assistance </w:t>
      </w:r>
      <w:r w:rsidR="0091158D" w:rsidRPr="007F2C5C">
        <w:rPr>
          <w:b/>
          <w:bCs/>
          <w:i/>
          <w:iCs/>
        </w:rPr>
        <w:t xml:space="preserve">will </w:t>
      </w:r>
      <w:r w:rsidR="00BE3FF5">
        <w:rPr>
          <w:b/>
          <w:bCs/>
          <w:i/>
          <w:iCs/>
        </w:rPr>
        <w:t>impact some households</w:t>
      </w:r>
    </w:p>
    <w:p w14:paraId="4CAD1713" w14:textId="77777777" w:rsidR="0091158D" w:rsidRPr="00F35946" w:rsidRDefault="0091158D" w:rsidP="006C05B1">
      <w:pPr>
        <w:numPr>
          <w:ilvl w:val="0"/>
          <w:numId w:val="4"/>
        </w:numPr>
        <w:spacing w:before="60" w:line="240" w:lineRule="auto"/>
        <w:ind w:left="567" w:hanging="567"/>
      </w:pPr>
      <w:r w:rsidRPr="00F35946">
        <w:t>The negative cost-of-living impact of this initiative may increase for some households, as a result of the decision to include excess income from boarders in the assessment of eligibility and rate for income-tested assistance. This change will have a higher negative impact on households with excess income from boarders.</w:t>
      </w:r>
    </w:p>
    <w:p w14:paraId="275B1011" w14:textId="265C3E20" w:rsidR="0091158D" w:rsidRPr="00F35946" w:rsidRDefault="0091158D" w:rsidP="006C05B1">
      <w:pPr>
        <w:numPr>
          <w:ilvl w:val="0"/>
          <w:numId w:val="4"/>
        </w:numPr>
        <w:spacing w:before="60" w:line="240" w:lineRule="auto"/>
        <w:ind w:left="567" w:hanging="567"/>
      </w:pPr>
      <w:r w:rsidRPr="00176102">
        <w:t xml:space="preserve">Of the estimated 7,000 households receiving the AS who have boarders and will be impacted by this change (see the Limitations and Constraints section </w:t>
      </w:r>
      <w:r w:rsidRPr="00776538">
        <w:t xml:space="preserve">on page </w:t>
      </w:r>
      <w:r w:rsidR="000C4896" w:rsidRPr="00776538">
        <w:t>6</w:t>
      </w:r>
      <w:r w:rsidRPr="00176102">
        <w:t xml:space="preserve"> for limitations of this assumption), we expect only 500 to have excess income from boarders. </w:t>
      </w:r>
    </w:p>
    <w:p w14:paraId="6B841FAF" w14:textId="77777777" w:rsidR="0091158D" w:rsidRPr="00176102" w:rsidRDefault="0091158D" w:rsidP="006C05B1">
      <w:pPr>
        <w:numPr>
          <w:ilvl w:val="0"/>
          <w:numId w:val="4"/>
        </w:numPr>
        <w:spacing w:before="60" w:line="240" w:lineRule="auto"/>
        <w:ind w:left="567" w:hanging="567"/>
      </w:pPr>
      <w:r w:rsidRPr="00176102">
        <w:t xml:space="preserve">Only very small numbers of social housing tenants have excess income from boarders, so the impact of this setting on social housing tenants is expected to be minimal. </w:t>
      </w:r>
    </w:p>
    <w:p w14:paraId="721B0496" w14:textId="43B36A23" w:rsidR="0091158D" w:rsidRPr="007F2C5C" w:rsidRDefault="00E61B11" w:rsidP="006C05B1">
      <w:pPr>
        <w:spacing w:before="60" w:line="240" w:lineRule="auto"/>
        <w:rPr>
          <w:b/>
          <w:bCs/>
          <w:i/>
          <w:iCs/>
        </w:rPr>
      </w:pPr>
      <w:r>
        <w:rPr>
          <w:b/>
          <w:bCs/>
          <w:i/>
          <w:iCs/>
        </w:rPr>
        <w:t xml:space="preserve">There may be a </w:t>
      </w:r>
      <w:r w:rsidR="00B50AB4">
        <w:rPr>
          <w:b/>
          <w:bCs/>
          <w:i/>
          <w:iCs/>
        </w:rPr>
        <w:t xml:space="preserve">negative </w:t>
      </w:r>
      <w:r>
        <w:rPr>
          <w:b/>
          <w:bCs/>
          <w:i/>
          <w:iCs/>
        </w:rPr>
        <w:t xml:space="preserve">financial impact </w:t>
      </w:r>
      <w:r w:rsidR="007D04A2">
        <w:rPr>
          <w:b/>
          <w:bCs/>
          <w:i/>
          <w:iCs/>
        </w:rPr>
        <w:t xml:space="preserve">on some </w:t>
      </w:r>
      <w:r w:rsidR="005D7414">
        <w:rPr>
          <w:b/>
          <w:bCs/>
          <w:i/>
          <w:iCs/>
        </w:rPr>
        <w:t xml:space="preserve">clients </w:t>
      </w:r>
      <w:r w:rsidR="007D04A2">
        <w:rPr>
          <w:b/>
          <w:bCs/>
          <w:i/>
          <w:iCs/>
        </w:rPr>
        <w:t xml:space="preserve">due to </w:t>
      </w:r>
      <w:r w:rsidR="005E7BCA">
        <w:rPr>
          <w:b/>
          <w:bCs/>
          <w:i/>
          <w:iCs/>
        </w:rPr>
        <w:t>c</w:t>
      </w:r>
      <w:r w:rsidR="0091158D" w:rsidRPr="007F2C5C">
        <w:rPr>
          <w:b/>
          <w:bCs/>
          <w:i/>
          <w:iCs/>
        </w:rPr>
        <w:t>larifying the treatment of boarders and renters</w:t>
      </w:r>
    </w:p>
    <w:p w14:paraId="118BE09C" w14:textId="4F2F80F9" w:rsidR="0091158D" w:rsidRPr="00F35946" w:rsidRDefault="0091158D" w:rsidP="006C05B1">
      <w:pPr>
        <w:numPr>
          <w:ilvl w:val="0"/>
          <w:numId w:val="4"/>
        </w:numPr>
        <w:spacing w:before="60" w:line="240" w:lineRule="auto"/>
        <w:ind w:left="567" w:hanging="567"/>
      </w:pPr>
      <w:r>
        <w:t xml:space="preserve">There may be </w:t>
      </w:r>
      <w:r w:rsidR="00766CC3">
        <w:t>some</w:t>
      </w:r>
      <w:r>
        <w:t xml:space="preserve"> </w:t>
      </w:r>
      <w:r w:rsidR="00257C8D">
        <w:t xml:space="preserve">financial </w:t>
      </w:r>
      <w:r>
        <w:t xml:space="preserve">impact </w:t>
      </w:r>
      <w:r w:rsidR="00797CB2">
        <w:t xml:space="preserve">on people </w:t>
      </w:r>
      <w:r>
        <w:t>currently treated as boarders or renters for the purposes of Social Security Act assistance, if, in practice, they change from being considered a renter to a boarder (or vice versa) under the proposed definition of boarder or renter.</w:t>
      </w:r>
      <w:r w:rsidR="00FF6B63">
        <w:t xml:space="preserve">  </w:t>
      </w:r>
    </w:p>
    <w:p w14:paraId="3E348CB9" w14:textId="70DBAB04" w:rsidR="0091158D" w:rsidRPr="008E4EFD" w:rsidRDefault="00766CC3" w:rsidP="006C05B1">
      <w:pPr>
        <w:numPr>
          <w:ilvl w:val="0"/>
          <w:numId w:val="4"/>
        </w:numPr>
        <w:spacing w:before="60" w:line="240" w:lineRule="auto"/>
        <w:ind w:left="567" w:hanging="567"/>
      </w:pPr>
      <w:r w:rsidRPr="00F35946">
        <w:t>As at the end of November 2024, the total number of renters receiving the AS is 268,746. The number of boarders receiving the AS is 70,683.</w:t>
      </w:r>
      <w:r>
        <w:t xml:space="preserve"> </w:t>
      </w:r>
      <w:r w:rsidR="0091158D" w:rsidRPr="00F35946">
        <w:t xml:space="preserve">Generally, these changes will align the legislation to how MSD currently treats boarders and renters. </w:t>
      </w:r>
    </w:p>
    <w:p w14:paraId="01077D10" w14:textId="30665FEA" w:rsidR="0091158D" w:rsidRPr="00CA47AE" w:rsidDel="00FA0BEC" w:rsidRDefault="0091158D" w:rsidP="006C05B1">
      <w:pPr>
        <w:spacing w:before="60" w:line="240" w:lineRule="auto"/>
        <w:rPr>
          <w:b/>
          <w:bCs/>
          <w:i/>
          <w:iCs/>
        </w:rPr>
      </w:pPr>
      <w:r w:rsidRPr="00CA47AE" w:rsidDel="00FA0BEC">
        <w:rPr>
          <w:b/>
          <w:bCs/>
          <w:i/>
          <w:iCs/>
        </w:rPr>
        <w:t>Confirming the rate of AS and IRR when there is a mismatch between information provided about the rate of board or rent paid, and the rate of board or rent received</w:t>
      </w:r>
    </w:p>
    <w:p w14:paraId="175578DA" w14:textId="5991C307" w:rsidR="0091158D" w:rsidDel="00FA0BEC" w:rsidRDefault="0091158D" w:rsidP="006C05B1">
      <w:pPr>
        <w:numPr>
          <w:ilvl w:val="0"/>
          <w:numId w:val="4"/>
        </w:numPr>
        <w:spacing w:before="60" w:line="240" w:lineRule="auto"/>
        <w:ind w:left="567" w:hanging="567"/>
      </w:pPr>
      <w:r w:rsidRPr="0037172D" w:rsidDel="00FA0BEC">
        <w:t xml:space="preserve">MSD believes this process will </w:t>
      </w:r>
      <w:r w:rsidR="00663D27" w:rsidRPr="00663D27">
        <w:t xml:space="preserve">provide sufficient incentive for </w:t>
      </w:r>
      <w:r w:rsidRPr="0037172D" w:rsidDel="00FA0BEC">
        <w:t xml:space="preserve">clients to provide MSD with correct and consistent information, which is required for MSD to accurately determine </w:t>
      </w:r>
      <w:r w:rsidDel="00FA0BEC">
        <w:t xml:space="preserve">a </w:t>
      </w:r>
      <w:r w:rsidRPr="0037172D" w:rsidDel="00FA0BEC">
        <w:t xml:space="preserve">client’s </w:t>
      </w:r>
      <w:r w:rsidR="004239F3" w:rsidRPr="004239F3">
        <w:t xml:space="preserve">correct </w:t>
      </w:r>
      <w:r w:rsidRPr="0037172D" w:rsidDel="00FA0BEC">
        <w:t>rate of AS and IRR. We have tested this proposed approach with the Office of the Privacy Commissioner, and it is their view that these processes appear to be reasonable and appropriate</w:t>
      </w:r>
      <w:r w:rsidDel="00FA0BEC">
        <w:t>.</w:t>
      </w:r>
    </w:p>
    <w:p w14:paraId="4509F2DA" w14:textId="013E0FE0" w:rsidR="0091158D" w:rsidDel="00FA0BEC" w:rsidRDefault="0091158D" w:rsidP="006C05B1">
      <w:pPr>
        <w:numPr>
          <w:ilvl w:val="0"/>
          <w:numId w:val="4"/>
        </w:numPr>
        <w:spacing w:before="60" w:line="240" w:lineRule="auto"/>
        <w:ind w:left="567" w:hanging="567"/>
      </w:pPr>
      <w:r w:rsidRPr="0037172D" w:rsidDel="00FA0BEC">
        <w:t xml:space="preserve">To support these settings, both internal and </w:t>
      </w:r>
      <w:r w:rsidR="003F560C" w:rsidRPr="0037172D" w:rsidDel="00FA0BEC">
        <w:t>publicly</w:t>
      </w:r>
      <w:r w:rsidR="003F560C" w:rsidDel="00FA0BEC">
        <w:t xml:space="preserve"> available</w:t>
      </w:r>
      <w:r w:rsidRPr="0037172D" w:rsidDel="00FA0BEC">
        <w:t xml:space="preserve"> guidance will be used to clearly explain the responsibilities of clients involved in a boarding situation, and the </w:t>
      </w:r>
      <w:r w:rsidRPr="0037172D" w:rsidDel="00FA0BEC">
        <w:lastRenderedPageBreak/>
        <w:t>process that can lead to suspension or cancelation of AS, or an increase of IRR to market rent</w:t>
      </w:r>
      <w:r w:rsidDel="00FA0BEC">
        <w:t>.</w:t>
      </w:r>
    </w:p>
    <w:p w14:paraId="29B66841" w14:textId="77777777" w:rsidR="0091158D" w:rsidRPr="009A31F9" w:rsidRDefault="0091158D" w:rsidP="006C05B1">
      <w:pPr>
        <w:pStyle w:val="Heading3"/>
        <w:keepNext w:val="0"/>
      </w:pPr>
      <w:bookmarkStart w:id="52" w:name="_Toc196390905"/>
      <w:r w:rsidRPr="009A31F9">
        <w:t>Distributional impacts</w:t>
      </w:r>
      <w:bookmarkEnd w:id="52"/>
    </w:p>
    <w:p w14:paraId="55CA59AF" w14:textId="71EC3E1C" w:rsidR="0091158D" w:rsidRDefault="0091158D" w:rsidP="006C05B1">
      <w:pPr>
        <w:numPr>
          <w:ilvl w:val="0"/>
          <w:numId w:val="4"/>
        </w:numPr>
        <w:spacing w:before="60" w:line="240" w:lineRule="auto"/>
        <w:ind w:left="567" w:hanging="567"/>
      </w:pPr>
      <w:r w:rsidRPr="009A31F9">
        <w:t xml:space="preserve">The </w:t>
      </w:r>
      <w:r>
        <w:t xml:space="preserve">boarders’ contributions </w:t>
      </w:r>
      <w:r w:rsidRPr="009A31F9">
        <w:t xml:space="preserve">policy will </w:t>
      </w:r>
      <w:r>
        <w:t>disproportionately affect</w:t>
      </w:r>
      <w:r w:rsidRPr="009A31F9">
        <w:t xml:space="preserve"> a number of cohorts including </w:t>
      </w:r>
      <w:r>
        <w:t xml:space="preserve">Māori, </w:t>
      </w:r>
      <w:r w:rsidRPr="009A31F9">
        <w:t>Pacific peoples, older people, disabled people and young people.</w:t>
      </w:r>
      <w:r>
        <w:t xml:space="preserve"> </w:t>
      </w:r>
    </w:p>
    <w:p w14:paraId="4EDF60C5" w14:textId="562C4967" w:rsidR="0091158D" w:rsidRDefault="0091158D" w:rsidP="006C05B1">
      <w:pPr>
        <w:numPr>
          <w:ilvl w:val="0"/>
          <w:numId w:val="4"/>
        </w:numPr>
        <w:spacing w:before="60" w:line="240" w:lineRule="auto"/>
        <w:ind w:left="567" w:hanging="567"/>
      </w:pPr>
      <w:r>
        <w:t>Existing data on the number of households with boarders is limited.</w:t>
      </w:r>
      <w:r w:rsidRPr="008D6E0E">
        <w:t xml:space="preserve"> </w:t>
      </w:r>
      <w:r>
        <w:t>Th</w:t>
      </w:r>
      <w:r w:rsidRPr="008D6E0E">
        <w:t xml:space="preserve">is </w:t>
      </w:r>
      <w:r>
        <w:t xml:space="preserve">is </w:t>
      </w:r>
      <w:r w:rsidRPr="008D6E0E">
        <w:t xml:space="preserve">because </w:t>
      </w:r>
      <w:r w:rsidR="00B63A11">
        <w:t>MSD</w:t>
      </w:r>
      <w:r w:rsidR="00B63A11" w:rsidRPr="008D6E0E">
        <w:t xml:space="preserve"> </w:t>
      </w:r>
      <w:r w:rsidRPr="008D6E0E">
        <w:t>do</w:t>
      </w:r>
      <w:r w:rsidR="00B63A11">
        <w:t>es</w:t>
      </w:r>
      <w:r w:rsidRPr="008D6E0E">
        <w:t xml:space="preserve"> not collect this information routinely, as there is no need for it under current processes</w:t>
      </w:r>
      <w:r>
        <w:t xml:space="preserve"> (payments from one or two boarders are currently disregarded)</w:t>
      </w:r>
      <w:r w:rsidRPr="008D6E0E">
        <w:t xml:space="preserve">. </w:t>
      </w:r>
      <w:r>
        <w:t xml:space="preserve">Therefore, this section shows how various cohorts are overrepresented in housing subsidies receipt, and/or are more likely to be involved in boarding arrangements. All data presented below is as at 30 November 2024.   </w:t>
      </w:r>
    </w:p>
    <w:p w14:paraId="6A90495E" w14:textId="77777777" w:rsidR="0091158D" w:rsidRPr="00CA47AE" w:rsidRDefault="0091158D" w:rsidP="006C05B1">
      <w:pPr>
        <w:spacing w:before="60" w:line="240" w:lineRule="auto"/>
        <w:rPr>
          <w:b/>
          <w:bCs/>
          <w:i/>
          <w:iCs/>
        </w:rPr>
      </w:pPr>
      <w:r w:rsidRPr="00CA47AE">
        <w:rPr>
          <w:b/>
          <w:bCs/>
          <w:i/>
          <w:iCs/>
        </w:rPr>
        <w:t>Māori</w:t>
      </w:r>
    </w:p>
    <w:p w14:paraId="3C5B9941" w14:textId="77777777" w:rsidR="0091158D" w:rsidRDefault="0091158D" w:rsidP="006C05B1">
      <w:pPr>
        <w:numPr>
          <w:ilvl w:val="0"/>
          <w:numId w:val="4"/>
        </w:numPr>
        <w:spacing w:before="60" w:line="240" w:lineRule="auto"/>
        <w:ind w:left="567" w:hanging="567"/>
      </w:pPr>
      <w:r w:rsidRPr="00800849">
        <w:t xml:space="preserve">Māori are overrepresented in AS and Temporary Additional Support receipt. </w:t>
      </w:r>
      <w:r>
        <w:t>O</w:t>
      </w:r>
      <w:r w:rsidRPr="00800849">
        <w:t>f the 377,031 AS recipients, the total number of Māori who receive AS is 119,3</w:t>
      </w:r>
      <w:r w:rsidRPr="00595B10">
        <w:t>34 (</w:t>
      </w:r>
      <w:bookmarkStart w:id="53" w:name="_Hlk191467050"/>
      <w:r w:rsidRPr="00595B10">
        <w:t>31.65</w:t>
      </w:r>
      <w:r>
        <w:t xml:space="preserve"> percent</w:t>
      </w:r>
      <w:r w:rsidRPr="00595B10">
        <w:t xml:space="preserve"> of AS recipients</w:t>
      </w:r>
      <w:bookmarkEnd w:id="53"/>
      <w:r w:rsidRPr="00595B10">
        <w:t>). Of</w:t>
      </w:r>
      <w:r w:rsidRPr="00800849">
        <w:t xml:space="preserve"> the 105,300 Temporary Additional Support recipients, the total number of Māori </w:t>
      </w:r>
      <w:r>
        <w:t>receiving</w:t>
      </w:r>
      <w:r w:rsidRPr="00800849">
        <w:t xml:space="preserve"> Temporary Additional Support is 36,432</w:t>
      </w:r>
      <w:r>
        <w:t xml:space="preserve"> </w:t>
      </w:r>
      <w:r w:rsidRPr="00595B10">
        <w:t>(34.60</w:t>
      </w:r>
      <w:r>
        <w:t xml:space="preserve"> percent</w:t>
      </w:r>
      <w:r w:rsidRPr="00595B10">
        <w:t xml:space="preserve"> of TAS recipients).</w:t>
      </w:r>
      <w:r w:rsidRPr="00800849">
        <w:t xml:space="preserve"> This means that Māori may be disproportionately impacted by the reduction in financial support available to households with boarders</w:t>
      </w:r>
      <w:r>
        <w:t>.</w:t>
      </w:r>
    </w:p>
    <w:p w14:paraId="211320FE" w14:textId="77777777" w:rsidR="0091158D" w:rsidRDefault="0091158D" w:rsidP="006C05B1">
      <w:pPr>
        <w:pStyle w:val="BodyText-Numbered"/>
        <w:keepNext w:val="0"/>
        <w:numPr>
          <w:ilvl w:val="0"/>
          <w:numId w:val="4"/>
        </w:numPr>
        <w:ind w:left="567" w:hanging="567"/>
        <w:rPr>
          <w:bCs/>
          <w:szCs w:val="22"/>
        </w:rPr>
      </w:pPr>
      <w:r w:rsidRPr="00072073">
        <w:rPr>
          <w:bCs/>
          <w:szCs w:val="22"/>
        </w:rPr>
        <w:t xml:space="preserve">As </w:t>
      </w:r>
      <w:r w:rsidRPr="00894773">
        <w:rPr>
          <w:lang w:val="en-NZ"/>
        </w:rPr>
        <w:t>Māori</w:t>
      </w:r>
      <w:r w:rsidRPr="00072073">
        <w:rPr>
          <w:bCs/>
          <w:szCs w:val="22"/>
        </w:rPr>
        <w:t xml:space="preserve"> are </w:t>
      </w:r>
      <w:r>
        <w:rPr>
          <w:bCs/>
          <w:szCs w:val="22"/>
        </w:rPr>
        <w:t>also</w:t>
      </w:r>
      <w:r w:rsidRPr="00072073">
        <w:rPr>
          <w:bCs/>
          <w:szCs w:val="22"/>
        </w:rPr>
        <w:t xml:space="preserve"> overrepresented in social housing, they are likely to be disproportionately impacted by the proposed changes</w:t>
      </w:r>
      <w:r>
        <w:rPr>
          <w:bCs/>
          <w:szCs w:val="22"/>
        </w:rPr>
        <w:t xml:space="preserve"> to how boarders’ contributions impact IRR</w:t>
      </w:r>
      <w:r w:rsidRPr="00072073">
        <w:rPr>
          <w:bCs/>
          <w:szCs w:val="22"/>
        </w:rPr>
        <w:t xml:space="preserve">. </w:t>
      </w:r>
      <w:r>
        <w:rPr>
          <w:bCs/>
          <w:szCs w:val="22"/>
        </w:rPr>
        <w:t>Of the 82,200 social housing households, t</w:t>
      </w:r>
      <w:r w:rsidRPr="00072073">
        <w:rPr>
          <w:bCs/>
          <w:szCs w:val="22"/>
        </w:rPr>
        <w:t xml:space="preserve">he total number of Māori households in social housing is </w:t>
      </w:r>
      <w:r w:rsidRPr="0067184F">
        <w:rPr>
          <w:szCs w:val="22"/>
        </w:rPr>
        <w:t>32,265 (39.25</w:t>
      </w:r>
      <w:r w:rsidRPr="00072073">
        <w:rPr>
          <w:bCs/>
          <w:szCs w:val="22"/>
        </w:rPr>
        <w:t xml:space="preserve"> percent of social housing households).</w:t>
      </w:r>
    </w:p>
    <w:p w14:paraId="75E56399" w14:textId="77777777" w:rsidR="0091158D" w:rsidRPr="00CA47AE" w:rsidRDefault="0091158D" w:rsidP="006C05B1">
      <w:pPr>
        <w:pStyle w:val="BodyText-Numbered"/>
        <w:keepNext w:val="0"/>
        <w:rPr>
          <w:b/>
          <w:bCs/>
          <w:i/>
          <w:iCs/>
          <w:szCs w:val="22"/>
        </w:rPr>
      </w:pPr>
      <w:r w:rsidRPr="00CA47AE">
        <w:rPr>
          <w:b/>
          <w:bCs/>
          <w:i/>
          <w:iCs/>
          <w:szCs w:val="22"/>
        </w:rPr>
        <w:t>Pacific peoples</w:t>
      </w:r>
    </w:p>
    <w:p w14:paraId="7C2ACEAD" w14:textId="77777777" w:rsidR="0091158D" w:rsidRDefault="0091158D" w:rsidP="006C05B1">
      <w:pPr>
        <w:numPr>
          <w:ilvl w:val="0"/>
          <w:numId w:val="4"/>
        </w:numPr>
        <w:spacing w:before="60" w:line="240" w:lineRule="auto"/>
        <w:ind w:left="567" w:hanging="567"/>
      </w:pPr>
      <w:r>
        <w:t>W</w:t>
      </w:r>
      <w:r w:rsidRPr="009A31F9">
        <w:t xml:space="preserve">e heard from MSD’s Pacific Reference Group that Pacific peoples tend to live in multi-generational households with boarding arrangements, so they are likely to be disproportionately impacted by </w:t>
      </w:r>
      <w:r>
        <w:t>the policy</w:t>
      </w:r>
      <w:r w:rsidRPr="009A31F9">
        <w:t xml:space="preserve">. </w:t>
      </w:r>
      <w:r w:rsidRPr="00800849">
        <w:t>This may reduce the amount of financial support available to those households</w:t>
      </w:r>
      <w:r>
        <w:t>,</w:t>
      </w:r>
      <w:r w:rsidRPr="00800849">
        <w:t xml:space="preserve"> by reducing the amount of AS or Temporary Additional Support the person receiving board is eligible for.</w:t>
      </w:r>
    </w:p>
    <w:p w14:paraId="1147CAD8" w14:textId="77777777" w:rsidR="0091158D" w:rsidRPr="00617456" w:rsidRDefault="0091158D" w:rsidP="006C05B1">
      <w:pPr>
        <w:numPr>
          <w:ilvl w:val="0"/>
          <w:numId w:val="4"/>
        </w:numPr>
        <w:spacing w:before="60" w:line="240" w:lineRule="auto"/>
        <w:ind w:left="567" w:hanging="567"/>
      </w:pPr>
      <w:r w:rsidRPr="00617456">
        <w:t>The total number of Pacific peoples who receive AS is 39,</w:t>
      </w:r>
      <w:r w:rsidRPr="00595B10">
        <w:t>492 (10.47</w:t>
      </w:r>
      <w:r>
        <w:t xml:space="preserve"> percent</w:t>
      </w:r>
      <w:r w:rsidRPr="00595B10">
        <w:t xml:space="preserve"> of AS recipients)</w:t>
      </w:r>
      <w:r w:rsidRPr="00617456">
        <w:t xml:space="preserve">, and the total number of Pacific peoples who receive Temporary Additional Support is 10,221 </w:t>
      </w:r>
      <w:r w:rsidRPr="00595B10">
        <w:t>(9.70</w:t>
      </w:r>
      <w:r>
        <w:t xml:space="preserve"> percent</w:t>
      </w:r>
      <w:r w:rsidRPr="00595B10">
        <w:t xml:space="preserve"> of TAS recipients)</w:t>
      </w:r>
      <w:r w:rsidRPr="00617456">
        <w:t xml:space="preserve">. Pacific peoples are also overrepresented in social housing and therefore likely to be disproportionately impacted by the proposed changes. The total number of Pacific households in social housing is 21,078 (25.64 percent of social housing households). </w:t>
      </w:r>
    </w:p>
    <w:p w14:paraId="0A3D8E06" w14:textId="77777777" w:rsidR="0091158D" w:rsidRPr="00CA47AE" w:rsidRDefault="0091158D" w:rsidP="006C05B1">
      <w:pPr>
        <w:spacing w:before="60" w:line="240" w:lineRule="auto"/>
        <w:rPr>
          <w:b/>
          <w:bCs/>
          <w:i/>
          <w:iCs/>
        </w:rPr>
      </w:pPr>
      <w:r w:rsidRPr="00CA47AE">
        <w:rPr>
          <w:b/>
          <w:bCs/>
          <w:i/>
          <w:iCs/>
        </w:rPr>
        <w:t>Older people</w:t>
      </w:r>
    </w:p>
    <w:p w14:paraId="767E2F94" w14:textId="437D7772" w:rsidR="0091158D" w:rsidRDefault="0091158D" w:rsidP="006C05B1">
      <w:pPr>
        <w:numPr>
          <w:ilvl w:val="0"/>
          <w:numId w:val="4"/>
        </w:numPr>
        <w:spacing w:before="60" w:line="240" w:lineRule="auto"/>
        <w:ind w:left="567" w:hanging="567"/>
      </w:pPr>
      <w:r w:rsidRPr="009A31F9">
        <w:t xml:space="preserve">We expect older people and their families to be disproportionately impacted by the policy changes due to the limited earning potential of </w:t>
      </w:r>
      <w:r w:rsidR="00A95F37">
        <w:t xml:space="preserve">many </w:t>
      </w:r>
      <w:r w:rsidRPr="009A31F9">
        <w:t>older people, which limits their housing options</w:t>
      </w:r>
      <w:r>
        <w:t>. M</w:t>
      </w:r>
      <w:r w:rsidRPr="009A31F9">
        <w:t>ore people are entering older age still paying a mortgage</w:t>
      </w:r>
      <w:r w:rsidR="00402C58">
        <w:t xml:space="preserve"> or renting</w:t>
      </w:r>
      <w:r w:rsidRPr="009A31F9">
        <w:t>. Around 14 percent of those aged 65 and over are paying a mortgage, and this trend of an increasing number of older homeowners still paying mortgages is expected to continue. Th</w:t>
      </w:r>
      <w:r>
        <w:t>e policy changes c</w:t>
      </w:r>
      <w:r w:rsidRPr="009A31F9">
        <w:t xml:space="preserve">ould affect older </w:t>
      </w:r>
      <w:r>
        <w:t>homeowners who have a boarder living with them, as the</w:t>
      </w:r>
      <w:r w:rsidRPr="009A31F9">
        <w:t xml:space="preserve"> changes </w:t>
      </w:r>
      <w:r>
        <w:t>will make</w:t>
      </w:r>
      <w:r w:rsidRPr="009A31F9">
        <w:t xml:space="preserve"> it less attractive for them to take on a boarder</w:t>
      </w:r>
      <w:r>
        <w:t xml:space="preserve">. It will also be </w:t>
      </w:r>
      <w:r w:rsidRPr="009A31F9">
        <w:t xml:space="preserve">less attractive for other households to </w:t>
      </w:r>
      <w:r>
        <w:t>take older people</w:t>
      </w:r>
      <w:r w:rsidRPr="009A31F9">
        <w:t xml:space="preserve"> in as a boarder.</w:t>
      </w:r>
    </w:p>
    <w:p w14:paraId="61F431D5" w14:textId="77777777" w:rsidR="0091158D" w:rsidRPr="00806395" w:rsidRDefault="0091158D" w:rsidP="006C05B1">
      <w:pPr>
        <w:numPr>
          <w:ilvl w:val="0"/>
          <w:numId w:val="4"/>
        </w:numPr>
        <w:spacing w:before="60" w:line="240" w:lineRule="auto"/>
        <w:ind w:left="567" w:hanging="567"/>
      </w:pPr>
      <w:r w:rsidRPr="00741F26">
        <w:t xml:space="preserve">There are 51,729 AS recipients aged 65 or older </w:t>
      </w:r>
      <w:r w:rsidRPr="00595B10">
        <w:t>(13.72</w:t>
      </w:r>
      <w:r>
        <w:t xml:space="preserve"> percent</w:t>
      </w:r>
      <w:r w:rsidRPr="00595B10">
        <w:t xml:space="preserve"> of AS recipients)</w:t>
      </w:r>
      <w:r w:rsidRPr="00741F26">
        <w:t xml:space="preserve"> and the total number of people 65 and over </w:t>
      </w:r>
      <w:r>
        <w:t>receiving</w:t>
      </w:r>
      <w:r w:rsidRPr="00741F26">
        <w:t xml:space="preserve"> Temporary Additional Support is 13,386 </w:t>
      </w:r>
      <w:r w:rsidRPr="00595B10">
        <w:t>(12.71</w:t>
      </w:r>
      <w:r>
        <w:t xml:space="preserve"> percent </w:t>
      </w:r>
      <w:r w:rsidRPr="00595B10">
        <w:t>of TAS recipients).</w:t>
      </w:r>
      <w:r w:rsidRPr="00741F26">
        <w:t xml:space="preserve"> </w:t>
      </w:r>
      <w:r w:rsidRPr="00776538">
        <w:t>The total number of social housing tenants who are aged 65 or older is 19,218 (23.38 percent of social housing households).</w:t>
      </w:r>
      <w:r w:rsidRPr="00806395">
        <w:t xml:space="preserve"> If the policy results in fewer boarding arrangements, it could affect older AS recipients. </w:t>
      </w:r>
      <w:r w:rsidRPr="00806395">
        <w:lastRenderedPageBreak/>
        <w:t xml:space="preserve">However, where the boarding arrangement is an extended family or caregiver arrangement, we do not expect the boarding arrangement to cease as a result, although the arrangement may be altered (see below). </w:t>
      </w:r>
    </w:p>
    <w:p w14:paraId="702895F6" w14:textId="77777777" w:rsidR="0091158D" w:rsidRPr="00806395" w:rsidRDefault="0091158D" w:rsidP="006C05B1">
      <w:pPr>
        <w:spacing w:before="60" w:line="240" w:lineRule="auto"/>
        <w:rPr>
          <w:b/>
          <w:bCs/>
          <w:i/>
          <w:iCs/>
        </w:rPr>
      </w:pPr>
      <w:r w:rsidRPr="00806395">
        <w:rPr>
          <w:b/>
          <w:bCs/>
          <w:i/>
          <w:iCs/>
        </w:rPr>
        <w:t>Disabled people</w:t>
      </w:r>
    </w:p>
    <w:p w14:paraId="600DF98C" w14:textId="77777777" w:rsidR="0091158D" w:rsidRPr="00806395" w:rsidRDefault="0091158D" w:rsidP="006C05B1">
      <w:pPr>
        <w:numPr>
          <w:ilvl w:val="0"/>
          <w:numId w:val="4"/>
        </w:numPr>
        <w:spacing w:before="60" w:line="240" w:lineRule="auto"/>
        <w:ind w:left="567" w:hanging="567"/>
      </w:pPr>
      <w:r w:rsidRPr="00806395">
        <w:t>Disabled people are likely to be disproportionately impacted by the proposed changes because many disabled people live with a support person who pays board. Due to the limited availability of accessible housing within the private housing market and social housing, disabled people often incur additional costs related to their housing as a result of their disability. Many disabled people also have less choice over whether they live with a support person or not.</w:t>
      </w:r>
    </w:p>
    <w:p w14:paraId="132B6161" w14:textId="1AE7925B" w:rsidR="0091158D" w:rsidRPr="00776538" w:rsidRDefault="0091158D" w:rsidP="006C05B1">
      <w:pPr>
        <w:numPr>
          <w:ilvl w:val="0"/>
          <w:numId w:val="4"/>
        </w:numPr>
        <w:spacing w:before="60" w:line="240" w:lineRule="auto"/>
        <w:ind w:left="567" w:hanging="567"/>
      </w:pPr>
      <w:r>
        <w:t>The number of disabled people who receive housing subsidies is difficult to ascertain, however, 51,459 Supported Living Payment recipients also receive AS and 18,486 receive Temporary Additional Support. Furthermore, there are 15,624</w:t>
      </w:r>
      <w:r w:rsidR="00482D28">
        <w:t xml:space="preserve"> </w:t>
      </w:r>
      <w:r>
        <w:t xml:space="preserve">Supported Living Payment recipients who are also social housing tenants. </w:t>
      </w:r>
    </w:p>
    <w:p w14:paraId="024380D6" w14:textId="77777777" w:rsidR="0091158D" w:rsidRPr="00CA47AE" w:rsidRDefault="0091158D" w:rsidP="006C05B1">
      <w:pPr>
        <w:spacing w:before="60" w:line="240" w:lineRule="auto"/>
        <w:rPr>
          <w:b/>
          <w:bCs/>
          <w:i/>
          <w:iCs/>
        </w:rPr>
      </w:pPr>
      <w:r w:rsidRPr="00CA47AE">
        <w:rPr>
          <w:b/>
          <w:bCs/>
          <w:i/>
          <w:iCs/>
        </w:rPr>
        <w:t>Young people</w:t>
      </w:r>
    </w:p>
    <w:p w14:paraId="72B246DD" w14:textId="21F2F2FC" w:rsidR="0091158D" w:rsidRPr="009A31F9" w:rsidRDefault="0091158D" w:rsidP="006C05B1">
      <w:pPr>
        <w:numPr>
          <w:ilvl w:val="0"/>
          <w:numId w:val="4"/>
        </w:numPr>
        <w:spacing w:before="60" w:line="240" w:lineRule="auto"/>
        <w:ind w:left="567" w:hanging="567"/>
      </w:pPr>
      <w:r w:rsidRPr="009A31F9">
        <w:t xml:space="preserve">Young people are more likely to be boarding compared to the general population. The impact on this cohort is worsened because of the difficulties faced by </w:t>
      </w:r>
      <w:r>
        <w:t xml:space="preserve">young people </w:t>
      </w:r>
      <w:r w:rsidRPr="009A31F9">
        <w:t>in the private rental market (i.e. discrimination in the private rental market and challenges faced in making tenancy agreements legally binding</w:t>
      </w:r>
      <w:r>
        <w:t xml:space="preserve"> for </w:t>
      </w:r>
      <w:r w:rsidRPr="001E2060">
        <w:t>16 and 17-year-olds</w:t>
      </w:r>
      <w:r w:rsidRPr="009A31F9">
        <w:t>).</w:t>
      </w:r>
      <w:r w:rsidRPr="009A31F9">
        <w:rPr>
          <w:vertAlign w:val="superscript"/>
        </w:rPr>
        <w:footnoteReference w:id="27"/>
      </w:r>
    </w:p>
    <w:p w14:paraId="3C55842C" w14:textId="77777777" w:rsidR="0091158D" w:rsidRPr="009A31F9" w:rsidRDefault="0091158D" w:rsidP="006C05B1">
      <w:pPr>
        <w:numPr>
          <w:ilvl w:val="0"/>
          <w:numId w:val="4"/>
        </w:numPr>
        <w:spacing w:before="60" w:line="240" w:lineRule="auto"/>
        <w:ind w:left="567" w:hanging="567"/>
      </w:pPr>
      <w:r w:rsidRPr="00F7071B">
        <w:t xml:space="preserve">The total number of </w:t>
      </w:r>
      <w:r>
        <w:t>16-to 24-year-olds</w:t>
      </w:r>
      <w:r w:rsidRPr="00F7071B">
        <w:t xml:space="preserve"> who receive AS is </w:t>
      </w:r>
      <w:r>
        <w:t>54,693</w:t>
      </w:r>
      <w:r w:rsidRPr="00F7071B">
        <w:t xml:space="preserve"> (</w:t>
      </w:r>
      <w:r>
        <w:t>14.51 percent</w:t>
      </w:r>
      <w:r w:rsidRPr="00F7071B">
        <w:t xml:space="preserve"> of AS recipients), and the total number of </w:t>
      </w:r>
      <w:r w:rsidRPr="008546CF">
        <w:t xml:space="preserve">16- to 24-year-olds </w:t>
      </w:r>
      <w:r w:rsidRPr="00F7071B">
        <w:t xml:space="preserve">who receive Temporary Additional Support is </w:t>
      </w:r>
      <w:r>
        <w:t>9,642</w:t>
      </w:r>
      <w:r w:rsidRPr="00F7071B">
        <w:t xml:space="preserve"> (</w:t>
      </w:r>
      <w:r>
        <w:t>9.16 percent</w:t>
      </w:r>
      <w:r w:rsidRPr="00F7071B">
        <w:t xml:space="preserve"> of TAS recipients).</w:t>
      </w:r>
    </w:p>
    <w:p w14:paraId="37BC6E84" w14:textId="77777777" w:rsidR="0091158D" w:rsidRPr="00CA47AE" w:rsidRDefault="0091158D" w:rsidP="006C05B1">
      <w:pPr>
        <w:spacing w:before="60" w:line="240" w:lineRule="auto"/>
        <w:rPr>
          <w:b/>
          <w:bCs/>
          <w:i/>
          <w:iCs/>
        </w:rPr>
      </w:pPr>
      <w:r w:rsidRPr="00CA47AE">
        <w:rPr>
          <w:b/>
          <w:bCs/>
          <w:i/>
          <w:iCs/>
        </w:rPr>
        <w:t>If the boarding arrangement is an extended family living situation, we expect the boarding arrangement is more likely to continue</w:t>
      </w:r>
      <w:r w:rsidRPr="00CA47AE" w:rsidDel="00E5387B">
        <w:rPr>
          <w:b/>
          <w:bCs/>
          <w:i/>
          <w:iCs/>
        </w:rPr>
        <w:t xml:space="preserve"> </w:t>
      </w:r>
    </w:p>
    <w:p w14:paraId="52E89252" w14:textId="77777777" w:rsidR="0091158D" w:rsidRPr="00E5387B" w:rsidRDefault="0091158D" w:rsidP="006C05B1">
      <w:pPr>
        <w:numPr>
          <w:ilvl w:val="0"/>
          <w:numId w:val="4"/>
        </w:numPr>
        <w:spacing w:before="60" w:line="240" w:lineRule="auto"/>
        <w:ind w:left="567" w:hanging="567"/>
      </w:pPr>
      <w:r w:rsidRPr="009A31F9">
        <w:t xml:space="preserve">For </w:t>
      </w:r>
      <w:r>
        <w:t>cohorts that disproportionately receive housing subsidies and/or are more likely to be part of a boarding arrangement</w:t>
      </w:r>
      <w:r w:rsidRPr="009A31F9">
        <w:t>, the</w:t>
      </w:r>
      <w:r>
        <w:t xml:space="preserve"> policy </w:t>
      </w:r>
      <w:r w:rsidRPr="009A31F9">
        <w:t xml:space="preserve">changes may make it harder </w:t>
      </w:r>
      <w:r>
        <w:t xml:space="preserve">for them </w:t>
      </w:r>
      <w:r w:rsidRPr="009A31F9">
        <w:t xml:space="preserve">to continue to afford their current accommodation. </w:t>
      </w:r>
      <w:r>
        <w:t xml:space="preserve">However, </w:t>
      </w:r>
      <w:r w:rsidRPr="00E5387B">
        <w:t xml:space="preserve">where the boarding </w:t>
      </w:r>
      <w:r>
        <w:t>arrangement</w:t>
      </w:r>
      <w:r w:rsidRPr="00E5387B">
        <w:t xml:space="preserve"> is an extended family living </w:t>
      </w:r>
      <w:r>
        <w:t>situation</w:t>
      </w:r>
      <w:r w:rsidRPr="00E5387B">
        <w:t xml:space="preserve">, we </w:t>
      </w:r>
      <w:r>
        <w:t>expect these boarding arrangements will be more likely to continue, despite the changes to how boarders’ contributions are treated</w:t>
      </w:r>
      <w:r w:rsidRPr="00E5387B">
        <w:t>.</w:t>
      </w:r>
    </w:p>
    <w:p w14:paraId="1E73500D" w14:textId="2F05430D" w:rsidR="00495435" w:rsidRDefault="0091158D" w:rsidP="006C05B1">
      <w:pPr>
        <w:numPr>
          <w:ilvl w:val="0"/>
          <w:numId w:val="4"/>
        </w:numPr>
        <w:spacing w:before="60" w:after="120" w:line="240" w:lineRule="auto"/>
        <w:ind w:left="567" w:hanging="567"/>
      </w:pPr>
      <w:r w:rsidRPr="009A31F9">
        <w:t>There are currently 70,683 boarders receiving the AS. Many are assumed to be adult children living with their families (25,026 boarders are under the age of 25 years</w:t>
      </w:r>
      <w:r>
        <w:t xml:space="preserve"> (35.41 percent)</w:t>
      </w:r>
      <w:r w:rsidRPr="009A31F9">
        <w:t>). There also appears to be a growing number of older parent(s) living with their adult children (7,821 boarders are aged 60 years or over</w:t>
      </w:r>
      <w:r>
        <w:t xml:space="preserve"> (11.06 percent)</w:t>
      </w:r>
      <w:r w:rsidRPr="009A31F9">
        <w:t>). It is possible in these cases that households may reconsider the household arrangement, or the arrangement they declare to MSD, in order to minimise any reduction in government support for their household. (See the “Boarders that are family” text box below.)</w:t>
      </w:r>
    </w:p>
    <w:p w14:paraId="77EA25E2" w14:textId="77777777" w:rsidR="00495435" w:rsidRDefault="00495435">
      <w:pPr>
        <w:spacing w:after="0" w:line="240" w:lineRule="auto"/>
      </w:pPr>
      <w:r>
        <w:br w:type="page"/>
      </w:r>
    </w:p>
    <w:tbl>
      <w:tblPr>
        <w:tblStyle w:val="TableGrid1"/>
        <w:tblW w:w="0" w:type="auto"/>
        <w:tblInd w:w="380" w:type="dxa"/>
        <w:tblLook w:val="04A0" w:firstRow="1" w:lastRow="0" w:firstColumn="1" w:lastColumn="0" w:noHBand="0" w:noVBand="1"/>
      </w:tblPr>
      <w:tblGrid>
        <w:gridCol w:w="8680"/>
      </w:tblGrid>
      <w:tr w:rsidR="004B5364" w:rsidRPr="009A31F9" w14:paraId="7B5B7594" w14:textId="77777777" w:rsidTr="008E539F">
        <w:tc>
          <w:tcPr>
            <w:tcW w:w="8680" w:type="dxa"/>
          </w:tcPr>
          <w:p w14:paraId="6FDFE4DA" w14:textId="77777777" w:rsidR="004B5364" w:rsidRPr="00776538" w:rsidRDefault="004B5364" w:rsidP="006C05B1">
            <w:pPr>
              <w:rPr>
                <w:b/>
                <w:w w:val="90"/>
                <w:sz w:val="24"/>
                <w:szCs w:val="24"/>
              </w:rPr>
            </w:pPr>
            <w:r w:rsidRPr="00776538">
              <w:rPr>
                <w:b/>
                <w:color w:val="2E74B5" w:themeColor="accent1" w:themeShade="BF"/>
                <w:w w:val="90"/>
                <w:sz w:val="24"/>
                <w:szCs w:val="24"/>
              </w:rPr>
              <w:lastRenderedPageBreak/>
              <w:t>Boarders that are family</w:t>
            </w:r>
          </w:p>
        </w:tc>
      </w:tr>
      <w:tr w:rsidR="004B5364" w:rsidRPr="009A31F9" w14:paraId="53863DFA" w14:textId="77777777" w:rsidTr="008E539F">
        <w:tc>
          <w:tcPr>
            <w:tcW w:w="8680" w:type="dxa"/>
          </w:tcPr>
          <w:p w14:paraId="39647DA6" w14:textId="51A1C0EB" w:rsidR="00B26E53" w:rsidRDefault="004B5364" w:rsidP="006C05B1">
            <w:pPr>
              <w:spacing w:before="120" w:line="240" w:lineRule="auto"/>
              <w:rPr>
                <w:color w:val="000000"/>
                <w:kern w:val="22"/>
              </w:rPr>
            </w:pPr>
            <w:r w:rsidRPr="009A31F9">
              <w:rPr>
                <w:color w:val="000000"/>
                <w:kern w:val="22"/>
              </w:rPr>
              <w:t xml:space="preserve">When modelling the expected savings as part of Budget 2024, we took a small </w:t>
            </w:r>
            <w:r w:rsidR="00872E78" w:rsidRPr="009A31F9">
              <w:rPr>
                <w:color w:val="000000"/>
                <w:kern w:val="22"/>
              </w:rPr>
              <w:t>sample</w:t>
            </w:r>
            <w:r w:rsidR="00872E78">
              <w:rPr>
                <w:color w:val="000000"/>
                <w:kern w:val="22"/>
              </w:rPr>
              <w:t xml:space="preserve"> </w:t>
            </w:r>
            <w:r w:rsidR="00F373EB">
              <w:rPr>
                <w:color w:val="000000"/>
                <w:kern w:val="22"/>
              </w:rPr>
              <w:t xml:space="preserve">of </w:t>
            </w:r>
            <w:r w:rsidR="005C3E0F">
              <w:rPr>
                <w:color w:val="000000"/>
                <w:kern w:val="22"/>
              </w:rPr>
              <w:t>40 clients</w:t>
            </w:r>
            <w:r w:rsidRPr="009A31F9">
              <w:rPr>
                <w:color w:val="000000"/>
                <w:kern w:val="22"/>
              </w:rPr>
              <w:t xml:space="preserve"> to identify how many genuine boarder situations could be identified.</w:t>
            </w:r>
            <w:r w:rsidRPr="7AE5DC7C">
              <w:rPr>
                <w:kern w:val="22"/>
                <w:position w:val="8"/>
                <w:sz w:val="16"/>
                <w:szCs w:val="16"/>
              </w:rPr>
              <w:footnoteReference w:id="28"/>
            </w:r>
            <w:r w:rsidRPr="009A31F9">
              <w:rPr>
                <w:color w:val="000000"/>
                <w:kern w:val="22"/>
              </w:rPr>
              <w:t xml:space="preserve"> </w:t>
            </w:r>
          </w:p>
          <w:p w14:paraId="5ACBB25B" w14:textId="6C73A5A6" w:rsidR="004B5364" w:rsidRPr="00224439" w:rsidRDefault="00B26E53" w:rsidP="006C05B1">
            <w:pPr>
              <w:spacing w:before="120" w:line="240" w:lineRule="auto"/>
              <w:rPr>
                <w:color w:val="000000"/>
                <w:kern w:val="22"/>
              </w:rPr>
            </w:pPr>
            <w:r>
              <w:rPr>
                <w:color w:val="000000"/>
                <w:kern w:val="22"/>
              </w:rPr>
              <w:t>W</w:t>
            </w:r>
            <w:r w:rsidR="004B5364" w:rsidRPr="009A31F9">
              <w:rPr>
                <w:color w:val="000000"/>
                <w:kern w:val="22"/>
              </w:rPr>
              <w:t>e</w:t>
            </w:r>
            <w:r w:rsidR="000315BB">
              <w:rPr>
                <w:color w:val="000000"/>
                <w:kern w:val="22"/>
              </w:rPr>
              <w:t xml:space="preserve"> </w:t>
            </w:r>
            <w:r w:rsidR="00801EE5">
              <w:rPr>
                <w:color w:val="000000"/>
                <w:kern w:val="22"/>
              </w:rPr>
              <w:t>then</w:t>
            </w:r>
            <w:r w:rsidR="004B5364" w:rsidRPr="009A31F9">
              <w:rPr>
                <w:color w:val="000000"/>
                <w:kern w:val="22"/>
              </w:rPr>
              <w:t xml:space="preserve"> attempted to identify family boarding arrangements for 24 households with boarders.</w:t>
            </w:r>
            <w:r>
              <w:rPr>
                <w:color w:val="000000"/>
                <w:kern w:val="22"/>
              </w:rPr>
              <w:t xml:space="preserve"> </w:t>
            </w:r>
            <w:r w:rsidR="004B5364" w:rsidRPr="007E192B">
              <w:rPr>
                <w:color w:val="000000"/>
                <w:kern w:val="22"/>
              </w:rPr>
              <w:t>Of the 24 households, at least 15 (62.5 percent) appear to include one or more boarders in the household who are a family member of the homeowner or tenant. This includes situations of adult children living with their parents, grandparents, siblings and cousins.</w:t>
            </w:r>
          </w:p>
        </w:tc>
      </w:tr>
    </w:tbl>
    <w:p w14:paraId="0841973B" w14:textId="77777777" w:rsidR="00963B0B" w:rsidRPr="00CA47AE" w:rsidRDefault="00963B0B" w:rsidP="006C05B1">
      <w:pPr>
        <w:pStyle w:val="Heading3"/>
        <w:keepNext w:val="0"/>
      </w:pPr>
      <w:bookmarkStart w:id="54" w:name="_Toc196390906"/>
      <w:r w:rsidRPr="00CA47AE">
        <w:t>Forecasted savings</w:t>
      </w:r>
      <w:bookmarkEnd w:id="54"/>
    </w:p>
    <w:p w14:paraId="57536C47" w14:textId="77777777" w:rsidR="00963B0B" w:rsidRPr="008E4EFD" w:rsidRDefault="00963B0B" w:rsidP="006C05B1">
      <w:pPr>
        <w:pStyle w:val="BodyText-Numbered"/>
        <w:keepNext w:val="0"/>
        <w:numPr>
          <w:ilvl w:val="0"/>
          <w:numId w:val="4"/>
        </w:numPr>
        <w:ind w:left="567" w:hanging="567"/>
      </w:pPr>
      <w:r w:rsidRPr="008E4EFD">
        <w:t xml:space="preserve">As part of Budget 2024 decisions, this initiative is expected to return $150.96 million in operating funding over four years. This includes a reduction of $76.854 million in expenditure on the AS, $21.416 million on the IRR Subsidy, and $63.353 million on Temporary Additional Support and Special Benefit over the forecast period. Net savings from this initiative using these figures have been returned to the Crown. </w:t>
      </w:r>
    </w:p>
    <w:p w14:paraId="366DC253" w14:textId="77777777" w:rsidR="00963B0B" w:rsidRPr="008E4EFD" w:rsidRDefault="00963B0B" w:rsidP="006C05B1">
      <w:pPr>
        <w:numPr>
          <w:ilvl w:val="0"/>
          <w:numId w:val="4"/>
        </w:numPr>
        <w:spacing w:before="60" w:line="240" w:lineRule="auto"/>
        <w:ind w:left="567" w:hanging="567"/>
      </w:pPr>
      <w:r w:rsidRPr="008E4EFD">
        <w:t xml:space="preserve">Following policy decisions, we have updated the modelling used to inform the expected savings. This updated costing has resulted in a drop in the expected </w:t>
      </w:r>
      <w:r>
        <w:t xml:space="preserve">benefits or related expenses </w:t>
      </w:r>
      <w:r w:rsidRPr="008E4EFD">
        <w:t>savings under Vote Social Development over the forecast period</w:t>
      </w:r>
      <w:r>
        <w:t>,</w:t>
      </w:r>
      <w:r w:rsidRPr="008E4EFD">
        <w:t xml:space="preserve"> which is expected to be offset by a modelled increase in savings within Vote Housing. </w:t>
      </w:r>
    </w:p>
    <w:p w14:paraId="2BC4BE86" w14:textId="77777777" w:rsidR="00963B0B" w:rsidRPr="008E4EFD" w:rsidRDefault="00963B0B" w:rsidP="006C05B1">
      <w:pPr>
        <w:numPr>
          <w:ilvl w:val="0"/>
          <w:numId w:val="4"/>
        </w:numPr>
        <w:spacing w:before="60" w:line="240" w:lineRule="auto"/>
        <w:ind w:left="567" w:hanging="567"/>
      </w:pPr>
      <w:r w:rsidRPr="008E4EFD">
        <w:t xml:space="preserve">With the agreed changes to recognise excess income received from boarders as assessable income for assistance under the Social Security Act, we have also recognised some additional savings in Supported Living Payment, Sole Parent Support and Jobseeker Support and Emergency Benefit. These come from a reduction in $0.689 million in expenditure on Jobseeker Support and Emergency Benefit, a reduction in $0.159 million on Sole Parent Support and a reduction in $0.160 million in expenditure on the Supported Living Payment over the forecast period. </w:t>
      </w:r>
    </w:p>
    <w:p w14:paraId="35CDE263" w14:textId="77777777" w:rsidR="00963B0B" w:rsidRPr="008E4EFD" w:rsidRDefault="00963B0B" w:rsidP="006C05B1">
      <w:pPr>
        <w:numPr>
          <w:ilvl w:val="0"/>
          <w:numId w:val="4"/>
        </w:numPr>
        <w:spacing w:before="60" w:line="240" w:lineRule="auto"/>
        <w:ind w:left="567" w:hanging="567"/>
      </w:pPr>
      <w:r w:rsidRPr="008E4EFD">
        <w:t>In addition, some impacts of this change cannot be estimated with the information we hold, particularly for households receiving Social Security Act assistance</w:t>
      </w:r>
      <w:r>
        <w:t xml:space="preserve"> (</w:t>
      </w:r>
      <w:r w:rsidRPr="007A15D9">
        <w:t xml:space="preserve">as they are currently not required to provide information to MSD on boarding arrangements in a household unless they have </w:t>
      </w:r>
      <w:r>
        <w:t>three</w:t>
      </w:r>
      <w:r w:rsidRPr="007A15D9">
        <w:t xml:space="preserve"> or more boarders</w:t>
      </w:r>
      <w:r>
        <w:t>)</w:t>
      </w:r>
      <w:r w:rsidRPr="008E4EFD">
        <w:t xml:space="preserve">. To allow for the level of uncertainty, we have applied a 20 percent reduction to the savings estimated under Vote Social Development over the forecast period. </w:t>
      </w:r>
    </w:p>
    <w:p w14:paraId="3672C349" w14:textId="77777777" w:rsidR="00963B0B" w:rsidRPr="008E4EFD" w:rsidRDefault="00963B0B" w:rsidP="006C05B1">
      <w:pPr>
        <w:numPr>
          <w:ilvl w:val="0"/>
          <w:numId w:val="4"/>
        </w:numPr>
        <w:spacing w:before="60" w:line="240" w:lineRule="auto"/>
        <w:ind w:left="567" w:hanging="567"/>
      </w:pPr>
      <w:r w:rsidRPr="008E4EFD">
        <w:t xml:space="preserve">The expected drop in savings under Vote Social Development is estimated to be offset by an increase with savings in Vote Housing. Updated modelling for the modified IRR calculation forecasts the savings under Vote Housing to increase to $70.355 million as a result of reduced expenditure on the IRRS. </w:t>
      </w:r>
    </w:p>
    <w:p w14:paraId="6BBAA0C2" w14:textId="5B982EE0" w:rsidR="00963B0B" w:rsidRDefault="00963B0B" w:rsidP="006C05B1">
      <w:pPr>
        <w:numPr>
          <w:ilvl w:val="0"/>
          <w:numId w:val="4"/>
        </w:numPr>
        <w:spacing w:before="60" w:line="240" w:lineRule="auto"/>
        <w:ind w:left="567" w:hanging="567"/>
      </w:pPr>
      <w:r w:rsidRPr="008E4EFD">
        <w:t xml:space="preserve">Overall, it is possible that the net savings may be higher for this initiative by $5.330 million over the forecast period (to $156.286 million over the forecast period). However, given the risks with the policy, these additional savings </w:t>
      </w:r>
      <w:r w:rsidR="00093A6B">
        <w:t>have not be</w:t>
      </w:r>
      <w:r w:rsidR="00C24BA5">
        <w:t>en</w:t>
      </w:r>
      <w:r w:rsidR="00093A6B" w:rsidRPr="008E4EFD">
        <w:t xml:space="preserve"> </w:t>
      </w:r>
      <w:r w:rsidRPr="008E4EFD">
        <w:t>recognised, or any appropriation changes made. If MSD identifies any material changes to the fiscal forecast as part of these changes, it will be reflected as a forecast change in future economic and fiscal updates.</w:t>
      </w:r>
    </w:p>
    <w:p w14:paraId="6A1778C7" w14:textId="77777777" w:rsidR="00495435" w:rsidRDefault="00495435">
      <w:pPr>
        <w:spacing w:after="0" w:line="240" w:lineRule="auto"/>
        <w:rPr>
          <w:b/>
          <w:color w:val="0082AB"/>
          <w:spacing w:val="20"/>
          <w:w w:val="90"/>
          <w:sz w:val="24"/>
          <w:szCs w:val="22"/>
        </w:rPr>
      </w:pPr>
      <w:bookmarkStart w:id="55" w:name="_Hlk191306889"/>
      <w:bookmarkStart w:id="56" w:name="_Hlk191306871"/>
      <w:r>
        <w:br w:type="page"/>
      </w:r>
    </w:p>
    <w:p w14:paraId="71B61920" w14:textId="2F0B931D" w:rsidR="00963B0B" w:rsidRDefault="00963B0B" w:rsidP="006C05B1">
      <w:pPr>
        <w:pStyle w:val="Heading3"/>
        <w:keepNext w:val="0"/>
      </w:pPr>
      <w:bookmarkStart w:id="57" w:name="_Toc196390907"/>
      <w:r w:rsidRPr="009A31F9">
        <w:lastRenderedPageBreak/>
        <w:t>The changes may have negative implications for consistency with the Government’s Treaty of Waitangi obligations</w:t>
      </w:r>
      <w:bookmarkEnd w:id="57"/>
    </w:p>
    <w:bookmarkEnd w:id="55"/>
    <w:p w14:paraId="71EEDB21" w14:textId="77777777" w:rsidR="00963B0B" w:rsidRPr="009A31F9" w:rsidRDefault="00963B0B" w:rsidP="006C05B1">
      <w:pPr>
        <w:pStyle w:val="BodyText-Numbered"/>
        <w:keepNext w:val="0"/>
        <w:numPr>
          <w:ilvl w:val="0"/>
          <w:numId w:val="4"/>
        </w:numPr>
        <w:ind w:left="567" w:hanging="567"/>
      </w:pPr>
      <w:r w:rsidRPr="009A31F9">
        <w:t>As Māori have not been consulted on this proposed change, this initiative risks breaching the Crown’s obligation under Article One of the Treaty of Waitangi to act in good faith, including consulting with Māori where there are Māori interests involved.</w:t>
      </w:r>
    </w:p>
    <w:bookmarkEnd w:id="56"/>
    <w:p w14:paraId="73598097" w14:textId="770EACE9" w:rsidR="00963B0B" w:rsidRPr="009A31F9" w:rsidRDefault="00963B0B" w:rsidP="006C05B1">
      <w:pPr>
        <w:numPr>
          <w:ilvl w:val="0"/>
          <w:numId w:val="4"/>
        </w:numPr>
        <w:spacing w:before="60" w:line="240" w:lineRule="auto"/>
        <w:ind w:left="567" w:hanging="567"/>
      </w:pPr>
      <w:r w:rsidRPr="009A31F9">
        <w:t xml:space="preserve">The Waitangi Tribunal </w:t>
      </w:r>
      <w:r w:rsidR="00C24BA5">
        <w:t xml:space="preserve">has </w:t>
      </w:r>
      <w:r w:rsidRPr="009A31F9">
        <w:t xml:space="preserve">established </w:t>
      </w:r>
      <w:r w:rsidR="00DF604D">
        <w:t>an in</w:t>
      </w:r>
      <w:r w:rsidR="002A6D27">
        <w:t>quiry (</w:t>
      </w:r>
      <w:r w:rsidRPr="009A31F9">
        <w:t>WAI 2750</w:t>
      </w:r>
      <w:r w:rsidR="002A6D27">
        <w:t>)</w:t>
      </w:r>
      <w:r w:rsidRPr="009A31F9">
        <w:t xml:space="preserve"> to hear claims concerning the Crown’s housing policies and services that affect Māori. The WAI 2750 Kāinga Kore: Stage One Report on Māori Homelessness, released in May 2023, found that Crown consultation with Māori has been relatively narrow. In submissions to WAI 2750, the Crown accepted it has a partnership duty to engage with Māori in the development of housing policy and services. It acknowledged that its partnership with Māori to improve housing outcomes could be strengthened, especially in relation to ‘models that improve the experiences of individuals and whānau when they seek Crown support’.  </w:t>
      </w:r>
    </w:p>
    <w:p w14:paraId="4BA70795" w14:textId="567D3319" w:rsidR="00963B0B" w:rsidRPr="009A31F9" w:rsidRDefault="00963B0B" w:rsidP="006C05B1">
      <w:pPr>
        <w:numPr>
          <w:ilvl w:val="0"/>
          <w:numId w:val="4"/>
        </w:numPr>
        <w:spacing w:before="60" w:line="240" w:lineRule="auto"/>
        <w:ind w:left="567" w:hanging="567"/>
      </w:pPr>
      <w:r w:rsidRPr="009A31F9">
        <w:t>Article 3 of the Treaty of Waitangi has an important significance in assuring</w:t>
      </w:r>
      <w:r w:rsidRPr="009A31F9" w:rsidDel="0024553D">
        <w:t xml:space="preserve"> </w:t>
      </w:r>
      <w:r w:rsidRPr="009A31F9">
        <w:t xml:space="preserve">that rights are enjoyed equally by Māori with all New Zealanders of whatever origin. As Māori are already overrepresented in social housing, and as recipients of the AS and Temporary Additional Support, they are likely to be disproportionately impacted by the proposed </w:t>
      </w:r>
      <w:r w:rsidR="00950908">
        <w:t>c</w:t>
      </w:r>
      <w:r w:rsidRPr="009A31F9">
        <w:t>hanges.</w:t>
      </w:r>
      <w:r>
        <w:t xml:space="preserve"> As at June 2024, Māori make up an estimated </w:t>
      </w:r>
      <w:r w:rsidRPr="00F831BD">
        <w:t>17.1 percent of the national population</w:t>
      </w:r>
      <w:r>
        <w:t>.</w:t>
      </w:r>
      <w:r>
        <w:rPr>
          <w:rStyle w:val="FootnoteReference"/>
        </w:rPr>
        <w:footnoteReference w:id="29"/>
      </w:r>
    </w:p>
    <w:p w14:paraId="61DABA2A" w14:textId="77777777" w:rsidR="00963B0B" w:rsidRPr="009A31F9" w:rsidRDefault="00963B0B" w:rsidP="006C05B1">
      <w:pPr>
        <w:numPr>
          <w:ilvl w:val="0"/>
          <w:numId w:val="30"/>
        </w:numPr>
        <w:spacing w:before="60" w:line="240" w:lineRule="auto"/>
        <w:ind w:left="993" w:hanging="426"/>
      </w:pPr>
      <w:r w:rsidRPr="009A31F9">
        <w:t>Of the 377,031 AS recipients, the total number of Māori who receive the AS is 119,334 (</w:t>
      </w:r>
      <w:r w:rsidRPr="007A2CCC">
        <w:t>31.65 percent of AS recipients</w:t>
      </w:r>
      <w:r w:rsidRPr="009A31F9">
        <w:t>).</w:t>
      </w:r>
    </w:p>
    <w:p w14:paraId="1F24D1B3" w14:textId="77777777" w:rsidR="00963B0B" w:rsidRPr="009A31F9" w:rsidRDefault="00963B0B" w:rsidP="006C05B1">
      <w:pPr>
        <w:numPr>
          <w:ilvl w:val="0"/>
          <w:numId w:val="30"/>
        </w:numPr>
        <w:spacing w:before="60" w:line="240" w:lineRule="auto"/>
        <w:ind w:left="993" w:hanging="426"/>
      </w:pPr>
      <w:r w:rsidRPr="009A31F9">
        <w:t>Of the 105,300 Temporary Additional Support recipients, the total number of Māori who receive Temporary Additional Support is 36,432 (</w:t>
      </w:r>
      <w:r w:rsidRPr="007A2CCC">
        <w:t>34.60 percent of TAS recipients</w:t>
      </w:r>
      <w:r w:rsidRPr="009A31F9">
        <w:t>).</w:t>
      </w:r>
    </w:p>
    <w:p w14:paraId="628D7DD7" w14:textId="77777777" w:rsidR="00963B0B" w:rsidRPr="009A31F9" w:rsidRDefault="00963B0B" w:rsidP="006C05B1">
      <w:pPr>
        <w:numPr>
          <w:ilvl w:val="0"/>
          <w:numId w:val="30"/>
        </w:numPr>
        <w:spacing w:before="60" w:line="240" w:lineRule="auto"/>
        <w:ind w:left="993" w:hanging="426"/>
      </w:pPr>
      <w:r w:rsidRPr="009A31F9">
        <w:t xml:space="preserve">The </w:t>
      </w:r>
      <w:bookmarkStart w:id="58" w:name="_Hlk191467339"/>
      <w:r w:rsidRPr="009A31F9">
        <w:t xml:space="preserve">total number of Māori households in social housing </w:t>
      </w:r>
      <w:bookmarkEnd w:id="58"/>
      <w:r w:rsidRPr="009A31F9">
        <w:t>is 32,265 (39.25 percent of social housing households).</w:t>
      </w:r>
      <w:r w:rsidRPr="7AE5DC7C">
        <w:rPr>
          <w:position w:val="8"/>
          <w:sz w:val="16"/>
          <w:szCs w:val="16"/>
        </w:rPr>
        <w:footnoteReference w:id="30"/>
      </w:r>
    </w:p>
    <w:p w14:paraId="69219BB0" w14:textId="6D5EDF3E" w:rsidR="00963B0B" w:rsidRPr="008B2860" w:rsidRDefault="00963B0B" w:rsidP="006C05B1">
      <w:pPr>
        <w:numPr>
          <w:ilvl w:val="0"/>
          <w:numId w:val="4"/>
        </w:numPr>
        <w:spacing w:before="60" w:line="240" w:lineRule="auto"/>
        <w:ind w:left="567" w:hanging="567"/>
      </w:pPr>
      <w:r w:rsidRPr="009A31F9">
        <w:t xml:space="preserve">This proposal may risk breaching the Crown’s principle of equity by disproportionately reducing Māori access to financial assistance for their accommodation costs. </w:t>
      </w:r>
    </w:p>
    <w:p w14:paraId="495E8F12" w14:textId="77777777" w:rsidR="00963B0B" w:rsidRPr="003B3517" w:rsidRDefault="00963B0B" w:rsidP="006C05B1">
      <w:pPr>
        <w:pStyle w:val="Heading3"/>
        <w:keepNext w:val="0"/>
      </w:pPr>
      <w:bookmarkStart w:id="59" w:name="_Toc196390908"/>
      <w:r w:rsidRPr="003B3517">
        <w:t>Stakeholder feedback</w:t>
      </w:r>
      <w:bookmarkEnd w:id="59"/>
    </w:p>
    <w:p w14:paraId="13EB98B4" w14:textId="77777777" w:rsidR="004F58B3" w:rsidRPr="00420CC9" w:rsidRDefault="004F58B3" w:rsidP="006C05B1">
      <w:pPr>
        <w:spacing w:before="60" w:line="240" w:lineRule="auto"/>
        <w:rPr>
          <w:b/>
          <w:bCs/>
          <w:i/>
          <w:iCs/>
        </w:rPr>
      </w:pPr>
      <w:r>
        <w:rPr>
          <w:b/>
          <w:bCs/>
          <w:i/>
          <w:iCs/>
        </w:rPr>
        <w:t>There has been l</w:t>
      </w:r>
      <w:r w:rsidRPr="00420CC9">
        <w:rPr>
          <w:b/>
          <w:bCs/>
          <w:i/>
          <w:iCs/>
        </w:rPr>
        <w:t>imited engagement</w:t>
      </w:r>
      <w:r>
        <w:rPr>
          <w:b/>
          <w:bCs/>
          <w:i/>
          <w:iCs/>
        </w:rPr>
        <w:t xml:space="preserve"> with community stakeholder groups</w:t>
      </w:r>
    </w:p>
    <w:p w14:paraId="0FA9CC15" w14:textId="4143DEF0" w:rsidR="004F58B3" w:rsidRPr="00776538" w:rsidRDefault="004F58B3" w:rsidP="006C05B1">
      <w:pPr>
        <w:pStyle w:val="ListParagraph"/>
        <w:numPr>
          <w:ilvl w:val="0"/>
          <w:numId w:val="4"/>
        </w:numPr>
        <w:spacing w:before="60" w:line="240" w:lineRule="auto"/>
        <w:ind w:left="567" w:hanging="567"/>
      </w:pPr>
      <w:r w:rsidRPr="004F58B3">
        <w:t>There was limited stakeholder engagement undertaken after Budget 2024 decisions were made by Cabinet to progress this initiative. The savings from this initiative had already been returned to the Crown at this time, so engagement was limited to feedback recognising the overarching policy decisions had already been made. This initiative was discussed with the National Beneficiary Advocate Consultative Group, Community Law, MSD’s Housing Reference Group, MSD’s Pacific Reference Group, and MSD’s Pacific Leaders Forum.</w:t>
      </w:r>
    </w:p>
    <w:p w14:paraId="3B5FD9A1" w14:textId="52CD4A07" w:rsidR="00056032" w:rsidRPr="00776538" w:rsidRDefault="00563092" w:rsidP="006C05B1">
      <w:pPr>
        <w:numPr>
          <w:ilvl w:val="0"/>
          <w:numId w:val="4"/>
        </w:numPr>
        <w:spacing w:before="60" w:line="240" w:lineRule="auto"/>
        <w:ind w:left="567" w:hanging="567"/>
      </w:pPr>
      <w:r>
        <w:rPr>
          <w:lang w:val="en-NZ"/>
        </w:rPr>
        <w:t xml:space="preserve">These groups </w:t>
      </w:r>
      <w:r w:rsidR="004F58B3" w:rsidRPr="00B55040">
        <w:rPr>
          <w:lang w:val="en-NZ"/>
        </w:rPr>
        <w:t>understood the Government had already decided policy changes would take place</w:t>
      </w:r>
      <w:r>
        <w:rPr>
          <w:lang w:val="en-NZ"/>
        </w:rPr>
        <w:t>, however,</w:t>
      </w:r>
      <w:r w:rsidRPr="00B55040">
        <w:rPr>
          <w:lang w:val="en-NZ"/>
        </w:rPr>
        <w:t xml:space="preserve"> </w:t>
      </w:r>
      <w:r w:rsidRPr="00DB3B19">
        <w:rPr>
          <w:lang w:val="en-NZ"/>
        </w:rPr>
        <w:t>the feedback received was broadly critical</w:t>
      </w:r>
      <w:r>
        <w:rPr>
          <w:lang w:val="en-NZ"/>
        </w:rPr>
        <w:t>.</w:t>
      </w:r>
    </w:p>
    <w:p w14:paraId="1E428A71" w14:textId="6BA72FD4" w:rsidR="004F58B3" w:rsidRPr="00917F11" w:rsidRDefault="004F58B3" w:rsidP="006C05B1">
      <w:pPr>
        <w:numPr>
          <w:ilvl w:val="0"/>
          <w:numId w:val="4"/>
        </w:numPr>
        <w:spacing w:before="60" w:line="240" w:lineRule="auto"/>
        <w:ind w:left="567" w:hanging="567"/>
      </w:pPr>
      <w:r w:rsidRPr="00917F11">
        <w:t xml:space="preserve">These groups raised concerns on the financial impact for their </w:t>
      </w:r>
      <w:r w:rsidR="00ED6FC2">
        <w:t>communities</w:t>
      </w:r>
      <w:r w:rsidRPr="00917F11">
        <w:t xml:space="preserve">, specifically on their ability to afford accommodation. They also considered the change might result in people no longer offering accommodation to boarders, reducing the housing options available to many people, particularly young people, and potentially leading to increased levels of homelessness. </w:t>
      </w:r>
    </w:p>
    <w:p w14:paraId="79C5DF0C" w14:textId="77777777" w:rsidR="004F58B3" w:rsidRPr="00917F11" w:rsidRDefault="004F58B3" w:rsidP="006C05B1">
      <w:pPr>
        <w:numPr>
          <w:ilvl w:val="0"/>
          <w:numId w:val="4"/>
        </w:numPr>
        <w:spacing w:before="60" w:line="240" w:lineRule="auto"/>
        <w:ind w:left="567" w:hanging="567"/>
      </w:pPr>
      <w:r w:rsidRPr="00917F11">
        <w:lastRenderedPageBreak/>
        <w:t xml:space="preserve">MSD’s Pacific Reference Group noted that Pacific peoples generally live in multi-generational households and those arrangements are recognised as boarding arrangements by MSD, so there is likely to be a large impact on these households as their financial support is reduced. </w:t>
      </w:r>
    </w:p>
    <w:p w14:paraId="0121A866" w14:textId="0565B7DD" w:rsidR="004F58B3" w:rsidRPr="00776538" w:rsidRDefault="004F58B3" w:rsidP="006C05B1">
      <w:pPr>
        <w:numPr>
          <w:ilvl w:val="0"/>
          <w:numId w:val="4"/>
        </w:numPr>
        <w:spacing w:before="60" w:line="240" w:lineRule="auto"/>
        <w:ind w:left="567" w:hanging="567"/>
      </w:pPr>
      <w:r w:rsidRPr="00917F11">
        <w:t xml:space="preserve">No other external engagement on these settings was undertaken as these decisions related to how an already agreed Cabinet decision will be implemented. However, there has been general engagement on the boarders’ contribution initiative following </w:t>
      </w:r>
      <w:r w:rsidR="00037211">
        <w:t>decisions in the</w:t>
      </w:r>
      <w:r w:rsidR="00037211" w:rsidRPr="00917F11">
        <w:t xml:space="preserve"> </w:t>
      </w:r>
      <w:r w:rsidRPr="00917F11">
        <w:t xml:space="preserve">2024 </w:t>
      </w:r>
      <w:r w:rsidR="00037211">
        <w:t>Budget</w:t>
      </w:r>
      <w:r w:rsidR="008B03FF">
        <w:t>.</w:t>
      </w:r>
    </w:p>
    <w:p w14:paraId="4BA3811A" w14:textId="12B9E8B8" w:rsidR="00963B0B" w:rsidRPr="00C62F44" w:rsidRDefault="00963B0B" w:rsidP="006C05B1">
      <w:pPr>
        <w:spacing w:before="60" w:line="240" w:lineRule="auto"/>
        <w:rPr>
          <w:b/>
          <w:bCs/>
          <w:i/>
          <w:iCs/>
          <w:szCs w:val="24"/>
        </w:rPr>
      </w:pPr>
      <w:r w:rsidRPr="00C62F44">
        <w:rPr>
          <w:b/>
          <w:bCs/>
          <w:i/>
          <w:iCs/>
          <w:szCs w:val="24"/>
        </w:rPr>
        <w:t>Government agencies were consulted on the policy changes, and their feedback focused on the agreed modified IRR calculation and distributional impacts</w:t>
      </w:r>
    </w:p>
    <w:p w14:paraId="5A9C9AEF" w14:textId="77777777" w:rsidR="00963B0B" w:rsidRPr="00587239" w:rsidRDefault="00963B0B" w:rsidP="006C05B1">
      <w:pPr>
        <w:spacing w:before="60" w:line="240" w:lineRule="auto"/>
      </w:pPr>
      <w:r w:rsidRPr="00C62F44">
        <w:rPr>
          <w:i/>
          <w:iCs/>
        </w:rPr>
        <w:t xml:space="preserve">HUD and Kāinga Ora </w:t>
      </w:r>
      <w:r>
        <w:rPr>
          <w:i/>
          <w:iCs/>
        </w:rPr>
        <w:t xml:space="preserve">have </w:t>
      </w:r>
      <w:r w:rsidRPr="00C62F44">
        <w:rPr>
          <w:i/>
          <w:iCs/>
        </w:rPr>
        <w:t xml:space="preserve">raised concerns </w:t>
      </w:r>
      <w:r>
        <w:rPr>
          <w:i/>
          <w:iCs/>
        </w:rPr>
        <w:t>on</w:t>
      </w:r>
      <w:r w:rsidRPr="00C62F44">
        <w:rPr>
          <w:i/>
          <w:iCs/>
        </w:rPr>
        <w:t xml:space="preserve"> how boarders’ contributions will impact IRR </w:t>
      </w:r>
    </w:p>
    <w:p w14:paraId="44F0B085" w14:textId="11B4176C" w:rsidR="00963B0B" w:rsidRPr="00E01A79" w:rsidRDefault="00963B0B" w:rsidP="006C05B1">
      <w:pPr>
        <w:numPr>
          <w:ilvl w:val="0"/>
          <w:numId w:val="4"/>
        </w:numPr>
        <w:spacing w:before="60" w:line="240" w:lineRule="auto"/>
        <w:ind w:left="567" w:hanging="567"/>
      </w:pPr>
      <w:r w:rsidRPr="00E01A79">
        <w:t xml:space="preserve">HUD and Kāinga Ora have raised concerns with </w:t>
      </w:r>
      <w:r>
        <w:t>the agreed modified IRR calculation. They</w:t>
      </w:r>
      <w:r w:rsidRPr="00E01A79">
        <w:t xml:space="preserve"> </w:t>
      </w:r>
      <w:r w:rsidR="00037211">
        <w:t>did</w:t>
      </w:r>
      <w:r w:rsidR="00037211" w:rsidRPr="00E01A79">
        <w:t xml:space="preserve"> </w:t>
      </w:r>
      <w:r w:rsidRPr="00E01A79">
        <w:t>not support the proposal to apply a boarder’s full housing contribution to a social housing tenant’s IRR.</w:t>
      </w:r>
    </w:p>
    <w:p w14:paraId="60B0B528" w14:textId="0C2FDEFD" w:rsidR="00963B0B" w:rsidRPr="00DA0CC1" w:rsidRDefault="00963B0B" w:rsidP="006C05B1">
      <w:pPr>
        <w:numPr>
          <w:ilvl w:val="0"/>
          <w:numId w:val="4"/>
        </w:numPr>
        <w:spacing w:before="60" w:line="240" w:lineRule="auto"/>
        <w:ind w:left="567" w:hanging="567"/>
      </w:pPr>
      <w:r w:rsidRPr="003E0B29">
        <w:t xml:space="preserve">HUD </w:t>
      </w:r>
      <w:r w:rsidR="00037211" w:rsidRPr="003E0B29">
        <w:t>believe</w:t>
      </w:r>
      <w:r w:rsidR="00037211">
        <w:t>d</w:t>
      </w:r>
      <w:r w:rsidR="00037211" w:rsidRPr="003E0B29">
        <w:t xml:space="preserve"> </w:t>
      </w:r>
      <w:r w:rsidRPr="003E0B29">
        <w:t xml:space="preserve">that the </w:t>
      </w:r>
      <w:r>
        <w:t>IRR calculation,</w:t>
      </w:r>
      <w:r w:rsidRPr="003E0B29">
        <w:t xml:space="preserve"> which would add a boarder’s housing contribution to a social housing tenant’s IRR</w:t>
      </w:r>
      <w:r>
        <w:t>,</w:t>
      </w:r>
      <w:r w:rsidRPr="003E0B29">
        <w:t xml:space="preserve"> would be unworkable in practice. This is due to significant risk of non-compliance, risks of non-compliance jeopardising savings, higher monitoring and audit costs for Kāinga Ora, and adverse outcomes from deterring people from taking on boarders.</w:t>
      </w:r>
      <w:r>
        <w:t xml:space="preserve"> As an alternative, </w:t>
      </w:r>
      <w:r w:rsidRPr="00DA0CC1">
        <w:t xml:space="preserve">HUD </w:t>
      </w:r>
      <w:r>
        <w:t xml:space="preserve">suggested </w:t>
      </w:r>
      <w:r w:rsidRPr="00DA0CC1">
        <w:t>a maximum of 70 percent of the payment from boarders should be applied to the IRR, to reduce the adverse effects described above.</w:t>
      </w:r>
    </w:p>
    <w:p w14:paraId="7622AD60" w14:textId="6BCC7D0C" w:rsidR="00963B0B" w:rsidRPr="00BF2B42" w:rsidRDefault="00963B0B" w:rsidP="006C05B1">
      <w:pPr>
        <w:numPr>
          <w:ilvl w:val="0"/>
          <w:numId w:val="4"/>
        </w:numPr>
        <w:spacing w:before="60" w:line="240" w:lineRule="auto"/>
        <w:ind w:left="567" w:hanging="567"/>
        <w:rPr>
          <w:rFonts w:eastAsia="Calibri"/>
        </w:rPr>
      </w:pPr>
      <w:r w:rsidRPr="00BF2B42">
        <w:rPr>
          <w:rFonts w:eastAsia="Calibri"/>
        </w:rPr>
        <w:t>Kāinga Ora</w:t>
      </w:r>
      <w:r w:rsidRPr="00BF2B42" w:rsidDel="00372975">
        <w:rPr>
          <w:rFonts w:eastAsia="Calibri"/>
        </w:rPr>
        <w:t xml:space="preserve"> </w:t>
      </w:r>
      <w:r w:rsidRPr="00BF2B42">
        <w:rPr>
          <w:rFonts w:eastAsia="Calibri"/>
        </w:rPr>
        <w:t>noted that the agreed modified IRR calculation</w:t>
      </w:r>
      <w:r w:rsidRPr="00BF2B42" w:rsidDel="005D4D98">
        <w:rPr>
          <w:rFonts w:eastAsia="Calibri"/>
        </w:rPr>
        <w:t xml:space="preserve"> </w:t>
      </w:r>
      <w:r w:rsidRPr="00BF2B42">
        <w:rPr>
          <w:rFonts w:eastAsia="Calibri"/>
        </w:rPr>
        <w:t xml:space="preserve">will create a risk of increased rent arrears and debt to them and other social housing providers, because the tenants’ rents will be </w:t>
      </w:r>
      <w:r w:rsidR="00237765" w:rsidRPr="00237765">
        <w:rPr>
          <w:rFonts w:eastAsia="Calibri"/>
        </w:rPr>
        <w:t>higher</w:t>
      </w:r>
      <w:r w:rsidR="00237765" w:rsidRPr="00237765">
        <w:t>,</w:t>
      </w:r>
      <w:r w:rsidRPr="00BF2B42">
        <w:rPr>
          <w:rFonts w:eastAsia="Calibri"/>
        </w:rPr>
        <w:t xml:space="preserve"> and tenants will face a much greater affordability issue if their boarder misses one or more payments under the proposed IRR calculation. This could also result in an increase in requests for Rent Arrears Grants, or increased demand for temporary housing, depending on what action is taken by Kāinga Ora if increased rent arrears and debt occur.  </w:t>
      </w:r>
    </w:p>
    <w:p w14:paraId="0F4F47D9" w14:textId="3842CC47" w:rsidR="00963B0B" w:rsidRPr="00BF2B42" w:rsidRDefault="00963B0B" w:rsidP="006C05B1">
      <w:pPr>
        <w:numPr>
          <w:ilvl w:val="0"/>
          <w:numId w:val="4"/>
        </w:numPr>
        <w:spacing w:before="60" w:line="240" w:lineRule="auto"/>
        <w:ind w:left="567" w:hanging="567"/>
        <w:rPr>
          <w:rFonts w:eastAsia="Calibri"/>
        </w:rPr>
      </w:pPr>
      <w:r w:rsidRPr="00BF2B42">
        <w:rPr>
          <w:rFonts w:eastAsia="Calibri"/>
        </w:rPr>
        <w:t xml:space="preserve">Kāinga Ora </w:t>
      </w:r>
      <w:r w:rsidR="0073537B">
        <w:rPr>
          <w:rFonts w:eastAsia="Calibri"/>
        </w:rPr>
        <w:t>was</w:t>
      </w:r>
      <w:r w:rsidR="0073537B" w:rsidRPr="00BF2B42">
        <w:rPr>
          <w:rFonts w:eastAsia="Calibri"/>
        </w:rPr>
        <w:t xml:space="preserve"> </w:t>
      </w:r>
      <w:r w:rsidRPr="00BF2B42">
        <w:rPr>
          <w:rFonts w:eastAsia="Calibri"/>
        </w:rPr>
        <w:t>also concerned that tenants will stop declaring boarders to avoid rent increases, which may result in Kāinga Ora losing visibility on who is in their homes. This would negatively impact their ability to make accurate and informed tenancy management decisions.</w:t>
      </w:r>
    </w:p>
    <w:p w14:paraId="6E8B8C58" w14:textId="77777777" w:rsidR="00963B0B" w:rsidRPr="00C62F44" w:rsidRDefault="00963B0B" w:rsidP="006C05B1">
      <w:pPr>
        <w:spacing w:before="60" w:line="240" w:lineRule="auto"/>
        <w:rPr>
          <w:i/>
          <w:iCs/>
        </w:rPr>
      </w:pPr>
      <w:r w:rsidRPr="00C62F44">
        <w:rPr>
          <w:i/>
          <w:iCs/>
        </w:rPr>
        <w:t xml:space="preserve">Te Puni Kōkiri and The Ministry of Disabled People – Whaikaha highlighted distributional impacts </w:t>
      </w:r>
    </w:p>
    <w:p w14:paraId="7A93F876" w14:textId="77777777" w:rsidR="00963B0B" w:rsidRPr="00917F11" w:rsidRDefault="00963B0B" w:rsidP="006C05B1">
      <w:pPr>
        <w:numPr>
          <w:ilvl w:val="0"/>
          <w:numId w:val="4"/>
        </w:numPr>
        <w:spacing w:before="60" w:line="240" w:lineRule="auto"/>
        <w:ind w:left="567" w:hanging="567"/>
      </w:pPr>
      <w:r w:rsidRPr="00917F11">
        <w:t>Te Puni Kōkiri noted the cost of living concerns, and considers the policy may result in people on low incomes having less discretionary income. Te Puni Kōkiri also noted that the policy is likely to disproportionately affect Māori, who account for approximately one third of AS recipients.</w:t>
      </w:r>
    </w:p>
    <w:p w14:paraId="19AFC7AC" w14:textId="77777777" w:rsidR="00963B0B" w:rsidRPr="00E01A79" w:rsidRDefault="00963B0B" w:rsidP="006C05B1">
      <w:pPr>
        <w:numPr>
          <w:ilvl w:val="0"/>
          <w:numId w:val="4"/>
        </w:numPr>
        <w:spacing w:before="60" w:line="240" w:lineRule="auto"/>
        <w:ind w:left="567" w:hanging="567"/>
        <w:rPr>
          <w:bCs/>
        </w:rPr>
      </w:pPr>
      <w:r>
        <w:rPr>
          <w:bCs/>
        </w:rPr>
        <w:t>T</w:t>
      </w:r>
      <w:r w:rsidRPr="00A62251">
        <w:rPr>
          <w:bCs/>
        </w:rPr>
        <w:t>he Ministry of Disabled People – Whaikaha</w:t>
      </w:r>
      <w:r w:rsidRPr="00965881">
        <w:rPr>
          <w:bCs/>
        </w:rPr>
        <w:t xml:space="preserve"> </w:t>
      </w:r>
      <w:r>
        <w:rPr>
          <w:bCs/>
        </w:rPr>
        <w:t>highlighted the disproportionate impact of the excess income proposal on many disabled people, who often have limited housing options</w:t>
      </w:r>
      <w:r w:rsidRPr="00965881">
        <w:rPr>
          <w:bCs/>
        </w:rPr>
        <w:t xml:space="preserve"> </w:t>
      </w:r>
      <w:r>
        <w:rPr>
          <w:bCs/>
        </w:rPr>
        <w:t>and rely on boarding arrangements with caregivers.</w:t>
      </w:r>
    </w:p>
    <w:p w14:paraId="4EB45C18" w14:textId="77777777" w:rsidR="00502F66" w:rsidRDefault="00502F66" w:rsidP="006C05B1">
      <w:pPr>
        <w:pStyle w:val="Heading3"/>
        <w:keepNext w:val="0"/>
      </w:pPr>
      <w:bookmarkStart w:id="60" w:name="_Toc196390909"/>
      <w:r w:rsidRPr="00A12D38">
        <w:t xml:space="preserve">What are the marginal costs and benefits of the </w:t>
      </w:r>
      <w:r>
        <w:t>policy changes</w:t>
      </w:r>
      <w:bookmarkEnd w:id="60"/>
    </w:p>
    <w:p w14:paraId="783DDE1B" w14:textId="77777777" w:rsidR="00502F66" w:rsidRPr="00271C82" w:rsidRDefault="00502F66" w:rsidP="006C05B1">
      <w:pPr>
        <w:numPr>
          <w:ilvl w:val="0"/>
          <w:numId w:val="4"/>
        </w:numPr>
        <w:spacing w:before="60" w:line="240" w:lineRule="auto"/>
        <w:ind w:left="567" w:hanging="567"/>
      </w:pPr>
      <w:r w:rsidRPr="00917F11">
        <w:t xml:space="preserve">The </w:t>
      </w:r>
      <w:r>
        <w:t xml:space="preserve">analysis </w:t>
      </w:r>
      <w:r w:rsidRPr="00904FE4">
        <w:t xml:space="preserve">below recognises high-level costs, benefits and savings from </w:t>
      </w:r>
      <w:r>
        <w:t xml:space="preserve">changing the </w:t>
      </w:r>
      <w:r w:rsidRPr="00271C82">
        <w:t>treatment of boarder</w:t>
      </w:r>
      <w:r>
        <w:t>s’</w:t>
      </w:r>
      <w:r w:rsidRPr="00271C82">
        <w:t xml:space="preserve"> contributions. A qualitative assessment has been made for some of these costs and benefits. We have provided indicative monetised costs and savings based on MSD’s forecasting model using BEFU24 data, but these are estimates only.</w:t>
      </w:r>
    </w:p>
    <w:p w14:paraId="4F73427F" w14:textId="77777777" w:rsidR="00926903" w:rsidRDefault="00502F66" w:rsidP="006C05B1">
      <w:pPr>
        <w:numPr>
          <w:ilvl w:val="0"/>
          <w:numId w:val="4"/>
        </w:numPr>
        <w:spacing w:before="60" w:line="240" w:lineRule="auto"/>
        <w:ind w:left="567" w:hanging="567"/>
        <w:sectPr w:rsidR="00926903" w:rsidSect="00502F66">
          <w:headerReference w:type="even" r:id="rId14"/>
          <w:headerReference w:type="default" r:id="rId15"/>
          <w:footerReference w:type="even" r:id="rId16"/>
          <w:footerReference w:type="default" r:id="rId17"/>
          <w:headerReference w:type="first" r:id="rId18"/>
          <w:footerReference w:type="first" r:id="rId19"/>
          <w:pgSz w:w="11906" w:h="16838" w:code="9"/>
          <w:pgMar w:top="1134" w:right="1418" w:bottom="992" w:left="1418" w:header="454" w:footer="454" w:gutter="0"/>
          <w:cols w:space="708"/>
          <w:docGrid w:linePitch="360"/>
        </w:sectPr>
      </w:pPr>
      <w:r w:rsidRPr="00917F11">
        <w:lastRenderedPageBreak/>
        <w:t xml:space="preserve">Costings in </w:t>
      </w:r>
      <w:r w:rsidRPr="00C37E56">
        <w:t>the medium to long</w:t>
      </w:r>
      <w:r>
        <w:t xml:space="preserve"> </w:t>
      </w:r>
      <w:r w:rsidRPr="00C37E56">
        <w:t xml:space="preserve">term can be very uncertain, as they </w:t>
      </w:r>
      <w:r>
        <w:t>rely</w:t>
      </w:r>
      <w:r w:rsidRPr="00C37E56">
        <w:t xml:space="preserve"> on external factors outside the model’s parameters</w:t>
      </w:r>
      <w:r>
        <w:t>,</w:t>
      </w:r>
      <w:r w:rsidRPr="00C37E56">
        <w:t xml:space="preserve"> such as </w:t>
      </w:r>
      <w:r>
        <w:t xml:space="preserve">behavioural changes in response to the policy change, </w:t>
      </w:r>
      <w:r w:rsidRPr="00C37E56">
        <w:t>migration, availability of private and social housing, and rental prices.</w:t>
      </w:r>
    </w:p>
    <w:tbl>
      <w:tblPr>
        <w:tblW w:w="15299"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778"/>
        <w:gridCol w:w="4918"/>
        <w:gridCol w:w="4409"/>
        <w:gridCol w:w="3194"/>
      </w:tblGrid>
      <w:tr w:rsidR="00EC4351" w:rsidRPr="00A12D38" w14:paraId="478B09D2" w14:textId="77777777" w:rsidTr="6DB6A01A">
        <w:trPr>
          <w:trHeight w:val="750"/>
          <w:tblHeader/>
        </w:trPr>
        <w:tc>
          <w:tcPr>
            <w:tcW w:w="2778" w:type="dxa"/>
            <w:tcBorders>
              <w:top w:val="single" w:sz="8" w:space="0" w:color="DDDDDD"/>
              <w:left w:val="single" w:sz="8" w:space="0" w:color="DDDDDD"/>
              <w:bottom w:val="single" w:sz="8" w:space="0" w:color="DDDDDD"/>
              <w:right w:val="single" w:sz="8" w:space="0" w:color="DDDDDD"/>
            </w:tcBorders>
            <w:shd w:val="clear" w:color="auto" w:fill="F2F2F2" w:themeFill="background1" w:themeFillShade="F2"/>
          </w:tcPr>
          <w:p w14:paraId="1B429FF9" w14:textId="77777777" w:rsidR="00EC4351" w:rsidRPr="00A12D38" w:rsidRDefault="00EC4351" w:rsidP="006C05B1">
            <w:pPr>
              <w:spacing w:before="60" w:line="240" w:lineRule="auto"/>
            </w:pPr>
            <w:r w:rsidRPr="00A12D38">
              <w:rPr>
                <w:b/>
              </w:rPr>
              <w:lastRenderedPageBreak/>
              <w:t>Affected groups</w:t>
            </w:r>
            <w:r w:rsidRPr="00A12D38">
              <w:t xml:space="preserve"> </w:t>
            </w:r>
            <w:r w:rsidRPr="00A12D38">
              <w:br/>
            </w:r>
          </w:p>
        </w:tc>
        <w:tc>
          <w:tcPr>
            <w:tcW w:w="4918" w:type="dxa"/>
            <w:tcBorders>
              <w:top w:val="single" w:sz="8" w:space="0" w:color="DDDDDD"/>
              <w:left w:val="single" w:sz="8" w:space="0" w:color="DDDDDD"/>
              <w:bottom w:val="single" w:sz="8" w:space="0" w:color="DDDDDD"/>
              <w:right w:val="single" w:sz="8" w:space="0" w:color="DDDDDD"/>
            </w:tcBorders>
            <w:shd w:val="clear" w:color="auto" w:fill="F2F2F2" w:themeFill="background1" w:themeFillShade="F2"/>
          </w:tcPr>
          <w:p w14:paraId="65FFC8E1" w14:textId="77777777" w:rsidR="00EC4351" w:rsidRPr="00A12D38" w:rsidRDefault="00EC4351" w:rsidP="006C05B1">
            <w:pPr>
              <w:spacing w:before="60" w:line="240" w:lineRule="auto"/>
            </w:pPr>
            <w:r w:rsidRPr="00A12D38">
              <w:rPr>
                <w:b/>
                <w:bCs/>
              </w:rPr>
              <w:t xml:space="preserve">Comment </w:t>
            </w:r>
            <w:r w:rsidRPr="00A12D38">
              <w:br/>
              <w:t xml:space="preserve"> </w:t>
            </w:r>
            <w:r w:rsidRPr="00A12D38">
              <w:rPr>
                <w:i/>
                <w:iCs/>
              </w:rPr>
              <w:t>Nature of cost or benefit (e.g., ongoing, one-off), evidence and assumption (e.g., compliance rates), risks.</w:t>
            </w:r>
          </w:p>
        </w:tc>
        <w:tc>
          <w:tcPr>
            <w:tcW w:w="4409" w:type="dxa"/>
            <w:tcBorders>
              <w:top w:val="single" w:sz="8" w:space="0" w:color="DDDDDD"/>
              <w:left w:val="single" w:sz="8" w:space="0" w:color="DDDDDD"/>
              <w:bottom w:val="single" w:sz="8" w:space="0" w:color="DDDDDD"/>
              <w:right w:val="single" w:sz="8" w:space="0" w:color="DDDDDD"/>
            </w:tcBorders>
            <w:shd w:val="clear" w:color="auto" w:fill="F2F2F2" w:themeFill="background1" w:themeFillShade="F2"/>
          </w:tcPr>
          <w:p w14:paraId="20CA58A3" w14:textId="77777777" w:rsidR="00EC4351" w:rsidRPr="00A12D38" w:rsidRDefault="00EC4351" w:rsidP="006C05B1">
            <w:pPr>
              <w:spacing w:before="60" w:line="240" w:lineRule="auto"/>
            </w:pPr>
            <w:r w:rsidRPr="00A12D38">
              <w:rPr>
                <w:b/>
                <w:bCs/>
              </w:rPr>
              <w:t>Impact</w:t>
            </w:r>
            <w:r w:rsidRPr="00A12D38">
              <w:t xml:space="preserve"> </w:t>
            </w:r>
            <w:r w:rsidRPr="00A12D38">
              <w:br/>
              <w:t xml:space="preserve"> </w:t>
            </w:r>
            <w:r w:rsidRPr="00A12D38">
              <w:rPr>
                <w:i/>
                <w:iCs/>
              </w:rPr>
              <w:t>$m present value where appropriate, for monetised impacts; high, medium or low for non-monetised impacts.</w:t>
            </w:r>
            <w:r w:rsidRPr="00A12D38">
              <w:t xml:space="preserve"> </w:t>
            </w:r>
          </w:p>
        </w:tc>
        <w:tc>
          <w:tcPr>
            <w:tcW w:w="3194" w:type="dxa"/>
            <w:tcBorders>
              <w:top w:val="single" w:sz="8" w:space="0" w:color="DDDDDD"/>
              <w:left w:val="single" w:sz="8" w:space="0" w:color="DDDDDD"/>
              <w:bottom w:val="single" w:sz="8" w:space="0" w:color="DDDDDD"/>
              <w:right w:val="single" w:sz="8" w:space="0" w:color="DDDDDD"/>
            </w:tcBorders>
            <w:shd w:val="clear" w:color="auto" w:fill="F2F2F2" w:themeFill="background1" w:themeFillShade="F2"/>
          </w:tcPr>
          <w:p w14:paraId="0DB72ECC" w14:textId="77777777" w:rsidR="00EC4351" w:rsidRPr="00A12D38" w:rsidRDefault="00EC4351" w:rsidP="006C05B1">
            <w:pPr>
              <w:spacing w:before="60" w:line="240" w:lineRule="auto"/>
            </w:pPr>
            <w:r w:rsidRPr="00A12D38">
              <w:rPr>
                <w:b/>
                <w:bCs/>
              </w:rPr>
              <w:t>Evidence Certainty</w:t>
            </w:r>
            <w:r w:rsidRPr="00A12D38">
              <w:t xml:space="preserve"> </w:t>
            </w:r>
            <w:r w:rsidRPr="00A12D38">
              <w:br/>
              <w:t xml:space="preserve"> </w:t>
            </w:r>
            <w:r w:rsidRPr="00A12D38">
              <w:rPr>
                <w:i/>
                <w:iCs/>
              </w:rPr>
              <w:t>High, medium, or low, and explain reasoning in comment column.</w:t>
            </w:r>
            <w:r w:rsidRPr="00A12D38">
              <w:t xml:space="preserve"> </w:t>
            </w:r>
          </w:p>
        </w:tc>
      </w:tr>
      <w:tr w:rsidR="00EC4351" w:rsidRPr="00A12D38" w14:paraId="18DE6AE0" w14:textId="77777777" w:rsidTr="6DB6A01A">
        <w:trPr>
          <w:trHeight w:val="390"/>
        </w:trPr>
        <w:tc>
          <w:tcPr>
            <w:tcW w:w="15299" w:type="dxa"/>
            <w:gridSpan w:val="4"/>
            <w:tcBorders>
              <w:top w:val="single" w:sz="8" w:space="0" w:color="DDDDDD"/>
              <w:left w:val="single" w:sz="8" w:space="0" w:color="DDDDDD"/>
              <w:bottom w:val="single" w:sz="8" w:space="0" w:color="DDDDDD"/>
              <w:right w:val="single" w:sz="8" w:space="0" w:color="DDDDDD"/>
            </w:tcBorders>
            <w:shd w:val="clear" w:color="auto" w:fill="F2F2F2" w:themeFill="background1" w:themeFillShade="F2"/>
            <w:vAlign w:val="center"/>
          </w:tcPr>
          <w:p w14:paraId="3C04A298" w14:textId="77777777" w:rsidR="00EC4351" w:rsidRPr="00A12D38" w:rsidRDefault="00EC4351" w:rsidP="006C05B1">
            <w:pPr>
              <w:spacing w:before="60" w:line="240" w:lineRule="auto"/>
              <w:jc w:val="both"/>
            </w:pPr>
            <w:r w:rsidRPr="00A12D38">
              <w:rPr>
                <w:b/>
              </w:rPr>
              <w:t>Additional costs of the preferred option compared to taking no action</w:t>
            </w:r>
            <w:r w:rsidRPr="00A12D38">
              <w:t xml:space="preserve"> </w:t>
            </w:r>
          </w:p>
        </w:tc>
      </w:tr>
      <w:tr w:rsidR="00EC4351" w:rsidRPr="00A12D38" w14:paraId="42A67DC5" w14:textId="77777777">
        <w:trPr>
          <w:trHeight w:val="525"/>
        </w:trPr>
        <w:tc>
          <w:tcPr>
            <w:tcW w:w="2778" w:type="dxa"/>
            <w:tcBorders>
              <w:top w:val="single" w:sz="8" w:space="0" w:color="DDDDDD"/>
              <w:left w:val="single" w:sz="8" w:space="0" w:color="DDDDDD"/>
              <w:bottom w:val="single" w:sz="8" w:space="0" w:color="DDDDDD"/>
              <w:right w:val="single" w:sz="8" w:space="0" w:color="DDDDDD"/>
            </w:tcBorders>
          </w:tcPr>
          <w:p w14:paraId="27B6DC0F" w14:textId="2B654471" w:rsidR="00EC4351" w:rsidRPr="00A12D38" w:rsidRDefault="00EC4351" w:rsidP="006C05B1">
            <w:pPr>
              <w:spacing w:before="60" w:line="240" w:lineRule="auto"/>
            </w:pPr>
            <w:r w:rsidRPr="00A12D38">
              <w:t xml:space="preserve">Regulated groups  </w:t>
            </w:r>
          </w:p>
          <w:p w14:paraId="2D24E645" w14:textId="77777777" w:rsidR="00EC4351" w:rsidRPr="00A12D38" w:rsidRDefault="00EC4351" w:rsidP="006C05B1">
            <w:pPr>
              <w:spacing w:before="60" w:line="240" w:lineRule="auto"/>
            </w:pPr>
            <w:r w:rsidRPr="00A12D38">
              <w:t xml:space="preserve"> </w:t>
            </w:r>
          </w:p>
        </w:tc>
        <w:tc>
          <w:tcPr>
            <w:tcW w:w="4918" w:type="dxa"/>
            <w:tcBorders>
              <w:top w:val="nil"/>
              <w:left w:val="single" w:sz="8" w:space="0" w:color="DDDDDD"/>
              <w:bottom w:val="single" w:sz="8" w:space="0" w:color="DDDDDD"/>
              <w:right w:val="single" w:sz="8" w:space="0" w:color="DDDDDD"/>
            </w:tcBorders>
          </w:tcPr>
          <w:p w14:paraId="7BA2AF18" w14:textId="77777777" w:rsidR="00EC4351" w:rsidRPr="00A12D38" w:rsidRDefault="00EC4351" w:rsidP="006C05B1">
            <w:pPr>
              <w:tabs>
                <w:tab w:val="left" w:pos="1273"/>
              </w:tabs>
              <w:spacing w:before="60" w:line="240" w:lineRule="auto"/>
            </w:pPr>
            <w:r w:rsidRPr="00A12D38">
              <w:t xml:space="preserve">Ongoing financial costs </w:t>
            </w:r>
            <w:r>
              <w:t>are</w:t>
            </w:r>
            <w:r w:rsidRPr="00A12D38">
              <w:t xml:space="preserve"> expected for owner-occupiers and renters who receive housing subsidies from government and receive payments from boarders. </w:t>
            </w:r>
          </w:p>
          <w:p w14:paraId="2B24173E" w14:textId="1DD922C2" w:rsidR="00EC4351" w:rsidRDefault="00EC4351" w:rsidP="006C05B1">
            <w:pPr>
              <w:tabs>
                <w:tab w:val="left" w:pos="1273"/>
              </w:tabs>
              <w:spacing w:before="60" w:line="240" w:lineRule="auto"/>
            </w:pPr>
            <w:r w:rsidRPr="00A12D38">
              <w:t>There will also be increased financial costs for social housing tenants who pay IRR and receive payments from boarders</w:t>
            </w:r>
            <w:r w:rsidR="00BC752D">
              <w:t>.</w:t>
            </w:r>
            <w:r w:rsidRPr="00A12D38">
              <w:t xml:space="preserve"> Some social housing tenants may end up paying market rent, then may be subject to periodic tenancy reviews and </w:t>
            </w:r>
            <w:r>
              <w:t xml:space="preserve">could </w:t>
            </w:r>
            <w:r w:rsidRPr="00A12D38">
              <w:t>be deemed ineligible for social housing.</w:t>
            </w:r>
          </w:p>
          <w:p w14:paraId="1B7DD2A5" w14:textId="5336613A" w:rsidR="009D2D65" w:rsidRPr="00A12D38" w:rsidRDefault="00DE6E72" w:rsidP="006C05B1">
            <w:pPr>
              <w:tabs>
                <w:tab w:val="left" w:pos="1273"/>
              </w:tabs>
              <w:spacing w:before="60" w:line="240" w:lineRule="auto"/>
            </w:pPr>
            <w:r>
              <w:t>People who are currently considered a renter</w:t>
            </w:r>
            <w:r w:rsidR="00117F3E">
              <w:t xml:space="preserve"> but will be considered a boarder </w:t>
            </w:r>
            <w:r w:rsidR="00117F3E" w:rsidRPr="00117F3E">
              <w:t xml:space="preserve">under the proposed definition of boarder </w:t>
            </w:r>
            <w:r w:rsidR="00234734">
              <w:t>may receive a lower amount of AS and other housing subsidies</w:t>
            </w:r>
            <w:r w:rsidR="00117F3E">
              <w:t>.</w:t>
            </w:r>
            <w:r w:rsidR="00234734">
              <w:t xml:space="preserve"> </w:t>
            </w:r>
          </w:p>
          <w:p w14:paraId="0C02290C" w14:textId="77777777" w:rsidR="003D10D3" w:rsidRDefault="00EC4351" w:rsidP="006C05B1">
            <w:pPr>
              <w:tabs>
                <w:tab w:val="left" w:pos="1273"/>
              </w:tabs>
              <w:spacing w:before="60" w:line="240" w:lineRule="auto"/>
            </w:pPr>
            <w:r w:rsidRPr="00A12D38">
              <w:t xml:space="preserve">There </w:t>
            </w:r>
            <w:r>
              <w:t>is potential for</w:t>
            </w:r>
            <w:r w:rsidRPr="00A12D38">
              <w:t xml:space="preserve"> non-financial </w:t>
            </w:r>
            <w:r>
              <w:t>costs to</w:t>
            </w:r>
            <w:r w:rsidRPr="00A12D38">
              <w:t xml:space="preserve"> some boarders, such as an increased chance of housing insecurity, homelessness, as well as health and other social impacts.</w:t>
            </w:r>
            <w:r w:rsidR="00054D7C">
              <w:t xml:space="preserve"> </w:t>
            </w:r>
          </w:p>
          <w:p w14:paraId="13B66924" w14:textId="509C0331" w:rsidR="00EC4351" w:rsidRPr="00A12D38" w:rsidRDefault="005F1E5E" w:rsidP="006C05B1">
            <w:pPr>
              <w:tabs>
                <w:tab w:val="left" w:pos="1273"/>
              </w:tabs>
              <w:spacing w:before="60" w:line="240" w:lineRule="auto"/>
            </w:pPr>
            <w:r>
              <w:t>H</w:t>
            </w:r>
            <w:r w:rsidR="00533437">
              <w:t xml:space="preserve">ouseholds with family members </w:t>
            </w:r>
            <w:r>
              <w:t>who are boarders may be impacted</w:t>
            </w:r>
            <w:r w:rsidR="0003225B">
              <w:t xml:space="preserve"> should they need to change </w:t>
            </w:r>
            <w:r w:rsidR="007405EC">
              <w:t xml:space="preserve">their </w:t>
            </w:r>
            <w:r w:rsidR="0003225B">
              <w:t xml:space="preserve">housing </w:t>
            </w:r>
            <w:r>
              <w:t>arrangements due to the financial impact of the policy changes</w:t>
            </w:r>
            <w:r w:rsidR="0003225B">
              <w:t xml:space="preserve"> (for example,</w:t>
            </w:r>
            <w:r w:rsidR="00AB5282">
              <w:t xml:space="preserve"> ceasing a caregiving arrangement</w:t>
            </w:r>
            <w:r w:rsidR="00617BEE">
              <w:t>)</w:t>
            </w:r>
            <w:r w:rsidR="00AB5282">
              <w:t>.</w:t>
            </w:r>
            <w:r w:rsidR="00617BEE">
              <w:t xml:space="preserve"> </w:t>
            </w:r>
          </w:p>
        </w:tc>
        <w:tc>
          <w:tcPr>
            <w:tcW w:w="4409" w:type="dxa"/>
            <w:tcBorders>
              <w:top w:val="nil"/>
              <w:left w:val="single" w:sz="8" w:space="0" w:color="DDDDDD"/>
              <w:bottom w:val="single" w:sz="8" w:space="0" w:color="DDDDDD"/>
              <w:right w:val="single" w:sz="8" w:space="0" w:color="DDDDDD"/>
            </w:tcBorders>
          </w:tcPr>
          <w:p w14:paraId="57EC3CBB" w14:textId="77777777" w:rsidR="00EC4351" w:rsidRPr="00A12D38" w:rsidRDefault="00EC4351" w:rsidP="006C05B1">
            <w:pPr>
              <w:spacing w:before="60" w:line="240" w:lineRule="auto"/>
            </w:pPr>
            <w:r w:rsidRPr="00A12D38">
              <w:rPr>
                <w:b/>
                <w:bCs/>
              </w:rPr>
              <w:t>Medium</w:t>
            </w:r>
            <w:r w:rsidRPr="00A12D38">
              <w:t xml:space="preserve"> </w:t>
            </w:r>
          </w:p>
          <w:p w14:paraId="1CE2A3AF" w14:textId="77777777" w:rsidR="00EC4351" w:rsidRPr="006C75A8" w:rsidRDefault="00EC4351" w:rsidP="006C05B1">
            <w:pPr>
              <w:spacing w:before="60" w:line="240" w:lineRule="auto"/>
            </w:pPr>
            <w:r w:rsidRPr="00A12D38">
              <w:t>MSD expects that most</w:t>
            </w:r>
            <w:r w:rsidRPr="00A12D38" w:rsidDel="007A7A2F">
              <w:t xml:space="preserve"> </w:t>
            </w:r>
            <w:r w:rsidRPr="00A12D38">
              <w:t xml:space="preserve">clients </w:t>
            </w:r>
            <w:r>
              <w:t>who receive</w:t>
            </w:r>
            <w:r w:rsidRPr="00A12D38">
              <w:t xml:space="preserve"> payments from boarders (i.e. owner-occupiers and renters) and </w:t>
            </w:r>
            <w:r>
              <w:t xml:space="preserve">who </w:t>
            </w:r>
            <w:r w:rsidRPr="00A12D38">
              <w:t xml:space="preserve">receive housing subsidies from government will be </w:t>
            </w:r>
            <w:r>
              <w:t xml:space="preserve">financially </w:t>
            </w:r>
            <w:r w:rsidRPr="00A12D38">
              <w:t xml:space="preserve">impacted. </w:t>
            </w:r>
            <w:r w:rsidRPr="006C75A8">
              <w:t>They are likely to see a reduction in MSD support (7,000 households will see an average loss of $100) and in some cases may become ineligible for housing subsidies.</w:t>
            </w:r>
          </w:p>
          <w:p w14:paraId="3DAE2A92" w14:textId="3CEE6FC8" w:rsidR="00EC4351" w:rsidRPr="00A12D38" w:rsidRDefault="00EC4351" w:rsidP="006C05B1">
            <w:pPr>
              <w:spacing w:before="60" w:line="240" w:lineRule="auto"/>
            </w:pPr>
            <w:r>
              <w:t>For</w:t>
            </w:r>
            <w:r w:rsidRPr="00A12D38">
              <w:t xml:space="preserve"> affected social housing households receiving board payments</w:t>
            </w:r>
            <w:r>
              <w:t>,</w:t>
            </w:r>
            <w:r w:rsidRPr="00A12D38">
              <w:t xml:space="preserve"> the average </w:t>
            </w:r>
            <w:r w:rsidR="00DF5B0D">
              <w:t>increase in their rent</w:t>
            </w:r>
            <w:r w:rsidR="00DF5B0D" w:rsidRPr="00A12D38">
              <w:t xml:space="preserve"> </w:t>
            </w:r>
            <w:r w:rsidRPr="00A12D38">
              <w:t>per week is</w:t>
            </w:r>
            <w:r>
              <w:t xml:space="preserve"> expected to be</w:t>
            </w:r>
            <w:r w:rsidRPr="00A12D38">
              <w:t xml:space="preserve"> $132.</w:t>
            </w:r>
          </w:p>
          <w:p w14:paraId="5DA3ED24" w14:textId="77777777" w:rsidR="00EC4351" w:rsidRPr="00A12D38" w:rsidRDefault="00EC4351" w:rsidP="006C05B1">
            <w:pPr>
              <w:spacing w:before="60" w:line="240" w:lineRule="auto"/>
            </w:pPr>
            <w:r>
              <w:t>We expect that f</w:t>
            </w:r>
            <w:r w:rsidRPr="00A12D38">
              <w:t xml:space="preserve">ew boarders </w:t>
            </w:r>
            <w:r>
              <w:t>will</w:t>
            </w:r>
            <w:r w:rsidRPr="00A12D38">
              <w:t xml:space="preserve"> be impacted non-financially, as </w:t>
            </w:r>
            <w:r>
              <w:t>many</w:t>
            </w:r>
            <w:r w:rsidRPr="00A12D38">
              <w:t xml:space="preserve"> boarding situations </w:t>
            </w:r>
            <w:r>
              <w:t>appear to be</w:t>
            </w:r>
            <w:r w:rsidRPr="00A12D38">
              <w:t xml:space="preserve"> family arrangements that we </w:t>
            </w:r>
            <w:r>
              <w:t xml:space="preserve">would </w:t>
            </w:r>
            <w:r w:rsidRPr="00A12D38">
              <w:t>expect to continue.</w:t>
            </w:r>
          </w:p>
        </w:tc>
        <w:tc>
          <w:tcPr>
            <w:tcW w:w="3194" w:type="dxa"/>
            <w:tcBorders>
              <w:top w:val="nil"/>
              <w:left w:val="single" w:sz="8" w:space="0" w:color="DDDDDD"/>
              <w:bottom w:val="single" w:sz="8" w:space="0" w:color="DDDDDD"/>
              <w:right w:val="single" w:sz="8" w:space="0" w:color="DDDDDD"/>
            </w:tcBorders>
          </w:tcPr>
          <w:p w14:paraId="74CD7091" w14:textId="77777777" w:rsidR="00EC4351" w:rsidRPr="00A12D38" w:rsidRDefault="00EC4351" w:rsidP="006C05B1">
            <w:pPr>
              <w:spacing w:before="60" w:line="240" w:lineRule="auto"/>
            </w:pPr>
            <w:r>
              <w:rPr>
                <w:b/>
                <w:bCs/>
              </w:rPr>
              <w:t>Low</w:t>
            </w:r>
            <w:r w:rsidRPr="00A12D38">
              <w:t xml:space="preserve"> </w:t>
            </w:r>
          </w:p>
          <w:p w14:paraId="08645980" w14:textId="3B7E50DE" w:rsidR="00EC4351" w:rsidRPr="00A12D38" w:rsidRDefault="00EC4351" w:rsidP="006C05B1">
            <w:pPr>
              <w:spacing w:before="60" w:line="240" w:lineRule="auto"/>
            </w:pPr>
            <w:r w:rsidRPr="00A12D38">
              <w:t xml:space="preserve">Many boarding situations appear to be family arrangements (of the </w:t>
            </w:r>
            <w:r w:rsidRPr="00CD7A93">
              <w:t xml:space="preserve">70,683 </w:t>
            </w:r>
            <w:r w:rsidRPr="00A12D38">
              <w:t xml:space="preserve">boarders receiving the AS, </w:t>
            </w:r>
            <w:r w:rsidRPr="00CD7A93">
              <w:t xml:space="preserve">25,026 boarders </w:t>
            </w:r>
            <w:r w:rsidRPr="00A12D38">
              <w:t>are under the age of 25 years and are assumed to be adult children. There are also 7,</w:t>
            </w:r>
            <w:r w:rsidR="00DF16AE">
              <w:t>821</w:t>
            </w:r>
            <w:r w:rsidRPr="00A12D38">
              <w:t xml:space="preserve"> boarders aged 60 years or over</w:t>
            </w:r>
            <w:r w:rsidR="00A37D48">
              <w:t>, many of which</w:t>
            </w:r>
            <w:r w:rsidRPr="00A12D38">
              <w:t xml:space="preserve"> appear to be older parents living with their adult children).</w:t>
            </w:r>
            <w:r w:rsidR="00C72D72">
              <w:t xml:space="preserve">See paragraph </w:t>
            </w:r>
            <w:r w:rsidR="000630EB">
              <w:t>97.</w:t>
            </w:r>
          </w:p>
          <w:p w14:paraId="0CCA297E" w14:textId="77777777" w:rsidR="00EC4351" w:rsidRPr="00A12D38" w:rsidRDefault="00EC4351" w:rsidP="006C05B1">
            <w:pPr>
              <w:spacing w:before="60" w:line="240" w:lineRule="auto"/>
            </w:pPr>
            <w:r w:rsidRPr="00A12D38">
              <w:t xml:space="preserve"> </w:t>
            </w:r>
          </w:p>
        </w:tc>
      </w:tr>
      <w:tr w:rsidR="00EC4351" w:rsidRPr="00A12D38" w14:paraId="58189045" w14:textId="77777777">
        <w:trPr>
          <w:trHeight w:val="525"/>
        </w:trPr>
        <w:tc>
          <w:tcPr>
            <w:tcW w:w="2778" w:type="dxa"/>
            <w:tcBorders>
              <w:top w:val="single" w:sz="8" w:space="0" w:color="DDDDDD"/>
              <w:left w:val="single" w:sz="8" w:space="0" w:color="DDDDDD"/>
              <w:bottom w:val="single" w:sz="8" w:space="0" w:color="DDDDDD"/>
              <w:right w:val="single" w:sz="8" w:space="0" w:color="DDDDDD"/>
            </w:tcBorders>
          </w:tcPr>
          <w:p w14:paraId="0833D4D9" w14:textId="77777777" w:rsidR="00EC4351" w:rsidRPr="00A12D38" w:rsidRDefault="00EC4351" w:rsidP="006C05B1">
            <w:pPr>
              <w:spacing w:before="60" w:line="240" w:lineRule="auto"/>
            </w:pPr>
            <w:r w:rsidRPr="00A12D38">
              <w:lastRenderedPageBreak/>
              <w:t>MSD</w:t>
            </w:r>
          </w:p>
        </w:tc>
        <w:tc>
          <w:tcPr>
            <w:tcW w:w="4918" w:type="dxa"/>
            <w:tcBorders>
              <w:top w:val="single" w:sz="8" w:space="0" w:color="DDDDDD"/>
              <w:left w:val="single" w:sz="8" w:space="0" w:color="DDDDDD"/>
              <w:bottom w:val="single" w:sz="8" w:space="0" w:color="DDDDDD"/>
              <w:right w:val="single" w:sz="8" w:space="0" w:color="DDDDDD"/>
            </w:tcBorders>
          </w:tcPr>
          <w:p w14:paraId="477939FC" w14:textId="77777777" w:rsidR="00EC4351" w:rsidRPr="00A12D38" w:rsidRDefault="00EC4351" w:rsidP="006C05B1">
            <w:pPr>
              <w:spacing w:before="60" w:line="240" w:lineRule="auto"/>
            </w:pPr>
            <w:r w:rsidRPr="00A12D38">
              <w:t xml:space="preserve">One-off costs (and opportunity costs) - associated with making changes to legislation, IT, and guidance to frontline staff, as well as communication costs involved with implementing the policy changes. </w:t>
            </w:r>
          </w:p>
          <w:p w14:paraId="10B25862" w14:textId="77777777" w:rsidR="00EC4351" w:rsidRPr="00A12D38" w:rsidRDefault="00EC4351" w:rsidP="006C05B1">
            <w:pPr>
              <w:spacing w:before="60" w:line="240" w:lineRule="auto"/>
            </w:pPr>
            <w:r w:rsidRPr="00A12D38">
              <w:t>There will also be ongoing costs to MSD relating to depreciation, capital charges and ongoing operations.</w:t>
            </w:r>
          </w:p>
        </w:tc>
        <w:tc>
          <w:tcPr>
            <w:tcW w:w="4409" w:type="dxa"/>
            <w:tcBorders>
              <w:top w:val="single" w:sz="8" w:space="0" w:color="DDDDDD"/>
              <w:left w:val="single" w:sz="8" w:space="0" w:color="DDDDDD"/>
              <w:bottom w:val="single" w:sz="8" w:space="0" w:color="DDDDDD"/>
              <w:right w:val="single" w:sz="8" w:space="0" w:color="DDDDDD"/>
            </w:tcBorders>
          </w:tcPr>
          <w:p w14:paraId="24F5674B" w14:textId="77777777" w:rsidR="00EC4351" w:rsidRPr="00A12D38" w:rsidRDefault="00EC4351" w:rsidP="006C05B1">
            <w:pPr>
              <w:spacing w:before="60" w:line="240" w:lineRule="auto"/>
            </w:pPr>
            <w:r w:rsidRPr="00A12D38">
              <w:rPr>
                <w:b/>
                <w:bCs/>
              </w:rPr>
              <w:t xml:space="preserve">Medium </w:t>
            </w:r>
            <w:r w:rsidRPr="00A12D38">
              <w:t xml:space="preserve"> </w:t>
            </w:r>
          </w:p>
          <w:p w14:paraId="75886ADB" w14:textId="77777777" w:rsidR="00EC4351" w:rsidRPr="00A12D38" w:rsidRDefault="00EC4351" w:rsidP="006C05B1">
            <w:pPr>
              <w:spacing w:before="60" w:line="240" w:lineRule="auto"/>
            </w:pPr>
            <w:r w:rsidRPr="00A12D38">
              <w:t>One-off costs (excluding ongoing costs and depreciation) cover two financial years: $2.922m in FY24/25 and $6.403m in FY25/26. This is a mix of Opex and Capex. MSD will also look to transfer a portion of these costs to the latter financial year.</w:t>
            </w:r>
          </w:p>
          <w:p w14:paraId="0D783FC2" w14:textId="77777777" w:rsidR="00EC4351" w:rsidRPr="00A12D38" w:rsidRDefault="00EC4351" w:rsidP="006C05B1">
            <w:pPr>
              <w:spacing w:before="60" w:line="240" w:lineRule="auto"/>
            </w:pPr>
            <w:r w:rsidRPr="00A12D38">
              <w:t xml:space="preserve">Ongoing costs </w:t>
            </w:r>
            <w:r>
              <w:t>cover</w:t>
            </w:r>
            <w:r w:rsidRPr="00A12D38">
              <w:t xml:space="preserve"> four financial years (2024/25 to 2027/28) and total $8.234m in ongoing costs (Opex only).</w:t>
            </w:r>
          </w:p>
        </w:tc>
        <w:tc>
          <w:tcPr>
            <w:tcW w:w="3194" w:type="dxa"/>
            <w:tcBorders>
              <w:top w:val="single" w:sz="8" w:space="0" w:color="DDDDDD"/>
              <w:left w:val="single" w:sz="8" w:space="0" w:color="DDDDDD"/>
              <w:bottom w:val="single" w:sz="8" w:space="0" w:color="DDDDDD"/>
              <w:right w:val="single" w:sz="8" w:space="0" w:color="DDDDDD"/>
            </w:tcBorders>
          </w:tcPr>
          <w:p w14:paraId="5932B40A" w14:textId="77777777" w:rsidR="00EC4351" w:rsidRPr="00A12D38" w:rsidRDefault="00EC4351" w:rsidP="006C05B1">
            <w:pPr>
              <w:spacing w:before="60" w:line="240" w:lineRule="auto"/>
              <w:rPr>
                <w:rFonts w:eastAsia="Arial"/>
                <w:b/>
                <w:bCs/>
              </w:rPr>
            </w:pPr>
            <w:r w:rsidRPr="00A12D38">
              <w:rPr>
                <w:rFonts w:eastAsia="Arial"/>
                <w:b/>
                <w:bCs/>
              </w:rPr>
              <w:t>Medium</w:t>
            </w:r>
          </w:p>
          <w:p w14:paraId="0931D72D" w14:textId="7A76DFB0" w:rsidR="00EC4351" w:rsidRPr="00A12D38" w:rsidRDefault="00EC4351" w:rsidP="006C05B1">
            <w:pPr>
              <w:spacing w:before="60" w:line="240" w:lineRule="auto"/>
            </w:pPr>
            <w:r w:rsidRPr="00A12D38">
              <w:rPr>
                <w:rFonts w:eastAsia="Arial"/>
              </w:rPr>
              <w:t xml:space="preserve">Despite reasonably high confidence in expected implementation costs of the policy changes (both operational and legislative) there may be potential technology issues relating to </w:t>
            </w:r>
            <w:r w:rsidR="00DD28C5">
              <w:rPr>
                <w:rFonts w:eastAsia="Arial"/>
              </w:rPr>
              <w:t>ADM</w:t>
            </w:r>
            <w:r w:rsidRPr="00A12D38">
              <w:rPr>
                <w:rFonts w:eastAsia="Arial"/>
              </w:rPr>
              <w:t xml:space="preserve"> </w:t>
            </w:r>
            <w:r w:rsidR="0002469E">
              <w:rPr>
                <w:rFonts w:eastAsia="Arial"/>
              </w:rPr>
              <w:t>impact</w:t>
            </w:r>
            <w:r w:rsidR="00C12104">
              <w:rPr>
                <w:rFonts w:eastAsia="Arial"/>
              </w:rPr>
              <w:t>s</w:t>
            </w:r>
            <w:r w:rsidRPr="00A12D38">
              <w:rPr>
                <w:rFonts w:eastAsia="Arial"/>
              </w:rPr>
              <w:t xml:space="preserve">, and collecting, storing, and retrieving data about boarders. </w:t>
            </w:r>
          </w:p>
        </w:tc>
      </w:tr>
      <w:tr w:rsidR="00EC4351" w:rsidRPr="00A12D38" w14:paraId="49E354A9" w14:textId="77777777">
        <w:trPr>
          <w:trHeight w:val="255"/>
        </w:trPr>
        <w:tc>
          <w:tcPr>
            <w:tcW w:w="2778" w:type="dxa"/>
            <w:tcBorders>
              <w:top w:val="single" w:sz="8" w:space="0" w:color="DDDDDD"/>
              <w:left w:val="single" w:sz="8" w:space="0" w:color="DDDDDD"/>
              <w:bottom w:val="single" w:sz="8" w:space="0" w:color="DDDDDD"/>
              <w:right w:val="single" w:sz="8" w:space="0" w:color="DDDDDD"/>
            </w:tcBorders>
          </w:tcPr>
          <w:p w14:paraId="41638660" w14:textId="77777777" w:rsidR="00EC4351" w:rsidRPr="00A12D38" w:rsidRDefault="00EC4351" w:rsidP="006C05B1">
            <w:pPr>
              <w:spacing w:before="60" w:line="240" w:lineRule="auto"/>
            </w:pPr>
            <w:r>
              <w:t>Social housing providers</w:t>
            </w:r>
          </w:p>
        </w:tc>
        <w:tc>
          <w:tcPr>
            <w:tcW w:w="4918" w:type="dxa"/>
            <w:tcBorders>
              <w:top w:val="single" w:sz="8" w:space="0" w:color="DDDDDD"/>
              <w:left w:val="single" w:sz="8" w:space="0" w:color="DDDDDD"/>
              <w:bottom w:val="single" w:sz="8" w:space="0" w:color="DDDDDD"/>
              <w:right w:val="single" w:sz="8" w:space="0" w:color="DDDDDD"/>
            </w:tcBorders>
          </w:tcPr>
          <w:p w14:paraId="2226EC84" w14:textId="77777777" w:rsidR="00EC4351" w:rsidRPr="00A12D38" w:rsidRDefault="00EC4351" w:rsidP="006C05B1">
            <w:pPr>
              <w:spacing w:before="60" w:line="240" w:lineRule="auto"/>
            </w:pPr>
            <w:r>
              <w:t>Potential</w:t>
            </w:r>
            <w:r w:rsidRPr="00A12D38">
              <w:t xml:space="preserve"> for increased cost to Kāinga Ora and </w:t>
            </w:r>
            <w:r>
              <w:t>community housing providers</w:t>
            </w:r>
            <w:r w:rsidRPr="00A12D38">
              <w:t>, should there be increased tenant rent arrears and debt resulting from tenants’ rents being higher.</w:t>
            </w:r>
          </w:p>
          <w:p w14:paraId="4A4C3D0C" w14:textId="77777777" w:rsidR="00EC4351" w:rsidRPr="00A12D38" w:rsidRDefault="00EC4351" w:rsidP="006C05B1">
            <w:pPr>
              <w:spacing w:before="60" w:line="240" w:lineRule="auto"/>
            </w:pPr>
            <w:r w:rsidRPr="00A12D38">
              <w:t xml:space="preserve">One-off costs - to make </w:t>
            </w:r>
            <w:r>
              <w:t>social housing providers</w:t>
            </w:r>
            <w:r w:rsidRPr="00A12D38">
              <w:t xml:space="preserve"> aware of the policy changes that may impact some social housing tenants.</w:t>
            </w:r>
          </w:p>
          <w:p w14:paraId="69CEDEEE" w14:textId="77777777" w:rsidR="00EC4351" w:rsidRPr="00A12D38" w:rsidRDefault="00EC4351" w:rsidP="006C05B1">
            <w:pPr>
              <w:spacing w:before="60" w:line="240" w:lineRule="auto"/>
            </w:pPr>
            <w:r w:rsidRPr="00A12D38">
              <w:t xml:space="preserve">An indirect cost may result should it become more difficult for </w:t>
            </w:r>
            <w:r>
              <w:t>social housing providers</w:t>
            </w:r>
            <w:r w:rsidRPr="00A12D38">
              <w:t xml:space="preserve"> to manage properties if their tenants are not being transparent about boarders.</w:t>
            </w:r>
            <w:r w:rsidRPr="00A12D38" w:rsidDel="00BD0FC4">
              <w:t xml:space="preserve"> </w:t>
            </w:r>
          </w:p>
        </w:tc>
        <w:tc>
          <w:tcPr>
            <w:tcW w:w="4409" w:type="dxa"/>
            <w:tcBorders>
              <w:top w:val="single" w:sz="8" w:space="0" w:color="DDDDDD"/>
              <w:left w:val="single" w:sz="8" w:space="0" w:color="DDDDDD"/>
              <w:bottom w:val="single" w:sz="8" w:space="0" w:color="DDDDDD"/>
              <w:right w:val="single" w:sz="8" w:space="0" w:color="DDDDDD"/>
            </w:tcBorders>
          </w:tcPr>
          <w:p w14:paraId="404B4E0B" w14:textId="77777777" w:rsidR="00EC4351" w:rsidRPr="00A12D38" w:rsidRDefault="00EC4351" w:rsidP="006C05B1">
            <w:pPr>
              <w:spacing w:before="60" w:line="240" w:lineRule="auto"/>
            </w:pPr>
            <w:r w:rsidRPr="00A12D38">
              <w:rPr>
                <w:b/>
                <w:bCs/>
              </w:rPr>
              <w:t>Low</w:t>
            </w:r>
            <w:r w:rsidRPr="00A12D38">
              <w:t xml:space="preserve"> </w:t>
            </w:r>
          </w:p>
          <w:p w14:paraId="23FDBFF5" w14:textId="77777777" w:rsidR="00EC4351" w:rsidRPr="00A12D38" w:rsidRDefault="00EC4351" w:rsidP="006C05B1">
            <w:pPr>
              <w:spacing w:before="60" w:line="240" w:lineRule="auto"/>
            </w:pPr>
            <w:r w:rsidRPr="00A12D38">
              <w:t xml:space="preserve">The one-off costs are not expected to be material, </w:t>
            </w:r>
            <w:r>
              <w:t>as</w:t>
            </w:r>
            <w:r w:rsidRPr="00A12D38">
              <w:t xml:space="preserve"> this </w:t>
            </w:r>
            <w:r w:rsidRPr="00A12D38">
              <w:rPr>
                <w:rFonts w:eastAsia="Arial"/>
              </w:rPr>
              <w:t>is likely to only involve official communications and updates to operational guidance</w:t>
            </w:r>
            <w:r w:rsidRPr="00A12D38">
              <w:t>.</w:t>
            </w:r>
          </w:p>
          <w:p w14:paraId="58B9EA2D" w14:textId="77777777" w:rsidR="00EC4351" w:rsidRPr="00A12D38" w:rsidRDefault="00EC4351" w:rsidP="006C05B1">
            <w:pPr>
              <w:spacing w:before="60" w:line="240" w:lineRule="auto"/>
            </w:pPr>
            <w:r w:rsidRPr="00A12D38">
              <w:rPr>
                <w:rFonts w:eastAsia="Arial"/>
              </w:rPr>
              <w:t>The risk of increased rent arrears from this policy change is likely to be offset by Kāinga Ora’s new approach to rent arrears and debt management.</w:t>
            </w:r>
          </w:p>
        </w:tc>
        <w:tc>
          <w:tcPr>
            <w:tcW w:w="3194" w:type="dxa"/>
            <w:tcBorders>
              <w:top w:val="single" w:sz="8" w:space="0" w:color="DDDDDD"/>
              <w:left w:val="single" w:sz="8" w:space="0" w:color="DDDDDD"/>
              <w:bottom w:val="single" w:sz="8" w:space="0" w:color="DDDDDD"/>
              <w:right w:val="single" w:sz="8" w:space="0" w:color="DDDDDD"/>
            </w:tcBorders>
          </w:tcPr>
          <w:p w14:paraId="6F59A7D2" w14:textId="77777777" w:rsidR="00EC4351" w:rsidRPr="00A12D38" w:rsidRDefault="00EC4351" w:rsidP="006C05B1">
            <w:pPr>
              <w:spacing w:before="60" w:line="240" w:lineRule="auto"/>
              <w:rPr>
                <w:sz w:val="24"/>
              </w:rPr>
            </w:pPr>
            <w:r w:rsidRPr="00A12D38">
              <w:rPr>
                <w:rFonts w:eastAsia="Arial"/>
                <w:b/>
                <w:bCs/>
              </w:rPr>
              <w:t>Medium</w:t>
            </w:r>
            <w:r w:rsidRPr="00A12D38">
              <w:rPr>
                <w:rFonts w:eastAsia="Arial"/>
              </w:rPr>
              <w:t xml:space="preserve"> </w:t>
            </w:r>
          </w:p>
          <w:p w14:paraId="5D881D92" w14:textId="77777777" w:rsidR="00EC4351" w:rsidRPr="00A12D38" w:rsidRDefault="00EC4351" w:rsidP="006C05B1">
            <w:pPr>
              <w:spacing w:before="60" w:line="240" w:lineRule="auto"/>
            </w:pPr>
            <w:r w:rsidRPr="00A12D38">
              <w:rPr>
                <w:rFonts w:eastAsia="Arial"/>
              </w:rPr>
              <w:t xml:space="preserve">MSD is reasonably confident costs to </w:t>
            </w:r>
            <w:r>
              <w:rPr>
                <w:rFonts w:eastAsia="Arial"/>
              </w:rPr>
              <w:t>social housing providers</w:t>
            </w:r>
            <w:r w:rsidRPr="00A12D38">
              <w:rPr>
                <w:rFonts w:eastAsia="Arial"/>
              </w:rPr>
              <w:t xml:space="preserve"> will be low, because </w:t>
            </w:r>
            <w:r w:rsidRPr="00A12D38">
              <w:t xml:space="preserve">rent arrears costs attributed to this policy change are likely to be relatively small compared to other factors, with such costs being more likely to result from cost of living pressures and/or other factors. </w:t>
            </w:r>
          </w:p>
        </w:tc>
      </w:tr>
      <w:tr w:rsidR="00EC4351" w:rsidRPr="00A12D38" w14:paraId="6142AD78" w14:textId="77777777">
        <w:trPr>
          <w:trHeight w:val="2664"/>
        </w:trPr>
        <w:tc>
          <w:tcPr>
            <w:tcW w:w="2778" w:type="dxa"/>
            <w:tcBorders>
              <w:top w:val="single" w:sz="8" w:space="0" w:color="DDDDDD"/>
              <w:left w:val="single" w:sz="8" w:space="0" w:color="DDDDDD"/>
              <w:bottom w:val="single" w:sz="8" w:space="0" w:color="DDDDDD"/>
              <w:right w:val="single" w:sz="8" w:space="0" w:color="DDDDDD"/>
            </w:tcBorders>
          </w:tcPr>
          <w:p w14:paraId="50C05FA4" w14:textId="77777777" w:rsidR="00EC4351" w:rsidRPr="00A12D38" w:rsidRDefault="00EC4351" w:rsidP="006C05B1">
            <w:pPr>
              <w:spacing w:before="60" w:line="240" w:lineRule="auto"/>
            </w:pPr>
            <w:r w:rsidRPr="00A12D38">
              <w:rPr>
                <w:b/>
                <w:bCs/>
              </w:rPr>
              <w:lastRenderedPageBreak/>
              <w:t>Total monetised costs</w:t>
            </w:r>
            <w:r w:rsidRPr="00A12D38">
              <w:t xml:space="preserve"> </w:t>
            </w:r>
          </w:p>
        </w:tc>
        <w:tc>
          <w:tcPr>
            <w:tcW w:w="4918" w:type="dxa"/>
            <w:tcBorders>
              <w:top w:val="single" w:sz="8" w:space="0" w:color="DDDDDD"/>
              <w:left w:val="single" w:sz="8" w:space="0" w:color="DDDDDD"/>
              <w:bottom w:val="single" w:sz="8" w:space="0" w:color="DDDDDD"/>
              <w:right w:val="single" w:sz="8" w:space="0" w:color="DDDDDD"/>
            </w:tcBorders>
          </w:tcPr>
          <w:p w14:paraId="7F21FC07" w14:textId="77777777" w:rsidR="00EC4351" w:rsidRPr="00A12D38" w:rsidRDefault="00EC4351" w:rsidP="006C05B1">
            <w:pPr>
              <w:spacing w:before="60" w:line="240" w:lineRule="auto"/>
            </w:pPr>
            <w:r w:rsidRPr="00A12D38">
              <w:t>There will be initial financial costs to implement the changes to how boarder payments are treated and there will be ongoing costs for frontline delivery.</w:t>
            </w:r>
          </w:p>
        </w:tc>
        <w:tc>
          <w:tcPr>
            <w:tcW w:w="4409" w:type="dxa"/>
            <w:tcBorders>
              <w:top w:val="single" w:sz="8" w:space="0" w:color="DDDDDD"/>
              <w:left w:val="single" w:sz="8" w:space="0" w:color="DDDDDD"/>
              <w:bottom w:val="single" w:sz="8" w:space="0" w:color="DDDDDD"/>
              <w:right w:val="single" w:sz="8" w:space="0" w:color="DDDDDD"/>
            </w:tcBorders>
          </w:tcPr>
          <w:p w14:paraId="55CE967F" w14:textId="77777777" w:rsidR="00EC4351" w:rsidRPr="00A12D38" w:rsidRDefault="00EC4351" w:rsidP="006C05B1">
            <w:pPr>
              <w:spacing w:before="60" w:line="240" w:lineRule="auto"/>
            </w:pPr>
            <w:r w:rsidRPr="00A12D38">
              <w:t>There will be a total cost of $17.559 million over four financial years, comprised of one-off and ongoing costs, to implement the changes to how boarder payments are treated:</w:t>
            </w:r>
          </w:p>
          <w:p w14:paraId="71706D03" w14:textId="77777777" w:rsidR="00EC4351" w:rsidRPr="00C62F44" w:rsidRDefault="00EC4351" w:rsidP="006C05B1">
            <w:pPr>
              <w:pStyle w:val="Bullet1"/>
              <w:spacing w:after="0" w:line="240" w:lineRule="auto"/>
              <w:ind w:left="567" w:hanging="567"/>
              <w:rPr>
                <w:rFonts w:ascii="Arial" w:hAnsi="Arial"/>
                <w:sz w:val="22"/>
                <w:szCs w:val="22"/>
                <w:lang w:eastAsia="en-GB"/>
              </w:rPr>
            </w:pPr>
            <w:r w:rsidRPr="00C62F44">
              <w:rPr>
                <w:rFonts w:ascii="Arial" w:hAnsi="Arial"/>
                <w:sz w:val="22"/>
                <w:szCs w:val="22"/>
                <w:lang w:eastAsia="en-GB"/>
              </w:rPr>
              <w:t>$8.234m in ongoing costs (Opex only)</w:t>
            </w:r>
          </w:p>
          <w:p w14:paraId="0112F4FE" w14:textId="77777777" w:rsidR="00EC4351" w:rsidRPr="00A12D38" w:rsidRDefault="00EC4351" w:rsidP="006C05B1">
            <w:pPr>
              <w:pStyle w:val="Bullet1"/>
              <w:spacing w:line="240" w:lineRule="auto"/>
              <w:ind w:left="567" w:hanging="567"/>
              <w:rPr>
                <w:lang w:eastAsia="en-GB"/>
              </w:rPr>
            </w:pPr>
            <w:r w:rsidRPr="00C62F44">
              <w:rPr>
                <w:rFonts w:ascii="Arial" w:hAnsi="Arial"/>
                <w:sz w:val="22"/>
                <w:szCs w:val="22"/>
                <w:lang w:eastAsia="en-GB"/>
              </w:rPr>
              <w:t>$9.325m in one-off costs (a mix of Opex and Capex in 2024/25 and 2025/26).</w:t>
            </w:r>
          </w:p>
        </w:tc>
        <w:tc>
          <w:tcPr>
            <w:tcW w:w="3194" w:type="dxa"/>
            <w:tcBorders>
              <w:top w:val="single" w:sz="8" w:space="0" w:color="DDDDDD"/>
              <w:left w:val="single" w:sz="8" w:space="0" w:color="DDDDDD"/>
              <w:bottom w:val="single" w:sz="8" w:space="0" w:color="DDDDDD"/>
              <w:right w:val="single" w:sz="8" w:space="0" w:color="DDDDDD"/>
            </w:tcBorders>
          </w:tcPr>
          <w:p w14:paraId="4F4D7323" w14:textId="77777777" w:rsidR="00EC4351" w:rsidRPr="00A12D38" w:rsidRDefault="00EC4351" w:rsidP="006C05B1">
            <w:pPr>
              <w:spacing w:before="60" w:line="240" w:lineRule="auto"/>
              <w:rPr>
                <w:b/>
                <w:bCs/>
              </w:rPr>
            </w:pPr>
            <w:r w:rsidRPr="00A12D38">
              <w:rPr>
                <w:b/>
                <w:bCs/>
              </w:rPr>
              <w:t>High</w:t>
            </w:r>
          </w:p>
          <w:p w14:paraId="6946EEC3" w14:textId="77777777" w:rsidR="00EC4351" w:rsidRPr="00A12D38" w:rsidRDefault="00EC4351" w:rsidP="006C05B1">
            <w:pPr>
              <w:spacing w:before="60" w:after="0" w:line="240" w:lineRule="auto"/>
            </w:pPr>
            <w:r w:rsidRPr="00A12D38">
              <w:t>Using costing information from previous experience of implementing legislative changes, there is high confidence in expected costs and savings expected from changes compared to the status quo.</w:t>
            </w:r>
          </w:p>
        </w:tc>
      </w:tr>
      <w:tr w:rsidR="00EC4351" w:rsidRPr="00A12D38" w14:paraId="13506EF0" w14:textId="77777777">
        <w:trPr>
          <w:trHeight w:val="255"/>
        </w:trPr>
        <w:tc>
          <w:tcPr>
            <w:tcW w:w="2778" w:type="dxa"/>
            <w:tcBorders>
              <w:top w:val="single" w:sz="8" w:space="0" w:color="DDDDDD"/>
              <w:left w:val="single" w:sz="8" w:space="0" w:color="DDDDDD"/>
              <w:bottom w:val="single" w:sz="8" w:space="0" w:color="DDDDDD"/>
              <w:right w:val="single" w:sz="8" w:space="0" w:color="DDDDDD"/>
            </w:tcBorders>
          </w:tcPr>
          <w:p w14:paraId="5605AD62" w14:textId="77777777" w:rsidR="00EC4351" w:rsidRPr="00A12D38" w:rsidRDefault="00EC4351" w:rsidP="006C05B1">
            <w:pPr>
              <w:spacing w:before="60" w:line="240" w:lineRule="auto"/>
            </w:pPr>
            <w:r w:rsidRPr="00A12D38">
              <w:rPr>
                <w:b/>
                <w:bCs/>
              </w:rPr>
              <w:t>Non-monetised costs to wider government agencies and social service agencies</w:t>
            </w:r>
            <w:r w:rsidRPr="00A12D38">
              <w:t xml:space="preserve"> </w:t>
            </w:r>
          </w:p>
        </w:tc>
        <w:tc>
          <w:tcPr>
            <w:tcW w:w="4918" w:type="dxa"/>
            <w:tcBorders>
              <w:top w:val="single" w:sz="8" w:space="0" w:color="DDDDDD"/>
              <w:left w:val="single" w:sz="8" w:space="0" w:color="DDDDDD"/>
              <w:bottom w:val="single" w:sz="8" w:space="0" w:color="DDDDDD"/>
              <w:right w:val="single" w:sz="8" w:space="0" w:color="DDDDDD"/>
            </w:tcBorders>
          </w:tcPr>
          <w:p w14:paraId="32D96BCF" w14:textId="75DA9601" w:rsidR="00EC4351" w:rsidRPr="00A12D38" w:rsidRDefault="00EC4351" w:rsidP="006C05B1">
            <w:pPr>
              <w:spacing w:before="60" w:line="240" w:lineRule="auto"/>
            </w:pPr>
            <w:r w:rsidRPr="00A12D38">
              <w:t>There will be ongoing costs to wider government agencies and social service agencies</w:t>
            </w:r>
            <w:r w:rsidR="009D024D">
              <w:t xml:space="preserve"> (</w:t>
            </w:r>
            <w:r w:rsidR="009D024D" w:rsidRPr="009D024D">
              <w:t>such as HUD, Police, Health and Oranga Tamariki</w:t>
            </w:r>
            <w:r w:rsidR="001C49BC">
              <w:t>)</w:t>
            </w:r>
            <w:r>
              <w:t>,</w:t>
            </w:r>
            <w:r w:rsidRPr="00A12D38">
              <w:t xml:space="preserve"> </w:t>
            </w:r>
            <w:r>
              <w:t xml:space="preserve">should there be </w:t>
            </w:r>
            <w:r w:rsidRPr="00A12D38">
              <w:t xml:space="preserve">flow-on impacts </w:t>
            </w:r>
            <w:r>
              <w:t>resulting from any increase in</w:t>
            </w:r>
            <w:r w:rsidRPr="00A12D38">
              <w:t xml:space="preserve"> housing insecurity, </w:t>
            </w:r>
            <w:r>
              <w:t xml:space="preserve">such as </w:t>
            </w:r>
            <w:r w:rsidRPr="00A12D38">
              <w:t>health and other social impacts.</w:t>
            </w:r>
          </w:p>
        </w:tc>
        <w:tc>
          <w:tcPr>
            <w:tcW w:w="4409" w:type="dxa"/>
            <w:tcBorders>
              <w:top w:val="single" w:sz="8" w:space="0" w:color="DDDDDD"/>
              <w:left w:val="single" w:sz="8" w:space="0" w:color="DDDDDD"/>
              <w:bottom w:val="single" w:sz="8" w:space="0" w:color="DDDDDD"/>
              <w:right w:val="single" w:sz="8" w:space="0" w:color="DDDDDD"/>
            </w:tcBorders>
          </w:tcPr>
          <w:p w14:paraId="5A09AA8E" w14:textId="77777777" w:rsidR="00EC4351" w:rsidRPr="00A12D38" w:rsidRDefault="00EC4351" w:rsidP="006C05B1">
            <w:pPr>
              <w:spacing w:before="60" w:line="240" w:lineRule="auto"/>
              <w:rPr>
                <w:b/>
                <w:bCs/>
              </w:rPr>
            </w:pPr>
            <w:r w:rsidRPr="00A12D38">
              <w:rPr>
                <w:b/>
                <w:bCs/>
              </w:rPr>
              <w:t>Low</w:t>
            </w:r>
          </w:p>
          <w:p w14:paraId="3FE0F8EE" w14:textId="77777777" w:rsidR="00EC4351" w:rsidRPr="00A12D38" w:rsidRDefault="00EC4351" w:rsidP="006C05B1">
            <w:pPr>
              <w:spacing w:before="60" w:line="240" w:lineRule="auto"/>
              <w:rPr>
                <w:b/>
              </w:rPr>
            </w:pPr>
            <w:r w:rsidRPr="00A12D38">
              <w:rPr>
                <w:bCs/>
              </w:rPr>
              <w:t>These non-monetised costs are expected to be low.</w:t>
            </w:r>
            <w:r w:rsidRPr="00A12D38">
              <w:rPr>
                <w:b/>
              </w:rPr>
              <w:t xml:space="preserve"> </w:t>
            </w:r>
          </w:p>
          <w:p w14:paraId="34BA9927" w14:textId="77777777" w:rsidR="00EC4351" w:rsidRPr="00A12D38" w:rsidRDefault="00EC4351" w:rsidP="006C05B1">
            <w:pPr>
              <w:spacing w:before="60" w:line="240" w:lineRule="auto"/>
              <w:rPr>
                <w:b/>
              </w:rPr>
            </w:pPr>
          </w:p>
          <w:p w14:paraId="75924D13" w14:textId="77777777" w:rsidR="00EC4351" w:rsidRPr="00A12D38" w:rsidRDefault="00EC4351" w:rsidP="006C05B1">
            <w:pPr>
              <w:spacing w:before="60" w:line="240" w:lineRule="auto"/>
              <w:rPr>
                <w:b/>
              </w:rPr>
            </w:pPr>
          </w:p>
        </w:tc>
        <w:tc>
          <w:tcPr>
            <w:tcW w:w="3194" w:type="dxa"/>
            <w:tcBorders>
              <w:top w:val="single" w:sz="8" w:space="0" w:color="DDDDDD"/>
              <w:left w:val="single" w:sz="8" w:space="0" w:color="DDDDDD"/>
              <w:bottom w:val="single" w:sz="8" w:space="0" w:color="DDDDDD"/>
              <w:right w:val="single" w:sz="8" w:space="0" w:color="DDDDDD"/>
            </w:tcBorders>
          </w:tcPr>
          <w:p w14:paraId="08A3BEED" w14:textId="77777777" w:rsidR="00EC4351" w:rsidRPr="00A12D38" w:rsidRDefault="00EC4351" w:rsidP="006C05B1">
            <w:pPr>
              <w:spacing w:before="60" w:line="240" w:lineRule="auto"/>
              <w:rPr>
                <w:b/>
                <w:bCs/>
              </w:rPr>
            </w:pPr>
            <w:r w:rsidRPr="00A12D38">
              <w:rPr>
                <w:b/>
                <w:bCs/>
              </w:rPr>
              <w:t>High</w:t>
            </w:r>
          </w:p>
          <w:p w14:paraId="0CE048AB" w14:textId="77777777" w:rsidR="00EC4351" w:rsidRPr="00A12D38" w:rsidRDefault="00EC4351" w:rsidP="006C05B1">
            <w:pPr>
              <w:spacing w:before="60" w:line="240" w:lineRule="auto"/>
              <w:rPr>
                <w:b/>
              </w:rPr>
            </w:pPr>
            <w:r w:rsidRPr="00A12D38">
              <w:t>MSD is confident the non-monetised costs to wider government agencies and social service agencies will be low</w:t>
            </w:r>
            <w:r>
              <w:t>,</w:t>
            </w:r>
            <w:r w:rsidRPr="00A12D38">
              <w:t xml:space="preserve"> because the policy change is not expected to substantially increase homelessness and housing insecurity.</w:t>
            </w:r>
          </w:p>
        </w:tc>
      </w:tr>
      <w:tr w:rsidR="00EC4351" w:rsidRPr="00A12D38" w14:paraId="52F0A57B" w14:textId="77777777" w:rsidTr="6DB6A01A">
        <w:trPr>
          <w:trHeight w:val="420"/>
        </w:trPr>
        <w:tc>
          <w:tcPr>
            <w:tcW w:w="15299" w:type="dxa"/>
            <w:gridSpan w:val="4"/>
            <w:tcBorders>
              <w:top w:val="single" w:sz="8" w:space="0" w:color="DDDDDD"/>
              <w:left w:val="single" w:sz="8" w:space="0" w:color="DDDDDD"/>
              <w:bottom w:val="single" w:sz="8" w:space="0" w:color="DDDDDD"/>
              <w:right w:val="single" w:sz="8" w:space="0" w:color="DDDDDD"/>
            </w:tcBorders>
            <w:shd w:val="clear" w:color="auto" w:fill="F2F2F2" w:themeFill="background1" w:themeFillShade="F2"/>
            <w:vAlign w:val="center"/>
          </w:tcPr>
          <w:p w14:paraId="0FBCA41D" w14:textId="77777777" w:rsidR="00EC4351" w:rsidRPr="00A12D38" w:rsidRDefault="00EC4351" w:rsidP="006C05B1">
            <w:pPr>
              <w:spacing w:before="60" w:line="240" w:lineRule="auto"/>
            </w:pPr>
            <w:r w:rsidRPr="00A12D38">
              <w:rPr>
                <w:b/>
                <w:bCs/>
              </w:rPr>
              <w:t>Additional benefits of the preferred option compared to taking no action</w:t>
            </w:r>
            <w:r w:rsidRPr="00A12D38">
              <w:t xml:space="preserve"> </w:t>
            </w:r>
          </w:p>
        </w:tc>
      </w:tr>
      <w:tr w:rsidR="00EC4351" w:rsidRPr="00A12D38" w14:paraId="2657D2BC" w14:textId="77777777">
        <w:trPr>
          <w:trHeight w:val="375"/>
        </w:trPr>
        <w:tc>
          <w:tcPr>
            <w:tcW w:w="2778" w:type="dxa"/>
            <w:tcBorders>
              <w:top w:val="single" w:sz="8" w:space="0" w:color="DDDDDD"/>
              <w:left w:val="single" w:sz="8" w:space="0" w:color="DDDDDD"/>
              <w:bottom w:val="single" w:sz="8" w:space="0" w:color="DDDDDD"/>
              <w:right w:val="single" w:sz="8" w:space="0" w:color="DDDDDD"/>
            </w:tcBorders>
          </w:tcPr>
          <w:p w14:paraId="75093B51" w14:textId="3D704984" w:rsidR="00EC4351" w:rsidRPr="00A12D38" w:rsidRDefault="00EC4351" w:rsidP="006C05B1">
            <w:pPr>
              <w:spacing w:before="60" w:line="240" w:lineRule="auto"/>
            </w:pPr>
            <w:r w:rsidRPr="00A12D38">
              <w:t xml:space="preserve">Regulated groups </w:t>
            </w:r>
          </w:p>
        </w:tc>
        <w:tc>
          <w:tcPr>
            <w:tcW w:w="4918" w:type="dxa"/>
            <w:tcBorders>
              <w:top w:val="nil"/>
              <w:left w:val="single" w:sz="8" w:space="0" w:color="DDDDDD"/>
              <w:bottom w:val="single" w:sz="8" w:space="0" w:color="DDDDDD"/>
              <w:right w:val="single" w:sz="8" w:space="0" w:color="DDDDDD"/>
            </w:tcBorders>
          </w:tcPr>
          <w:p w14:paraId="7E35983F" w14:textId="77777777" w:rsidR="00EC4351" w:rsidRPr="00A12D38" w:rsidRDefault="00EC4351" w:rsidP="006C05B1">
            <w:pPr>
              <w:spacing w:before="60" w:line="240" w:lineRule="auto"/>
            </w:pPr>
            <w:r w:rsidRPr="00A12D38">
              <w:t>A direct benefit of this policy change is that payments from renters and boarders will be treated more equitably when calculating housing subsidies.</w:t>
            </w:r>
          </w:p>
          <w:p w14:paraId="691E929C" w14:textId="49611150" w:rsidR="00EC4351" w:rsidRPr="00A12D38" w:rsidRDefault="00EC4351" w:rsidP="006C05B1">
            <w:pPr>
              <w:spacing w:before="60" w:line="240" w:lineRule="auto"/>
            </w:pPr>
            <w:r w:rsidRPr="00A12D38">
              <w:lastRenderedPageBreak/>
              <w:t xml:space="preserve">Creating a fairer and more equitable approach makes it </w:t>
            </w:r>
            <w:r w:rsidR="7DA6CED5">
              <w:t>easi</w:t>
            </w:r>
            <w:r w:rsidRPr="00A12D38">
              <w:t xml:space="preserve">er for applicants to </w:t>
            </w:r>
            <w:r w:rsidR="2BA2C343">
              <w:t xml:space="preserve">understand </w:t>
            </w:r>
            <w:r w:rsidRPr="00A12D38">
              <w:t>what they are entitled to and what is expected from them.</w:t>
            </w:r>
          </w:p>
        </w:tc>
        <w:tc>
          <w:tcPr>
            <w:tcW w:w="4409" w:type="dxa"/>
            <w:tcBorders>
              <w:top w:val="nil"/>
              <w:left w:val="single" w:sz="8" w:space="0" w:color="DDDDDD"/>
              <w:bottom w:val="single" w:sz="8" w:space="0" w:color="DDDDDD"/>
              <w:right w:val="single" w:sz="8" w:space="0" w:color="DDDDDD"/>
            </w:tcBorders>
          </w:tcPr>
          <w:p w14:paraId="54EB4FE6" w14:textId="77777777" w:rsidR="00EC4351" w:rsidRPr="00A12D38" w:rsidRDefault="00EC4351" w:rsidP="006C05B1">
            <w:pPr>
              <w:spacing w:before="60" w:line="240" w:lineRule="auto"/>
              <w:rPr>
                <w:b/>
                <w:bCs/>
              </w:rPr>
            </w:pPr>
            <w:r w:rsidRPr="00A12D38">
              <w:rPr>
                <w:b/>
                <w:bCs/>
              </w:rPr>
              <w:lastRenderedPageBreak/>
              <w:t>Low</w:t>
            </w:r>
          </w:p>
          <w:p w14:paraId="6265139A" w14:textId="1C49CA74" w:rsidR="00EC4351" w:rsidRPr="00A12D38" w:rsidRDefault="00EC4351" w:rsidP="006C05B1">
            <w:pPr>
              <w:spacing w:before="60" w:line="240" w:lineRule="auto"/>
            </w:pPr>
          </w:p>
        </w:tc>
        <w:tc>
          <w:tcPr>
            <w:tcW w:w="3194" w:type="dxa"/>
            <w:tcBorders>
              <w:top w:val="nil"/>
              <w:left w:val="single" w:sz="8" w:space="0" w:color="DDDDDD"/>
              <w:bottom w:val="single" w:sz="8" w:space="0" w:color="DDDDDD"/>
              <w:right w:val="single" w:sz="8" w:space="0" w:color="DDDDDD"/>
            </w:tcBorders>
          </w:tcPr>
          <w:p w14:paraId="5AADEE1C" w14:textId="77777777" w:rsidR="00EC4351" w:rsidRPr="00A12D38" w:rsidRDefault="00EC4351" w:rsidP="006C05B1">
            <w:pPr>
              <w:spacing w:before="60" w:line="240" w:lineRule="auto"/>
              <w:rPr>
                <w:b/>
                <w:bCs/>
              </w:rPr>
            </w:pPr>
            <w:r w:rsidRPr="00A12D38">
              <w:rPr>
                <w:b/>
                <w:bCs/>
              </w:rPr>
              <w:t>High</w:t>
            </w:r>
          </w:p>
          <w:p w14:paraId="5D9488FA" w14:textId="77777777" w:rsidR="00EC4351" w:rsidRPr="00A12D38" w:rsidRDefault="00EC4351" w:rsidP="006C05B1">
            <w:pPr>
              <w:spacing w:before="60" w:line="240" w:lineRule="auto"/>
            </w:pPr>
            <w:r w:rsidRPr="00A12D38">
              <w:t xml:space="preserve">MSD is confident the policy changes will create more </w:t>
            </w:r>
            <w:r w:rsidRPr="00A12D38">
              <w:lastRenderedPageBreak/>
              <w:t>consistency and address issues of inequity.</w:t>
            </w:r>
          </w:p>
        </w:tc>
      </w:tr>
      <w:tr w:rsidR="00EC4351" w:rsidRPr="00A12D38" w14:paraId="7FF34B3F" w14:textId="77777777">
        <w:trPr>
          <w:trHeight w:val="1516"/>
        </w:trPr>
        <w:tc>
          <w:tcPr>
            <w:tcW w:w="2778" w:type="dxa"/>
            <w:tcBorders>
              <w:top w:val="single" w:sz="8" w:space="0" w:color="DDDDDD"/>
              <w:left w:val="single" w:sz="8" w:space="0" w:color="DDDDDD"/>
              <w:bottom w:val="single" w:sz="8" w:space="0" w:color="DDDDDD"/>
              <w:right w:val="single" w:sz="8" w:space="0" w:color="DDDDDD"/>
            </w:tcBorders>
          </w:tcPr>
          <w:p w14:paraId="123C5010" w14:textId="77777777" w:rsidR="00EC4351" w:rsidRPr="00A12D38" w:rsidRDefault="00EC4351" w:rsidP="006C05B1">
            <w:pPr>
              <w:spacing w:before="60" w:line="240" w:lineRule="auto"/>
              <w:rPr>
                <w:b/>
                <w:bCs/>
              </w:rPr>
            </w:pPr>
            <w:r w:rsidRPr="00A12D38">
              <w:lastRenderedPageBreak/>
              <w:t xml:space="preserve">MSD  </w:t>
            </w:r>
          </w:p>
        </w:tc>
        <w:tc>
          <w:tcPr>
            <w:tcW w:w="4918" w:type="dxa"/>
            <w:tcBorders>
              <w:top w:val="single" w:sz="8" w:space="0" w:color="DDDDDD"/>
              <w:left w:val="single" w:sz="8" w:space="0" w:color="DDDDDD"/>
              <w:bottom w:val="single" w:sz="8" w:space="0" w:color="DDDDDD"/>
              <w:right w:val="single" w:sz="8" w:space="0" w:color="DDDDDD"/>
            </w:tcBorders>
          </w:tcPr>
          <w:p w14:paraId="2ED84084" w14:textId="77777777" w:rsidR="00EC4351" w:rsidRPr="00A12D38" w:rsidRDefault="00EC4351" w:rsidP="006C05B1">
            <w:pPr>
              <w:spacing w:before="60" w:line="240" w:lineRule="auto"/>
            </w:pPr>
            <w:r w:rsidRPr="00A12D38">
              <w:t>Ongoing benefits – there will be clearer legal and operational guidance for the treatment of boarder payments. This will make it easier for frontline staff to calculate housing subsidies and other forms of economic support.</w:t>
            </w:r>
          </w:p>
        </w:tc>
        <w:tc>
          <w:tcPr>
            <w:tcW w:w="4409" w:type="dxa"/>
            <w:tcBorders>
              <w:top w:val="single" w:sz="8" w:space="0" w:color="DDDDDD"/>
              <w:left w:val="single" w:sz="8" w:space="0" w:color="DDDDDD"/>
              <w:bottom w:val="single" w:sz="8" w:space="0" w:color="DDDDDD"/>
              <w:right w:val="single" w:sz="8" w:space="0" w:color="DDDDDD"/>
            </w:tcBorders>
          </w:tcPr>
          <w:p w14:paraId="392FE577" w14:textId="77777777" w:rsidR="00EC4351" w:rsidRPr="00A12D38" w:rsidRDefault="00EC4351" w:rsidP="006C05B1">
            <w:pPr>
              <w:spacing w:before="60" w:line="240" w:lineRule="auto"/>
              <w:rPr>
                <w:b/>
                <w:bCs/>
              </w:rPr>
            </w:pPr>
            <w:r w:rsidRPr="00A12D38">
              <w:rPr>
                <w:b/>
                <w:bCs/>
              </w:rPr>
              <w:t>Low</w:t>
            </w:r>
          </w:p>
          <w:p w14:paraId="7D82D414" w14:textId="77777777" w:rsidR="00EC4351" w:rsidRPr="00A12D38" w:rsidRDefault="00EC4351" w:rsidP="006C05B1">
            <w:pPr>
              <w:spacing w:before="60" w:line="240" w:lineRule="auto"/>
            </w:pPr>
            <w:r w:rsidRPr="00A12D38">
              <w:t>These benefits are likely to be minor.</w:t>
            </w:r>
          </w:p>
        </w:tc>
        <w:tc>
          <w:tcPr>
            <w:tcW w:w="3194" w:type="dxa"/>
            <w:tcBorders>
              <w:top w:val="single" w:sz="8" w:space="0" w:color="DDDDDD"/>
              <w:left w:val="single" w:sz="8" w:space="0" w:color="DDDDDD"/>
              <w:bottom w:val="single" w:sz="8" w:space="0" w:color="DDDDDD"/>
              <w:right w:val="single" w:sz="8" w:space="0" w:color="DDDDDD"/>
            </w:tcBorders>
          </w:tcPr>
          <w:p w14:paraId="1F0EF8E8" w14:textId="77777777" w:rsidR="00EC4351" w:rsidRPr="00A12D38" w:rsidRDefault="00EC4351" w:rsidP="006C05B1">
            <w:pPr>
              <w:spacing w:before="60" w:line="240" w:lineRule="auto"/>
              <w:rPr>
                <w:b/>
                <w:bCs/>
              </w:rPr>
            </w:pPr>
            <w:r w:rsidRPr="00A12D38">
              <w:rPr>
                <w:b/>
                <w:bCs/>
              </w:rPr>
              <w:t>High</w:t>
            </w:r>
          </w:p>
          <w:p w14:paraId="1C6F96A7" w14:textId="77777777" w:rsidR="00EC4351" w:rsidRPr="00A12D38" w:rsidRDefault="00EC4351" w:rsidP="006C05B1">
            <w:pPr>
              <w:spacing w:before="60" w:line="240" w:lineRule="auto"/>
            </w:pPr>
            <w:r w:rsidRPr="00A12D38">
              <w:t>MSD is confident the policy changes will create more consistency and address issues of inequity.</w:t>
            </w:r>
          </w:p>
        </w:tc>
      </w:tr>
      <w:tr w:rsidR="00EC4351" w:rsidRPr="00A12D38" w14:paraId="5CDAF24B" w14:textId="77777777">
        <w:trPr>
          <w:trHeight w:val="375"/>
        </w:trPr>
        <w:tc>
          <w:tcPr>
            <w:tcW w:w="2778" w:type="dxa"/>
            <w:tcBorders>
              <w:top w:val="single" w:sz="8" w:space="0" w:color="DDDDDD"/>
              <w:left w:val="single" w:sz="8" w:space="0" w:color="DDDDDD"/>
              <w:bottom w:val="single" w:sz="8" w:space="0" w:color="DDDDDD"/>
              <w:right w:val="single" w:sz="8" w:space="0" w:color="DDDDDD"/>
            </w:tcBorders>
          </w:tcPr>
          <w:p w14:paraId="339AB423" w14:textId="77777777" w:rsidR="00EC4351" w:rsidRPr="00A12D38" w:rsidRDefault="00EC4351" w:rsidP="006C05B1">
            <w:pPr>
              <w:spacing w:before="60" w:line="240" w:lineRule="auto"/>
            </w:pPr>
            <w:r w:rsidRPr="00A12D38">
              <w:t>Wider public/taxpayer</w:t>
            </w:r>
          </w:p>
          <w:p w14:paraId="50FD6D1E" w14:textId="77777777" w:rsidR="00EC4351" w:rsidRPr="00A12D38" w:rsidRDefault="00EC4351" w:rsidP="006C05B1">
            <w:pPr>
              <w:spacing w:before="60" w:line="240" w:lineRule="auto"/>
            </w:pPr>
          </w:p>
        </w:tc>
        <w:tc>
          <w:tcPr>
            <w:tcW w:w="4918" w:type="dxa"/>
            <w:tcBorders>
              <w:top w:val="single" w:sz="8" w:space="0" w:color="DDDDDD"/>
              <w:left w:val="single" w:sz="8" w:space="0" w:color="DDDDDD"/>
              <w:bottom w:val="single" w:sz="8" w:space="0" w:color="DDDDDD"/>
              <w:right w:val="single" w:sz="8" w:space="0" w:color="DDDDDD"/>
            </w:tcBorders>
          </w:tcPr>
          <w:p w14:paraId="254FFFE7" w14:textId="6D65EB21" w:rsidR="00EC4351" w:rsidRPr="00A12D38" w:rsidRDefault="00B63B5B" w:rsidP="006C05B1">
            <w:pPr>
              <w:spacing w:before="60" w:line="240" w:lineRule="auto"/>
            </w:pPr>
            <w:r w:rsidRPr="00A12D38">
              <w:t xml:space="preserve">By addressing the issue </w:t>
            </w:r>
            <w:r>
              <w:t>of double</w:t>
            </w:r>
            <w:r w:rsidRPr="00A12D38">
              <w:t xml:space="preserve"> subsidis</w:t>
            </w:r>
            <w:r>
              <w:t xml:space="preserve">ation of </w:t>
            </w:r>
            <w:r w:rsidRPr="00A12D38">
              <w:t>the same accommodation costs</w:t>
            </w:r>
            <w:r w:rsidR="00FA5FF5">
              <w:t xml:space="preserve"> </w:t>
            </w:r>
            <w:r w:rsidR="00FA5FF5" w:rsidRPr="00FA5FF5">
              <w:t>and improving targeting of housing subsidies</w:t>
            </w:r>
            <w:r w:rsidRPr="00A12D38">
              <w:t xml:space="preserve">, </w:t>
            </w:r>
            <w:r>
              <w:t>g</w:t>
            </w:r>
            <w:r w:rsidRPr="00A12D38">
              <w:t>overnment will be able to better utilise taxpayers’ money to address other issues.</w:t>
            </w:r>
            <w:r w:rsidRPr="00F31B48">
              <w:t xml:space="preserve"> </w:t>
            </w:r>
            <w:r>
              <w:t>The</w:t>
            </w:r>
            <w:r w:rsidRPr="00F31B48">
              <w:t xml:space="preserve"> initiative is expected to return $150.96 million in operating funding over four years</w:t>
            </w:r>
            <w:r>
              <w:t>.</w:t>
            </w:r>
          </w:p>
        </w:tc>
        <w:tc>
          <w:tcPr>
            <w:tcW w:w="4409" w:type="dxa"/>
            <w:tcBorders>
              <w:top w:val="single" w:sz="8" w:space="0" w:color="DDDDDD"/>
              <w:left w:val="single" w:sz="8" w:space="0" w:color="DDDDDD"/>
              <w:bottom w:val="single" w:sz="8" w:space="0" w:color="DDDDDD"/>
              <w:right w:val="single" w:sz="8" w:space="0" w:color="DDDDDD"/>
            </w:tcBorders>
          </w:tcPr>
          <w:p w14:paraId="0918F8E5" w14:textId="77777777" w:rsidR="00EC4351" w:rsidRPr="00A12D38" w:rsidRDefault="00EC4351" w:rsidP="006C05B1">
            <w:pPr>
              <w:spacing w:before="60" w:line="240" w:lineRule="auto"/>
              <w:rPr>
                <w:b/>
                <w:bCs/>
              </w:rPr>
            </w:pPr>
            <w:r w:rsidRPr="00A12D38">
              <w:rPr>
                <w:b/>
                <w:bCs/>
              </w:rPr>
              <w:t>Medium</w:t>
            </w:r>
          </w:p>
          <w:p w14:paraId="1E11109B" w14:textId="77777777" w:rsidR="00EC4351" w:rsidRPr="00A12D38" w:rsidRDefault="00EC4351" w:rsidP="006C05B1">
            <w:pPr>
              <w:spacing w:before="60" w:line="240" w:lineRule="auto"/>
            </w:pPr>
          </w:p>
        </w:tc>
        <w:tc>
          <w:tcPr>
            <w:tcW w:w="3194" w:type="dxa"/>
            <w:tcBorders>
              <w:top w:val="single" w:sz="8" w:space="0" w:color="DDDDDD"/>
              <w:left w:val="single" w:sz="8" w:space="0" w:color="DDDDDD"/>
              <w:bottom w:val="single" w:sz="8" w:space="0" w:color="DDDDDD"/>
              <w:right w:val="single" w:sz="8" w:space="0" w:color="DDDDDD"/>
            </w:tcBorders>
          </w:tcPr>
          <w:p w14:paraId="0FB6D29E" w14:textId="77777777" w:rsidR="00EC4351" w:rsidRPr="00A12D38" w:rsidRDefault="00EC4351" w:rsidP="006C05B1">
            <w:pPr>
              <w:spacing w:before="60" w:line="240" w:lineRule="auto"/>
              <w:rPr>
                <w:b/>
                <w:bCs/>
              </w:rPr>
            </w:pPr>
            <w:r w:rsidRPr="00A12D38">
              <w:rPr>
                <w:b/>
                <w:bCs/>
              </w:rPr>
              <w:t>High</w:t>
            </w:r>
          </w:p>
          <w:p w14:paraId="73BAB5BC" w14:textId="77777777" w:rsidR="00EC4351" w:rsidRPr="00A12D38" w:rsidRDefault="00EC4351" w:rsidP="006C05B1">
            <w:pPr>
              <w:spacing w:before="60" w:line="240" w:lineRule="auto"/>
              <w:rPr>
                <w:b/>
                <w:bCs/>
              </w:rPr>
            </w:pPr>
            <w:r w:rsidRPr="00A12D38">
              <w:t>MSD is confident in expected savings from a reduction in expenditure on housing subsidies over the forecast period because of legislative and operational changes. These have been forecast to the best of MSD’s ability; however, they are subject to change.</w:t>
            </w:r>
          </w:p>
        </w:tc>
      </w:tr>
      <w:tr w:rsidR="00EC4351" w:rsidRPr="00A12D38" w14:paraId="0F42868A" w14:textId="77777777">
        <w:trPr>
          <w:trHeight w:val="255"/>
        </w:trPr>
        <w:tc>
          <w:tcPr>
            <w:tcW w:w="2778" w:type="dxa"/>
            <w:tcBorders>
              <w:top w:val="single" w:sz="8" w:space="0" w:color="DDDDDD"/>
              <w:left w:val="single" w:sz="8" w:space="0" w:color="DDDDDD"/>
              <w:bottom w:val="single" w:sz="8" w:space="0" w:color="DDDDDD"/>
              <w:right w:val="single" w:sz="8" w:space="0" w:color="DDDDDD"/>
            </w:tcBorders>
          </w:tcPr>
          <w:p w14:paraId="568E10F8" w14:textId="77777777" w:rsidR="00EC4351" w:rsidRPr="00A12D38" w:rsidRDefault="00EC4351" w:rsidP="006C05B1">
            <w:pPr>
              <w:spacing w:before="60" w:line="240" w:lineRule="auto"/>
            </w:pPr>
            <w:r w:rsidRPr="00A12D38">
              <w:rPr>
                <w:b/>
                <w:bCs/>
              </w:rPr>
              <w:t>Total monetised benefits</w:t>
            </w:r>
            <w:r w:rsidRPr="00A12D38">
              <w:t xml:space="preserve"> </w:t>
            </w:r>
          </w:p>
        </w:tc>
        <w:tc>
          <w:tcPr>
            <w:tcW w:w="4918" w:type="dxa"/>
            <w:tcBorders>
              <w:top w:val="single" w:sz="8" w:space="0" w:color="DDDDDD"/>
              <w:left w:val="single" w:sz="8" w:space="0" w:color="DDDDDD"/>
              <w:bottom w:val="single" w:sz="8" w:space="0" w:color="DDDDDD"/>
              <w:right w:val="single" w:sz="8" w:space="0" w:color="DDDDDD"/>
            </w:tcBorders>
          </w:tcPr>
          <w:p w14:paraId="232DDF40" w14:textId="77777777" w:rsidR="00EC4351" w:rsidRPr="00A12D38" w:rsidRDefault="00EC4351" w:rsidP="006C05B1">
            <w:pPr>
              <w:spacing w:before="60" w:line="240" w:lineRule="auto"/>
            </w:pPr>
            <w:r w:rsidRPr="00A12D38">
              <w:t>The financial savings will occur by ensuring boarder contributions are included in the calculation of housing subsidies for the person receiving the board payments.</w:t>
            </w:r>
          </w:p>
        </w:tc>
        <w:tc>
          <w:tcPr>
            <w:tcW w:w="4409" w:type="dxa"/>
            <w:tcBorders>
              <w:top w:val="single" w:sz="8" w:space="0" w:color="DDDDDD"/>
              <w:left w:val="single" w:sz="8" w:space="0" w:color="DDDDDD"/>
              <w:bottom w:val="single" w:sz="8" w:space="0" w:color="DDDDDD"/>
              <w:right w:val="single" w:sz="8" w:space="0" w:color="DDDDDD"/>
            </w:tcBorders>
          </w:tcPr>
          <w:p w14:paraId="31DA55F8" w14:textId="77777777" w:rsidR="00EC4351" w:rsidRPr="00A12D38" w:rsidRDefault="00EC4351" w:rsidP="006C05B1">
            <w:pPr>
              <w:spacing w:before="60" w:line="240" w:lineRule="auto"/>
            </w:pPr>
            <w:r w:rsidRPr="00A12D38">
              <w:t>These policy changes are expected to deliver savings of $156.286 million over the four-year forecast period.</w:t>
            </w:r>
          </w:p>
        </w:tc>
        <w:tc>
          <w:tcPr>
            <w:tcW w:w="3194" w:type="dxa"/>
            <w:tcBorders>
              <w:top w:val="single" w:sz="8" w:space="0" w:color="DDDDDD"/>
              <w:left w:val="single" w:sz="8" w:space="0" w:color="DDDDDD"/>
              <w:bottom w:val="single" w:sz="8" w:space="0" w:color="DDDDDD"/>
              <w:right w:val="single" w:sz="8" w:space="0" w:color="DDDDDD"/>
            </w:tcBorders>
          </w:tcPr>
          <w:p w14:paraId="2020DC05" w14:textId="512AF343" w:rsidR="00EC4351" w:rsidRPr="00A12D38" w:rsidRDefault="00506A75" w:rsidP="006C05B1">
            <w:pPr>
              <w:spacing w:before="60" w:line="240" w:lineRule="auto"/>
              <w:rPr>
                <w:b/>
                <w:bCs/>
              </w:rPr>
            </w:pPr>
            <w:r>
              <w:rPr>
                <w:b/>
                <w:bCs/>
              </w:rPr>
              <w:t>Medium</w:t>
            </w:r>
          </w:p>
          <w:p w14:paraId="27A565E3" w14:textId="2BE1F930" w:rsidR="00EC4351" w:rsidRPr="00A12D38" w:rsidRDefault="00EC4351" w:rsidP="006C05B1">
            <w:pPr>
              <w:spacing w:before="60" w:line="240" w:lineRule="auto"/>
            </w:pPr>
            <w:r w:rsidRPr="00A12D38">
              <w:t xml:space="preserve">The expected savings from a reduction in expenditure on housing subsidies have been </w:t>
            </w:r>
            <w:r w:rsidRPr="00A12D38">
              <w:lastRenderedPageBreak/>
              <w:t xml:space="preserve">forecast to the best of MSD’s ability. </w:t>
            </w:r>
          </w:p>
        </w:tc>
      </w:tr>
    </w:tbl>
    <w:p w14:paraId="787EA665" w14:textId="77777777" w:rsidR="00502F66" w:rsidRPr="00A12D38" w:rsidDel="00AF3930" w:rsidRDefault="00502F66" w:rsidP="006C05B1">
      <w:pPr>
        <w:spacing w:before="60" w:line="240" w:lineRule="auto"/>
        <w:ind w:left="567" w:hanging="567"/>
        <w:sectPr w:rsidR="00502F66" w:rsidRPr="00A12D38" w:rsidDel="00AF3930" w:rsidSect="00E615F4">
          <w:pgSz w:w="16838" w:h="11906" w:orient="landscape" w:code="9"/>
          <w:pgMar w:top="1418" w:right="1134" w:bottom="1418" w:left="992" w:header="454" w:footer="454" w:gutter="0"/>
          <w:cols w:space="708"/>
          <w:docGrid w:linePitch="360"/>
        </w:sectPr>
      </w:pPr>
    </w:p>
    <w:p w14:paraId="75F637CC" w14:textId="19FFC960" w:rsidR="00A0728D" w:rsidRPr="0012483F" w:rsidRDefault="000207A5" w:rsidP="006C05B1">
      <w:pPr>
        <w:pStyle w:val="Heading2"/>
        <w:keepNext w:val="0"/>
      </w:pPr>
      <w:bookmarkStart w:id="61" w:name="_Hlk53565460"/>
      <w:bookmarkStart w:id="62" w:name="_Toc196390910"/>
      <w:r>
        <w:lastRenderedPageBreak/>
        <w:t>Section</w:t>
      </w:r>
      <w:bookmarkEnd w:id="61"/>
      <w:r w:rsidR="00417B4A" w:rsidRPr="0012483F">
        <w:t xml:space="preserve"> </w:t>
      </w:r>
      <w:r w:rsidR="00D62B30" w:rsidRPr="0012483F">
        <w:t>3</w:t>
      </w:r>
      <w:r w:rsidR="00417B4A" w:rsidRPr="0012483F">
        <w:t xml:space="preserve">: </w:t>
      </w:r>
      <w:r w:rsidR="0022201B" w:rsidRPr="0012483F">
        <w:t xml:space="preserve">Delivering </w:t>
      </w:r>
      <w:r w:rsidR="005F41A2" w:rsidRPr="0012483F">
        <w:t>an option</w:t>
      </w:r>
      <w:bookmarkEnd w:id="62"/>
    </w:p>
    <w:p w14:paraId="4F17E389" w14:textId="743A179C" w:rsidR="006B5794" w:rsidRDefault="00A16B89" w:rsidP="006C05B1">
      <w:pPr>
        <w:pStyle w:val="Heading3"/>
        <w:keepNext w:val="0"/>
        <w:rPr>
          <w:lang w:val="en-NZ"/>
        </w:rPr>
      </w:pPr>
      <w:bookmarkStart w:id="63" w:name="_Toc196390911"/>
      <w:r w:rsidRPr="00A864A5">
        <w:rPr>
          <w:lang w:val="en-NZ"/>
        </w:rPr>
        <w:t xml:space="preserve">How will </w:t>
      </w:r>
      <w:r w:rsidR="003A6757">
        <w:rPr>
          <w:lang w:val="en-NZ"/>
        </w:rPr>
        <w:t xml:space="preserve">the </w:t>
      </w:r>
      <w:r w:rsidR="005F41A2">
        <w:rPr>
          <w:lang w:val="en-NZ"/>
        </w:rPr>
        <w:t>new arrangements be implemented</w:t>
      </w:r>
      <w:r w:rsidRPr="00A864A5">
        <w:rPr>
          <w:lang w:val="en-NZ"/>
        </w:rPr>
        <w:t>?</w:t>
      </w:r>
      <w:bookmarkEnd w:id="63"/>
    </w:p>
    <w:tbl>
      <w:tblPr>
        <w:tblStyle w:val="TableGrid"/>
        <w:tblW w:w="21967" w:type="dxa"/>
        <w:tblLook w:val="04A0" w:firstRow="1" w:lastRow="0" w:firstColumn="1" w:lastColumn="0" w:noHBand="0" w:noVBand="1"/>
      </w:tblPr>
      <w:tblGrid>
        <w:gridCol w:w="10201"/>
        <w:gridCol w:w="11766"/>
      </w:tblGrid>
      <w:tr w:rsidR="00532F5C" w:rsidRPr="00532F5C" w14:paraId="68C88969" w14:textId="77777777" w:rsidTr="004746B5">
        <w:trPr>
          <w:trHeight w:val="300"/>
        </w:trPr>
        <w:tc>
          <w:tcPr>
            <w:tcW w:w="10201" w:type="dxa"/>
            <w:shd w:val="clear" w:color="auto" w:fill="F2F2F2" w:themeFill="background1" w:themeFillShade="F2"/>
          </w:tcPr>
          <w:p w14:paraId="4955C7CE" w14:textId="3DE595C2" w:rsidR="00532F5C" w:rsidRPr="00532F5C" w:rsidRDefault="00B50549" w:rsidP="006C05B1">
            <w:pPr>
              <w:jc w:val="center"/>
              <w:rPr>
                <w:b/>
                <w:bCs/>
                <w:lang w:val="en-NZ"/>
              </w:rPr>
            </w:pPr>
            <w:r>
              <w:rPr>
                <w:b/>
                <w:bCs/>
                <w:lang w:val="en-NZ"/>
              </w:rPr>
              <w:t>Pre</w:t>
            </w:r>
            <w:r w:rsidR="00732A3E">
              <w:rPr>
                <w:b/>
                <w:bCs/>
                <w:lang w:val="en-NZ"/>
              </w:rPr>
              <w:t xml:space="preserve"> </w:t>
            </w:r>
            <w:r>
              <w:rPr>
                <w:b/>
                <w:bCs/>
                <w:lang w:val="en-NZ"/>
              </w:rPr>
              <w:t>-</w:t>
            </w:r>
            <w:r w:rsidR="00732A3E">
              <w:rPr>
                <w:b/>
                <w:bCs/>
                <w:lang w:val="en-NZ"/>
              </w:rPr>
              <w:t xml:space="preserve"> </w:t>
            </w:r>
            <w:r>
              <w:rPr>
                <w:b/>
                <w:bCs/>
                <w:lang w:val="en-NZ"/>
              </w:rPr>
              <w:t xml:space="preserve">Phase One </w:t>
            </w:r>
            <w:r w:rsidRPr="00B50549">
              <w:rPr>
                <w:b/>
                <w:bCs/>
                <w:lang w:val="en-NZ"/>
              </w:rPr>
              <w:t>–</w:t>
            </w:r>
            <w:r>
              <w:rPr>
                <w:b/>
                <w:bCs/>
                <w:lang w:val="en-NZ"/>
              </w:rPr>
              <w:t xml:space="preserve"> </w:t>
            </w:r>
            <w:r w:rsidR="00532F5C" w:rsidRPr="00532F5C">
              <w:rPr>
                <w:b/>
                <w:bCs/>
                <w:lang w:val="en-NZ"/>
              </w:rPr>
              <w:t>22 May 2025</w:t>
            </w:r>
          </w:p>
        </w:tc>
        <w:tc>
          <w:tcPr>
            <w:tcW w:w="11766" w:type="dxa"/>
            <w:shd w:val="clear" w:color="auto" w:fill="F2F2F2" w:themeFill="background1" w:themeFillShade="F2"/>
          </w:tcPr>
          <w:p w14:paraId="7ADEF429" w14:textId="77777777" w:rsidR="00532F5C" w:rsidRPr="00532F5C" w:rsidRDefault="00532F5C" w:rsidP="006C05B1">
            <w:pPr>
              <w:jc w:val="center"/>
              <w:rPr>
                <w:b/>
                <w:bCs/>
                <w:lang w:val="en-NZ"/>
              </w:rPr>
            </w:pPr>
            <w:r w:rsidRPr="00532F5C">
              <w:rPr>
                <w:b/>
                <w:bCs/>
                <w:lang w:val="en-NZ"/>
              </w:rPr>
              <w:t>Phase One – from mid-2025</w:t>
            </w:r>
          </w:p>
        </w:tc>
      </w:tr>
      <w:tr w:rsidR="00532F5C" w:rsidRPr="00532F5C" w14:paraId="20B4728F" w14:textId="77777777" w:rsidTr="00C85EEE">
        <w:trPr>
          <w:trHeight w:val="4398"/>
        </w:trPr>
        <w:tc>
          <w:tcPr>
            <w:tcW w:w="10201" w:type="dxa"/>
          </w:tcPr>
          <w:p w14:paraId="704C7BE0" w14:textId="77777777" w:rsidR="00532F5C" w:rsidRPr="00532F5C" w:rsidRDefault="00532F5C" w:rsidP="006C05B1">
            <w:pPr>
              <w:spacing w:after="120"/>
              <w:rPr>
                <w:i/>
                <w:iCs/>
                <w:lang w:val="en-NZ"/>
              </w:rPr>
            </w:pPr>
            <w:r w:rsidRPr="00532F5C">
              <w:rPr>
                <w:i/>
                <w:iCs/>
                <w:lang w:val="en-NZ"/>
              </w:rPr>
              <w:t>Legislative amendments</w:t>
            </w:r>
          </w:p>
          <w:p w14:paraId="41392E72" w14:textId="23E44CEE" w:rsidR="00532F5C" w:rsidRPr="00532F5C" w:rsidRDefault="00532F5C" w:rsidP="006C05B1">
            <w:pPr>
              <w:numPr>
                <w:ilvl w:val="0"/>
                <w:numId w:val="143"/>
              </w:numPr>
              <w:spacing w:after="120"/>
              <w:jc w:val="left"/>
              <w:rPr>
                <w:lang w:val="en-NZ"/>
              </w:rPr>
            </w:pPr>
            <w:r w:rsidRPr="00532F5C">
              <w:rPr>
                <w:lang w:val="en-NZ"/>
              </w:rPr>
              <w:t xml:space="preserve">Key legislative amendments include: </w:t>
            </w:r>
          </w:p>
          <w:p w14:paraId="49B79ECF" w14:textId="3D94F24E" w:rsidR="00532F5C" w:rsidRPr="00532F5C" w:rsidRDefault="00532F5C" w:rsidP="006C05B1">
            <w:pPr>
              <w:numPr>
                <w:ilvl w:val="1"/>
                <w:numId w:val="143"/>
              </w:numPr>
              <w:spacing w:after="120" w:line="240" w:lineRule="auto"/>
              <w:ind w:left="873" w:hanging="425"/>
              <w:jc w:val="left"/>
              <w:rPr>
                <w:lang w:val="en-NZ"/>
              </w:rPr>
            </w:pPr>
            <w:r w:rsidRPr="00532F5C">
              <w:rPr>
                <w:lang w:val="en-NZ"/>
              </w:rPr>
              <w:t xml:space="preserve">changes to support the use of </w:t>
            </w:r>
            <w:r w:rsidR="0098382B">
              <w:rPr>
                <w:lang w:val="en-NZ"/>
              </w:rPr>
              <w:t>ADM</w:t>
            </w:r>
            <w:r w:rsidRPr="00532F5C">
              <w:rPr>
                <w:lang w:val="en-NZ"/>
              </w:rPr>
              <w:t xml:space="preserve"> for mandatory reviews of benefits</w:t>
            </w:r>
            <w:r w:rsidR="003E6278">
              <w:rPr>
                <w:lang w:val="en-NZ"/>
              </w:rPr>
              <w:t xml:space="preserve"> and to remove discretion from AS</w:t>
            </w:r>
            <w:r w:rsidRPr="00532F5C">
              <w:rPr>
                <w:lang w:val="en-NZ"/>
              </w:rPr>
              <w:t xml:space="preserve"> </w:t>
            </w:r>
          </w:p>
          <w:p w14:paraId="24544B69" w14:textId="77777777" w:rsidR="00532F5C" w:rsidRPr="00532F5C" w:rsidRDefault="00532F5C" w:rsidP="006C05B1">
            <w:pPr>
              <w:numPr>
                <w:ilvl w:val="1"/>
                <w:numId w:val="143"/>
              </w:numPr>
              <w:spacing w:after="120" w:line="240" w:lineRule="auto"/>
              <w:ind w:left="873" w:hanging="425"/>
              <w:jc w:val="left"/>
              <w:rPr>
                <w:lang w:val="en-NZ"/>
              </w:rPr>
            </w:pPr>
            <w:r w:rsidRPr="00532F5C">
              <w:rPr>
                <w:lang w:val="en-NZ"/>
              </w:rPr>
              <w:t>regulation-making power to enable greater flexibility to update the specified benefits which MSD would be required to review and make changes to exception reasons</w:t>
            </w:r>
          </w:p>
          <w:p w14:paraId="50DDB750" w14:textId="77777777" w:rsidR="00532F5C" w:rsidRPr="00532F5C" w:rsidRDefault="00532F5C" w:rsidP="006C05B1">
            <w:pPr>
              <w:numPr>
                <w:ilvl w:val="1"/>
                <w:numId w:val="143"/>
              </w:numPr>
              <w:spacing w:after="120"/>
              <w:ind w:left="876" w:hanging="426"/>
              <w:jc w:val="left"/>
              <w:rPr>
                <w:lang w:val="en-NZ"/>
              </w:rPr>
            </w:pPr>
            <w:r w:rsidRPr="00532F5C">
              <w:rPr>
                <w:lang w:val="en-NZ"/>
              </w:rPr>
              <w:t>ensuring the calculation of the AS, Temporary Additional Support and grandparented Special Benefit is modified to recognise contributions from a boarder(s) in a person’s accommodation costs, as well as including ‘excess income’ as income for all other Social Security Act assistance (which relies on the definition of income under the Social Security Act)</w:t>
            </w:r>
          </w:p>
          <w:p w14:paraId="59570608" w14:textId="28B74330" w:rsidR="00532F5C" w:rsidRPr="00532F5C" w:rsidRDefault="00532F5C" w:rsidP="006C05B1">
            <w:pPr>
              <w:numPr>
                <w:ilvl w:val="1"/>
                <w:numId w:val="143"/>
              </w:numPr>
              <w:spacing w:after="120"/>
              <w:ind w:left="876" w:hanging="426"/>
              <w:jc w:val="left"/>
              <w:rPr>
                <w:lang w:val="en-NZ"/>
              </w:rPr>
            </w:pPr>
            <w:r w:rsidRPr="00532F5C">
              <w:rPr>
                <w:lang w:val="en-NZ"/>
              </w:rPr>
              <w:t>changes to the Public and Community Housing Management Act 1992 and the Public and Community Housing Management (Prescribed Elements of Calculation Mechanism) Regulations 2018, for calculating IRR.</w:t>
            </w:r>
          </w:p>
        </w:tc>
        <w:tc>
          <w:tcPr>
            <w:tcW w:w="11766" w:type="dxa"/>
          </w:tcPr>
          <w:p w14:paraId="7A8F3439" w14:textId="44501AB6" w:rsidR="00532F5C" w:rsidRPr="00532F5C" w:rsidRDefault="00532F5C" w:rsidP="006C05B1">
            <w:pPr>
              <w:pStyle w:val="ListParagraph"/>
              <w:numPr>
                <w:ilvl w:val="0"/>
                <w:numId w:val="143"/>
              </w:numPr>
              <w:spacing w:after="120" w:line="240" w:lineRule="auto"/>
              <w:rPr>
                <w:lang w:val="en-NZ"/>
              </w:rPr>
            </w:pPr>
            <w:r w:rsidRPr="00532F5C">
              <w:rPr>
                <w:lang w:val="en-NZ"/>
              </w:rPr>
              <w:t>Phase One will begin upon the Bill being enacted, prior to policy changes coming into effect</w:t>
            </w:r>
            <w:r w:rsidR="00536508">
              <w:rPr>
                <w:lang w:val="en-NZ"/>
              </w:rPr>
              <w:t>.</w:t>
            </w:r>
          </w:p>
          <w:p w14:paraId="62D36E4F" w14:textId="77777777" w:rsidR="00532F5C" w:rsidRPr="00532F5C" w:rsidRDefault="00532F5C" w:rsidP="006C05B1">
            <w:pPr>
              <w:spacing w:after="120" w:line="240" w:lineRule="auto"/>
              <w:jc w:val="left"/>
              <w:rPr>
                <w:i/>
                <w:iCs/>
                <w:lang w:val="en-NZ"/>
              </w:rPr>
            </w:pPr>
            <w:r w:rsidRPr="00532F5C">
              <w:rPr>
                <w:i/>
                <w:iCs/>
                <w:lang w:val="en-NZ"/>
              </w:rPr>
              <w:t>MSD will utilise existing client engagements to gather boarder and renter information</w:t>
            </w:r>
          </w:p>
          <w:p w14:paraId="643BB36D" w14:textId="58840CF6" w:rsidR="00532F5C" w:rsidRPr="00532F5C" w:rsidRDefault="00E4537E" w:rsidP="006C05B1">
            <w:pPr>
              <w:numPr>
                <w:ilvl w:val="0"/>
                <w:numId w:val="143"/>
              </w:numPr>
              <w:spacing w:after="120" w:line="240" w:lineRule="auto"/>
              <w:jc w:val="left"/>
              <w:rPr>
                <w:lang w:val="en-NZ"/>
              </w:rPr>
            </w:pPr>
            <w:r>
              <w:rPr>
                <w:lang w:val="en-NZ"/>
              </w:rPr>
              <w:t>F</w:t>
            </w:r>
            <w:r w:rsidR="00532F5C" w:rsidRPr="00532F5C">
              <w:rPr>
                <w:lang w:val="en-NZ"/>
              </w:rPr>
              <w:t xml:space="preserve">ollowing enactment, </w:t>
            </w:r>
            <w:r>
              <w:rPr>
                <w:lang w:val="en-NZ"/>
              </w:rPr>
              <w:t>MSD will</w:t>
            </w:r>
            <w:r w:rsidR="00532F5C" w:rsidRPr="00532F5C">
              <w:rPr>
                <w:lang w:val="en-NZ"/>
              </w:rPr>
              <w:t xml:space="preserve">: </w:t>
            </w:r>
          </w:p>
          <w:p w14:paraId="615F378F" w14:textId="17217916" w:rsidR="00532F5C" w:rsidRPr="00532F5C" w:rsidRDefault="00532F5C" w:rsidP="006C05B1">
            <w:pPr>
              <w:numPr>
                <w:ilvl w:val="1"/>
                <w:numId w:val="143"/>
              </w:numPr>
              <w:spacing w:after="120" w:line="240" w:lineRule="auto"/>
              <w:jc w:val="left"/>
              <w:rPr>
                <w:lang w:val="en-NZ"/>
              </w:rPr>
            </w:pPr>
            <w:r w:rsidRPr="00532F5C">
              <w:rPr>
                <w:lang w:val="en-NZ"/>
              </w:rPr>
              <w:t>send correspondence to clients who are most likely to be affected by this policy change</w:t>
            </w:r>
          </w:p>
          <w:p w14:paraId="1CE3566C" w14:textId="7A2F01E0" w:rsidR="00532F5C" w:rsidRPr="00532F5C" w:rsidRDefault="00532F5C" w:rsidP="006C05B1">
            <w:pPr>
              <w:numPr>
                <w:ilvl w:val="1"/>
                <w:numId w:val="143"/>
              </w:numPr>
              <w:spacing w:after="120" w:line="240" w:lineRule="auto"/>
              <w:jc w:val="left"/>
              <w:rPr>
                <w:lang w:val="en-NZ"/>
              </w:rPr>
            </w:pPr>
            <w:r w:rsidRPr="00532F5C">
              <w:rPr>
                <w:lang w:val="en-NZ"/>
              </w:rPr>
              <w:t>send out general communications to raise awareness of the changes</w:t>
            </w:r>
          </w:p>
          <w:p w14:paraId="58772F2C" w14:textId="1C3846C3" w:rsidR="00532F5C" w:rsidRPr="00532F5C" w:rsidRDefault="338238C5" w:rsidP="006C05B1">
            <w:pPr>
              <w:numPr>
                <w:ilvl w:val="1"/>
                <w:numId w:val="143"/>
              </w:numPr>
              <w:spacing w:after="120" w:line="240" w:lineRule="auto"/>
              <w:jc w:val="left"/>
              <w:rPr>
                <w:lang w:val="en-NZ"/>
              </w:rPr>
            </w:pPr>
            <w:r w:rsidRPr="6DB6A01A">
              <w:rPr>
                <w:lang w:val="en-NZ"/>
              </w:rPr>
              <w:t>enabl</w:t>
            </w:r>
            <w:r w:rsidR="0FEB059D" w:rsidRPr="6DB6A01A">
              <w:rPr>
                <w:lang w:val="en-NZ"/>
              </w:rPr>
              <w:t>e</w:t>
            </w:r>
            <w:r w:rsidR="00532F5C" w:rsidRPr="00532F5C">
              <w:rPr>
                <w:lang w:val="en-NZ"/>
              </w:rPr>
              <w:t xml:space="preserve"> clients to declare their board payments through our online and paper channels</w:t>
            </w:r>
          </w:p>
          <w:p w14:paraId="6F597ED4" w14:textId="5CDC1780" w:rsidR="00532F5C" w:rsidRPr="00532F5C" w:rsidRDefault="00532F5C" w:rsidP="006C05B1">
            <w:pPr>
              <w:numPr>
                <w:ilvl w:val="1"/>
                <w:numId w:val="143"/>
              </w:numPr>
              <w:spacing w:after="120" w:line="240" w:lineRule="auto"/>
              <w:jc w:val="left"/>
              <w:rPr>
                <w:lang w:val="en-NZ"/>
              </w:rPr>
            </w:pPr>
            <w:r w:rsidRPr="00532F5C">
              <w:rPr>
                <w:lang w:val="en-NZ"/>
              </w:rPr>
              <w:t>link those receiving board with those paying board within the same household, in the system, to prevent double subsidisation</w:t>
            </w:r>
            <w:r w:rsidR="001B7C1E">
              <w:rPr>
                <w:lang w:val="en-NZ"/>
              </w:rPr>
              <w:t>.</w:t>
            </w:r>
          </w:p>
          <w:p w14:paraId="1C998671" w14:textId="2758069D" w:rsidR="00532F5C" w:rsidRPr="00C85EEE" w:rsidRDefault="00B878F8" w:rsidP="006C05B1">
            <w:pPr>
              <w:numPr>
                <w:ilvl w:val="0"/>
                <w:numId w:val="143"/>
              </w:numPr>
              <w:spacing w:after="120" w:line="240" w:lineRule="auto"/>
              <w:jc w:val="left"/>
              <w:rPr>
                <w:lang w:val="en-NZ"/>
              </w:rPr>
            </w:pPr>
            <w:r w:rsidRPr="00C85EEE">
              <w:rPr>
                <w:lang w:val="en-NZ"/>
              </w:rPr>
              <w:t>I</w:t>
            </w:r>
            <w:r w:rsidR="00532F5C" w:rsidRPr="00C85EEE">
              <w:rPr>
                <w:lang w:val="en-NZ"/>
              </w:rPr>
              <w:t xml:space="preserve">nformation </w:t>
            </w:r>
            <w:r w:rsidR="00B050C9" w:rsidRPr="00750A8B">
              <w:rPr>
                <w:lang w:val="en-NZ"/>
              </w:rPr>
              <w:t>may</w:t>
            </w:r>
            <w:r w:rsidR="00532F5C" w:rsidRPr="00750A8B">
              <w:rPr>
                <w:lang w:val="en-NZ"/>
              </w:rPr>
              <w:t xml:space="preserve"> be collected from clients, stored, and maintained until payments are reassessed in early 2026</w:t>
            </w:r>
            <w:r w:rsidR="00532F5C" w:rsidRPr="00750A8B">
              <w:rPr>
                <w:vertAlign w:val="superscript"/>
                <w:lang w:val="en-NZ"/>
              </w:rPr>
              <w:footnoteReference w:id="31"/>
            </w:r>
            <w:r w:rsidR="00C85EEE" w:rsidRPr="00750A8B">
              <w:rPr>
                <w:lang w:val="en-NZ"/>
              </w:rPr>
              <w:t xml:space="preserve"> as </w:t>
            </w:r>
            <w:r w:rsidR="00532F5C" w:rsidRPr="00750A8B">
              <w:rPr>
                <w:lang w:val="en-NZ"/>
              </w:rPr>
              <w:t xml:space="preserve">MSD does not currently require all this information to be collected. </w:t>
            </w:r>
            <w:r w:rsidR="00CA0F33" w:rsidRPr="00750A8B">
              <w:rPr>
                <w:lang w:val="en-NZ"/>
              </w:rPr>
              <w:t>MSD</w:t>
            </w:r>
            <w:r w:rsidR="00CA0F33" w:rsidRPr="00CA0F33">
              <w:rPr>
                <w:lang w:val="en-NZ"/>
              </w:rPr>
              <w:t xml:space="preserve"> cannot require this information, but can explain to clients that it may be beneficial to them to provide this information</w:t>
            </w:r>
            <w:r w:rsidR="0074032E">
              <w:rPr>
                <w:lang w:val="en-NZ"/>
              </w:rPr>
              <w:t>.</w:t>
            </w:r>
          </w:p>
          <w:p w14:paraId="23042A39" w14:textId="7FD95C07" w:rsidR="00532F5C" w:rsidRPr="00776538" w:rsidRDefault="00532F5C" w:rsidP="006C05B1">
            <w:pPr>
              <w:numPr>
                <w:ilvl w:val="0"/>
                <w:numId w:val="143"/>
              </w:numPr>
              <w:spacing w:after="120" w:line="240" w:lineRule="auto"/>
              <w:jc w:val="left"/>
              <w:rPr>
                <w:lang w:val="en-NZ"/>
              </w:rPr>
            </w:pPr>
            <w:r w:rsidRPr="00532F5C">
              <w:rPr>
                <w:lang w:val="en-NZ"/>
              </w:rPr>
              <w:t>MSD will carry out the detailed design, build and implementation activities required for phase two</w:t>
            </w:r>
            <w:r w:rsidR="0074032E">
              <w:rPr>
                <w:lang w:val="en-NZ"/>
              </w:rPr>
              <w:t>.</w:t>
            </w:r>
            <w:r w:rsidRPr="00532F5C">
              <w:rPr>
                <w:vertAlign w:val="superscript"/>
                <w:lang w:val="en-NZ"/>
              </w:rPr>
              <w:footnoteReference w:id="32"/>
            </w:r>
          </w:p>
        </w:tc>
      </w:tr>
      <w:tr w:rsidR="00387C0D" w:rsidRPr="00532F5C" w14:paraId="5CCEB63A" w14:textId="77777777" w:rsidTr="00776538">
        <w:trPr>
          <w:trHeight w:val="300"/>
        </w:trPr>
        <w:tc>
          <w:tcPr>
            <w:tcW w:w="21967" w:type="dxa"/>
            <w:gridSpan w:val="2"/>
            <w:tcBorders>
              <w:bottom w:val="single" w:sz="4" w:space="0" w:color="auto"/>
            </w:tcBorders>
            <w:shd w:val="clear" w:color="auto" w:fill="F2F2F2" w:themeFill="background1" w:themeFillShade="F2"/>
          </w:tcPr>
          <w:p w14:paraId="412FAB62" w14:textId="626D6771" w:rsidR="00387C0D" w:rsidRPr="00532F5C" w:rsidRDefault="00387C0D" w:rsidP="006C05B1">
            <w:pPr>
              <w:spacing w:line="240" w:lineRule="auto"/>
              <w:jc w:val="center"/>
              <w:rPr>
                <w:lang w:val="en-NZ"/>
              </w:rPr>
            </w:pPr>
            <w:r w:rsidRPr="00532F5C">
              <w:rPr>
                <w:b/>
                <w:bCs/>
                <w:lang w:val="en-NZ"/>
              </w:rPr>
              <w:t>Phase Two – from 2 March 2026</w:t>
            </w:r>
          </w:p>
        </w:tc>
      </w:tr>
      <w:tr w:rsidR="00387C0D" w:rsidRPr="00532F5C" w14:paraId="32D9B4A0" w14:textId="77777777" w:rsidTr="00776538">
        <w:trPr>
          <w:trHeight w:val="300"/>
        </w:trPr>
        <w:tc>
          <w:tcPr>
            <w:tcW w:w="10201" w:type="dxa"/>
            <w:tcBorders>
              <w:right w:val="nil"/>
            </w:tcBorders>
          </w:tcPr>
          <w:p w14:paraId="3FE269ED" w14:textId="71F8967F" w:rsidR="00387C0D" w:rsidRPr="00532F5C" w:rsidRDefault="00387C0D" w:rsidP="006C05B1">
            <w:pPr>
              <w:numPr>
                <w:ilvl w:val="0"/>
                <w:numId w:val="143"/>
              </w:numPr>
              <w:spacing w:after="120" w:line="240" w:lineRule="auto"/>
              <w:jc w:val="left"/>
              <w:rPr>
                <w:szCs w:val="22"/>
                <w:lang w:val="en-NZ"/>
              </w:rPr>
            </w:pPr>
            <w:r w:rsidRPr="00532F5C">
              <w:rPr>
                <w:lang w:val="en-NZ"/>
              </w:rPr>
              <w:t xml:space="preserve">2 March 2026 is the commencement date </w:t>
            </w:r>
            <w:r w:rsidR="532C2499" w:rsidRPr="6DB6A01A">
              <w:rPr>
                <w:lang w:val="en-NZ"/>
              </w:rPr>
              <w:t xml:space="preserve">upon which </w:t>
            </w:r>
            <w:r w:rsidRPr="00532F5C">
              <w:rPr>
                <w:lang w:val="en-NZ"/>
              </w:rPr>
              <w:t>the policy comes into effect</w:t>
            </w:r>
            <w:r w:rsidR="009F4ED3">
              <w:rPr>
                <w:lang w:val="en-NZ"/>
              </w:rPr>
              <w:t>.</w:t>
            </w:r>
          </w:p>
          <w:p w14:paraId="6C06834F" w14:textId="1D671CD0" w:rsidR="00387C0D" w:rsidRPr="00532F5C" w:rsidRDefault="00387C0D" w:rsidP="006C05B1">
            <w:pPr>
              <w:numPr>
                <w:ilvl w:val="0"/>
                <w:numId w:val="143"/>
              </w:numPr>
              <w:spacing w:after="120" w:line="240" w:lineRule="auto"/>
              <w:jc w:val="left"/>
              <w:rPr>
                <w:lang w:val="en-NZ"/>
              </w:rPr>
            </w:pPr>
            <w:r w:rsidRPr="00532F5C">
              <w:rPr>
                <w:lang w:val="en-NZ"/>
              </w:rPr>
              <w:t>IRR reviews for social housing tenants will begin to include the housing contributions from boarders from 2 March 2026</w:t>
            </w:r>
            <w:r w:rsidR="009F4ED3">
              <w:rPr>
                <w:lang w:val="en-NZ"/>
              </w:rPr>
              <w:t>.</w:t>
            </w:r>
          </w:p>
          <w:p w14:paraId="50E86236" w14:textId="43C28EB5" w:rsidR="00387C0D" w:rsidRPr="00532F5C" w:rsidRDefault="00387C0D" w:rsidP="006C05B1">
            <w:pPr>
              <w:numPr>
                <w:ilvl w:val="0"/>
                <w:numId w:val="143"/>
              </w:numPr>
              <w:spacing w:after="120" w:line="240" w:lineRule="auto"/>
              <w:jc w:val="left"/>
              <w:rPr>
                <w:lang w:val="en-NZ"/>
              </w:rPr>
            </w:pPr>
            <w:r w:rsidRPr="00532F5C">
              <w:rPr>
                <w:lang w:val="en-NZ"/>
              </w:rPr>
              <w:t>If a social housing tenant has boarders, their IRR will change at the time of their annual review (or their next change in circumstances, whichever comes first)</w:t>
            </w:r>
            <w:r w:rsidR="009F4ED3">
              <w:rPr>
                <w:lang w:val="en-NZ"/>
              </w:rPr>
              <w:t>.</w:t>
            </w:r>
          </w:p>
          <w:p w14:paraId="7E0C9CD6" w14:textId="7DE7B268" w:rsidR="00387C0D" w:rsidRPr="00532F5C" w:rsidRDefault="00387C0D" w:rsidP="006C05B1">
            <w:pPr>
              <w:numPr>
                <w:ilvl w:val="0"/>
                <w:numId w:val="143"/>
              </w:numPr>
              <w:spacing w:after="120" w:line="240" w:lineRule="auto"/>
              <w:jc w:val="left"/>
              <w:rPr>
                <w:lang w:val="en-NZ"/>
              </w:rPr>
            </w:pPr>
            <w:r w:rsidRPr="00532F5C">
              <w:rPr>
                <w:lang w:val="en-NZ"/>
              </w:rPr>
              <w:t>The implementation ensures IRR clients do not receive multiple rent increases in 12 months, and other changes are implemented as soon as possible</w:t>
            </w:r>
            <w:r w:rsidR="009F4ED3">
              <w:rPr>
                <w:lang w:val="en-NZ"/>
              </w:rPr>
              <w:t>.</w:t>
            </w:r>
          </w:p>
          <w:p w14:paraId="44E9BB2C" w14:textId="77777777" w:rsidR="00387C0D" w:rsidRPr="00532F5C" w:rsidRDefault="00387C0D" w:rsidP="006C05B1">
            <w:pPr>
              <w:spacing w:after="120" w:line="240" w:lineRule="auto"/>
              <w:jc w:val="left"/>
              <w:rPr>
                <w:i/>
                <w:iCs/>
                <w:lang w:val="en-NZ"/>
              </w:rPr>
            </w:pPr>
            <w:r w:rsidRPr="00532F5C">
              <w:rPr>
                <w:i/>
                <w:iCs/>
                <w:lang w:val="en-NZ"/>
              </w:rPr>
              <w:t>MSD will link clients in a private household to ensure it is not subsidising the same costs twice</w:t>
            </w:r>
          </w:p>
          <w:p w14:paraId="55BE6385" w14:textId="77777777" w:rsidR="00387C0D" w:rsidRPr="00532F5C" w:rsidRDefault="00387C0D" w:rsidP="006C05B1">
            <w:pPr>
              <w:numPr>
                <w:ilvl w:val="0"/>
                <w:numId w:val="143"/>
              </w:numPr>
              <w:spacing w:after="120" w:line="240" w:lineRule="auto"/>
              <w:jc w:val="left"/>
              <w:rPr>
                <w:lang w:val="en-NZ"/>
              </w:rPr>
            </w:pPr>
            <w:r w:rsidRPr="00532F5C">
              <w:rPr>
                <w:lang w:val="en-NZ"/>
              </w:rPr>
              <w:t>For Social Security Act assistance, there is a risk that people will try to arrange their circumstances so that they receive the maximum support by incorrectly declaring their housing arrangements. MSD will work to mitigate this risk through the linking of household information in the MSD system.</w:t>
            </w:r>
          </w:p>
          <w:p w14:paraId="03FCCBAC" w14:textId="77777777" w:rsidR="00387C0D" w:rsidRPr="00532F5C" w:rsidRDefault="00387C0D" w:rsidP="006C05B1">
            <w:pPr>
              <w:numPr>
                <w:ilvl w:val="0"/>
                <w:numId w:val="143"/>
              </w:numPr>
              <w:spacing w:after="120" w:line="240" w:lineRule="auto"/>
              <w:jc w:val="left"/>
              <w:rPr>
                <w:lang w:val="en-NZ"/>
              </w:rPr>
            </w:pPr>
            <w:r w:rsidRPr="00532F5C">
              <w:rPr>
                <w:lang w:val="en-NZ"/>
              </w:rPr>
              <w:t xml:space="preserve">MSD will link clients living in the same household within the MSD system, using information provided in their application or review forms, where both the payer and recipient of housing contributions are current recipients of ongoing MSD assistance. </w:t>
            </w:r>
          </w:p>
          <w:p w14:paraId="141E3D9C" w14:textId="77777777" w:rsidR="00387C0D" w:rsidRDefault="00387C0D" w:rsidP="006C05B1">
            <w:pPr>
              <w:numPr>
                <w:ilvl w:val="0"/>
                <w:numId w:val="143"/>
              </w:numPr>
              <w:spacing w:after="120" w:line="240" w:lineRule="auto"/>
              <w:jc w:val="left"/>
              <w:rPr>
                <w:lang w:val="en-NZ"/>
              </w:rPr>
            </w:pPr>
            <w:r w:rsidRPr="00532F5C">
              <w:rPr>
                <w:lang w:val="en-NZ"/>
              </w:rPr>
              <w:t>Where the housing contribution information provided by one client does not match the existing information provided by the other client, the other client will be contacted to confirm the correct details. Once the correct information has been confirmed with the other client, their record will be updated accordingly.</w:t>
            </w:r>
            <w:r w:rsidRPr="00532F5C">
              <w:rPr>
                <w:vertAlign w:val="superscript"/>
                <w:lang w:val="en-NZ"/>
              </w:rPr>
              <w:footnoteReference w:id="33"/>
            </w:r>
          </w:p>
          <w:p w14:paraId="7A1864DA" w14:textId="77777777" w:rsidR="007E53E2" w:rsidRPr="00532F5C" w:rsidRDefault="007E53E2" w:rsidP="006C05B1">
            <w:pPr>
              <w:spacing w:after="120" w:line="240" w:lineRule="auto"/>
              <w:ind w:left="360"/>
              <w:jc w:val="left"/>
              <w:rPr>
                <w:lang w:val="en-NZ"/>
              </w:rPr>
            </w:pPr>
          </w:p>
          <w:p w14:paraId="672E3F05" w14:textId="088C5677" w:rsidR="00387C0D" w:rsidRPr="00532F5C" w:rsidRDefault="00387C0D" w:rsidP="006C05B1">
            <w:pPr>
              <w:spacing w:after="120" w:line="240" w:lineRule="auto"/>
              <w:jc w:val="left"/>
              <w:rPr>
                <w:i/>
                <w:iCs/>
                <w:lang w:val="en-NZ"/>
              </w:rPr>
            </w:pPr>
            <w:r w:rsidRPr="00532F5C">
              <w:rPr>
                <w:i/>
                <w:iCs/>
                <w:lang w:val="en-NZ"/>
              </w:rPr>
              <w:lastRenderedPageBreak/>
              <w:t>Automated Decision</w:t>
            </w:r>
            <w:r w:rsidR="670B3DD5" w:rsidRPr="6DB6A01A">
              <w:rPr>
                <w:i/>
                <w:iCs/>
                <w:lang w:val="en-NZ"/>
              </w:rPr>
              <w:t>-</w:t>
            </w:r>
            <w:r w:rsidRPr="00532F5C">
              <w:rPr>
                <w:i/>
                <w:iCs/>
                <w:lang w:val="en-NZ"/>
              </w:rPr>
              <w:t>Making will be used in some parts of the process</w:t>
            </w:r>
          </w:p>
          <w:p w14:paraId="7434893E" w14:textId="148DDFDF" w:rsidR="00387C0D" w:rsidRPr="00532F5C" w:rsidRDefault="00387C0D" w:rsidP="006C05B1">
            <w:pPr>
              <w:numPr>
                <w:ilvl w:val="0"/>
                <w:numId w:val="143"/>
              </w:numPr>
              <w:spacing w:after="120" w:line="240" w:lineRule="auto"/>
              <w:jc w:val="left"/>
              <w:rPr>
                <w:lang w:val="en-NZ"/>
              </w:rPr>
            </w:pPr>
            <w:r w:rsidRPr="00532F5C">
              <w:rPr>
                <w:lang w:val="en-NZ"/>
              </w:rPr>
              <w:t xml:space="preserve">On the day of implementation, any changes to clients’ AS from information collection about boarder contributions will be applied automatically. These changes will have flow-on impacts for a client’s rate of Temporary Additional Support. We therefore propose the recalculation of Temporary Additional Support using </w:t>
            </w:r>
            <w:r w:rsidR="0098382B">
              <w:rPr>
                <w:lang w:val="en-NZ"/>
              </w:rPr>
              <w:t>ADM</w:t>
            </w:r>
            <w:r w:rsidRPr="00532F5C">
              <w:rPr>
                <w:lang w:val="en-NZ"/>
              </w:rPr>
              <w:t xml:space="preserve"> on the day of implementation, so the change is applied automatically and those receiving Temporary Additional Support at the beginning of Phase Two are paid at the right rate. If a client has a boarder(s), this means that when their AS is recalculated, their rate of Temporary Additional Support will automatically update as well</w:t>
            </w:r>
            <w:r w:rsidR="3D694C0C" w:rsidRPr="6DB6A01A">
              <w:rPr>
                <w:lang w:val="en-NZ"/>
              </w:rPr>
              <w:t>.</w:t>
            </w:r>
          </w:p>
          <w:p w14:paraId="1E81F4FB" w14:textId="77777777" w:rsidR="00387C0D" w:rsidRPr="00532F5C" w:rsidRDefault="00387C0D" w:rsidP="006C05B1">
            <w:pPr>
              <w:numPr>
                <w:ilvl w:val="0"/>
                <w:numId w:val="143"/>
              </w:numPr>
              <w:spacing w:after="120" w:line="240" w:lineRule="auto"/>
              <w:jc w:val="left"/>
              <w:rPr>
                <w:lang w:val="en-NZ"/>
              </w:rPr>
            </w:pPr>
            <w:r w:rsidRPr="00532F5C">
              <w:rPr>
                <w:lang w:val="en-NZ"/>
              </w:rPr>
              <w:t>ADM will be used in confirming a client’s circumstances and confirming any information on boarders, and in the confirmation of rate and entitlement, if no changes are made and no boarder(s) declared.  Automated Decisions will:</w:t>
            </w:r>
          </w:p>
          <w:p w14:paraId="7A9FF28F" w14:textId="77777777" w:rsidR="00387C0D" w:rsidRPr="00532F5C" w:rsidRDefault="00387C0D" w:rsidP="006C05B1">
            <w:pPr>
              <w:numPr>
                <w:ilvl w:val="1"/>
                <w:numId w:val="144"/>
              </w:numPr>
              <w:spacing w:after="120" w:line="240" w:lineRule="auto"/>
              <w:jc w:val="left"/>
              <w:rPr>
                <w:lang w:val="en-NZ"/>
              </w:rPr>
            </w:pPr>
            <w:r w:rsidRPr="00532F5C">
              <w:rPr>
                <w:lang w:val="en-NZ"/>
              </w:rPr>
              <w:t>trigger a review, periodically, for specific benefits that do not expire</w:t>
            </w:r>
          </w:p>
          <w:p w14:paraId="65294CB0" w14:textId="77777777" w:rsidR="00387C0D" w:rsidRPr="00532F5C" w:rsidRDefault="00387C0D" w:rsidP="006C05B1">
            <w:pPr>
              <w:numPr>
                <w:ilvl w:val="1"/>
                <w:numId w:val="144"/>
              </w:numPr>
              <w:spacing w:after="120" w:line="240" w:lineRule="auto"/>
              <w:jc w:val="left"/>
              <w:rPr>
                <w:lang w:val="en-NZ"/>
              </w:rPr>
            </w:pPr>
            <w:r w:rsidRPr="00532F5C">
              <w:rPr>
                <w:lang w:val="en-NZ"/>
              </w:rPr>
              <w:t>stop a client’s benefit if they do not complete the review</w:t>
            </w:r>
          </w:p>
          <w:p w14:paraId="1E3EFE63" w14:textId="77777777" w:rsidR="00387C0D" w:rsidRPr="00532F5C" w:rsidRDefault="00387C0D" w:rsidP="006C05B1">
            <w:pPr>
              <w:numPr>
                <w:ilvl w:val="1"/>
                <w:numId w:val="144"/>
              </w:numPr>
              <w:spacing w:after="120" w:line="240" w:lineRule="auto"/>
              <w:jc w:val="left"/>
              <w:rPr>
                <w:i/>
                <w:iCs/>
                <w:lang w:val="en-NZ"/>
              </w:rPr>
            </w:pPr>
            <w:r w:rsidRPr="00532F5C">
              <w:rPr>
                <w:lang w:val="en-NZ"/>
              </w:rPr>
              <w:t>process the reviews automatically (i.e. decide to continue a client’s entitlement) if the client has no change in circumstances that affects their eligibility, or the rate payable.</w:t>
            </w:r>
          </w:p>
        </w:tc>
        <w:tc>
          <w:tcPr>
            <w:tcW w:w="11766" w:type="dxa"/>
            <w:tcBorders>
              <w:left w:val="nil"/>
            </w:tcBorders>
          </w:tcPr>
          <w:p w14:paraId="696904F6" w14:textId="16FA5FEE" w:rsidR="00387C0D" w:rsidRPr="00532F5C" w:rsidRDefault="00387C0D" w:rsidP="006C05B1">
            <w:pPr>
              <w:spacing w:after="120" w:line="240" w:lineRule="auto"/>
              <w:jc w:val="left"/>
              <w:rPr>
                <w:i/>
                <w:iCs/>
                <w:lang w:val="en-NZ"/>
              </w:rPr>
            </w:pPr>
            <w:r w:rsidRPr="00532F5C">
              <w:rPr>
                <w:i/>
                <w:iCs/>
                <w:lang w:val="en-NZ"/>
              </w:rPr>
              <w:lastRenderedPageBreak/>
              <w:t>Safeguards will be in place to ensure MSD only provides housing subsidies based on correct information</w:t>
            </w:r>
          </w:p>
          <w:p w14:paraId="7CF05144" w14:textId="77777777" w:rsidR="00387C0D" w:rsidRPr="00532F5C" w:rsidRDefault="00387C0D" w:rsidP="006C05B1">
            <w:pPr>
              <w:numPr>
                <w:ilvl w:val="0"/>
                <w:numId w:val="143"/>
              </w:numPr>
              <w:spacing w:after="120" w:line="240" w:lineRule="auto"/>
              <w:jc w:val="left"/>
              <w:rPr>
                <w:lang w:val="en-NZ"/>
              </w:rPr>
            </w:pPr>
            <w:r w:rsidRPr="00532F5C">
              <w:rPr>
                <w:lang w:val="en-NZ"/>
              </w:rPr>
              <w:t>Decisions that change a person’s subsidy will not be automated due to the:</w:t>
            </w:r>
          </w:p>
          <w:p w14:paraId="2A6AA03B" w14:textId="77777777" w:rsidR="00387C0D" w:rsidRPr="00532F5C" w:rsidRDefault="00387C0D" w:rsidP="006C05B1">
            <w:pPr>
              <w:numPr>
                <w:ilvl w:val="1"/>
                <w:numId w:val="144"/>
              </w:numPr>
              <w:spacing w:after="120" w:line="240" w:lineRule="auto"/>
              <w:jc w:val="left"/>
              <w:rPr>
                <w:lang w:val="en-NZ"/>
              </w:rPr>
            </w:pPr>
            <w:r w:rsidRPr="00532F5C">
              <w:rPr>
                <w:lang w:val="en-NZ"/>
              </w:rPr>
              <w:t>inherent risk this poses of MSD acting on unverified information provided by a client to make decisions about the entitlement of another client which may lead to incorrect payments, possibly on a large scale</w:t>
            </w:r>
          </w:p>
          <w:p w14:paraId="5791BB18" w14:textId="77777777" w:rsidR="00387C0D" w:rsidRPr="00532F5C" w:rsidRDefault="00387C0D" w:rsidP="006C05B1">
            <w:pPr>
              <w:numPr>
                <w:ilvl w:val="1"/>
                <w:numId w:val="144"/>
              </w:numPr>
              <w:spacing w:after="120" w:line="240" w:lineRule="auto"/>
              <w:jc w:val="left"/>
              <w:rPr>
                <w:lang w:val="en-NZ"/>
              </w:rPr>
            </w:pPr>
            <w:r w:rsidRPr="00532F5C">
              <w:rPr>
                <w:lang w:val="en-NZ"/>
              </w:rPr>
              <w:t xml:space="preserve">impact on MSD frontline to address any incorrect information acted on (including reviews and appeals) </w:t>
            </w:r>
          </w:p>
          <w:p w14:paraId="0CC36263" w14:textId="77777777" w:rsidR="00387C0D" w:rsidRPr="00532F5C" w:rsidRDefault="00387C0D" w:rsidP="006C05B1">
            <w:pPr>
              <w:numPr>
                <w:ilvl w:val="1"/>
                <w:numId w:val="144"/>
              </w:numPr>
              <w:spacing w:after="120" w:line="240" w:lineRule="auto"/>
              <w:jc w:val="left"/>
              <w:rPr>
                <w:lang w:val="en-NZ"/>
              </w:rPr>
            </w:pPr>
            <w:r w:rsidRPr="00532F5C">
              <w:rPr>
                <w:lang w:val="en-NZ"/>
              </w:rPr>
              <w:t xml:space="preserve">risk to MSD and the Government if assessments were made using incorrect information. </w:t>
            </w:r>
          </w:p>
          <w:p w14:paraId="3EA21B33" w14:textId="77777777" w:rsidR="00387C0D" w:rsidRPr="00532F5C" w:rsidRDefault="00387C0D" w:rsidP="006C05B1">
            <w:pPr>
              <w:numPr>
                <w:ilvl w:val="0"/>
                <w:numId w:val="143"/>
              </w:numPr>
              <w:spacing w:after="120" w:line="240" w:lineRule="auto"/>
              <w:jc w:val="left"/>
              <w:rPr>
                <w:lang w:val="en-NZ"/>
              </w:rPr>
            </w:pPr>
            <w:r w:rsidRPr="00532F5C">
              <w:rPr>
                <w:lang w:val="en-NZ"/>
              </w:rPr>
              <w:t xml:space="preserve">We have tested this proposed approach to implementation with the Office of the Privacy Commissioner and it is their view that MSD’s approach appears to be reasonable with appropriate safeguards built in. </w:t>
            </w:r>
          </w:p>
          <w:p w14:paraId="6BFA45F2" w14:textId="77777777" w:rsidR="00387C0D" w:rsidRPr="00532F5C" w:rsidRDefault="00387C0D" w:rsidP="006C05B1">
            <w:pPr>
              <w:spacing w:after="120" w:line="240" w:lineRule="auto"/>
              <w:jc w:val="left"/>
              <w:rPr>
                <w:i/>
                <w:lang w:val="en-NZ"/>
              </w:rPr>
            </w:pPr>
            <w:r w:rsidRPr="00532F5C">
              <w:rPr>
                <w:i/>
                <w:iCs/>
                <w:lang w:val="en-NZ"/>
              </w:rPr>
              <w:t>Increased frontline capacity</w:t>
            </w:r>
          </w:p>
          <w:p w14:paraId="7B5A4D9F" w14:textId="77777777" w:rsidR="00387C0D" w:rsidRPr="00532F5C" w:rsidRDefault="00387C0D" w:rsidP="006C05B1">
            <w:pPr>
              <w:numPr>
                <w:ilvl w:val="0"/>
                <w:numId w:val="143"/>
              </w:numPr>
              <w:spacing w:after="120" w:line="240" w:lineRule="auto"/>
              <w:jc w:val="left"/>
              <w:rPr>
                <w:lang w:val="en-NZ"/>
              </w:rPr>
            </w:pPr>
            <w:r w:rsidRPr="00532F5C">
              <w:rPr>
                <w:lang w:val="en-NZ"/>
              </w:rPr>
              <w:t>There will be additional resource requirements for the frontline because a reassessment of assistance for both clients is likely to be required as arrangements begin, end or vary.</w:t>
            </w:r>
            <w:r w:rsidRPr="00532F5C">
              <w:rPr>
                <w:vertAlign w:val="superscript"/>
                <w:lang w:val="en-NZ"/>
              </w:rPr>
              <w:footnoteReference w:id="34"/>
            </w:r>
            <w:r w:rsidRPr="00532F5C">
              <w:rPr>
                <w:lang w:val="en-NZ"/>
              </w:rPr>
              <w:t xml:space="preserve"> In addition, where information provided by the boarder and the person they pay board to does not match, MSD frontline will need to follow up to resolve.</w:t>
            </w:r>
          </w:p>
          <w:p w14:paraId="5260BE94" w14:textId="77777777" w:rsidR="00387C0D" w:rsidRPr="00532F5C" w:rsidRDefault="00387C0D" w:rsidP="006C05B1">
            <w:pPr>
              <w:numPr>
                <w:ilvl w:val="0"/>
                <w:numId w:val="143"/>
              </w:numPr>
              <w:spacing w:after="120" w:line="240" w:lineRule="auto"/>
              <w:jc w:val="left"/>
              <w:rPr>
                <w:lang w:val="en-NZ"/>
              </w:rPr>
            </w:pPr>
            <w:r w:rsidRPr="00532F5C">
              <w:rPr>
                <w:lang w:val="en-NZ"/>
              </w:rPr>
              <w:t xml:space="preserve">MSD will increase its frontline resource to update boarder information prior to the beginning of Phase Two. Some additional resource will also be required on an ongoing basis for the administration of the policy. </w:t>
            </w:r>
          </w:p>
          <w:p w14:paraId="647C0A4E" w14:textId="77777777" w:rsidR="00387C0D" w:rsidRDefault="00387C0D" w:rsidP="006C05B1">
            <w:pPr>
              <w:numPr>
                <w:ilvl w:val="0"/>
                <w:numId w:val="143"/>
              </w:numPr>
              <w:spacing w:after="120" w:line="240" w:lineRule="auto"/>
              <w:jc w:val="left"/>
              <w:rPr>
                <w:lang w:val="en-NZ"/>
              </w:rPr>
            </w:pPr>
            <w:r w:rsidRPr="00532F5C">
              <w:rPr>
                <w:lang w:val="en-NZ"/>
              </w:rPr>
              <w:t xml:space="preserve">There is also a risk that people will not be timely in informing MSD of the commencement of a board arrangement, which could result in overpayments of the AS, Temporary Additional Support and Special Benefit, or underpayments of the IRR, which would need to be manually corrected. </w:t>
            </w:r>
          </w:p>
          <w:p w14:paraId="4559123C" w14:textId="77777777" w:rsidR="007E53E2" w:rsidRPr="00532F5C" w:rsidRDefault="007E53E2" w:rsidP="006C05B1">
            <w:pPr>
              <w:spacing w:after="120" w:line="240" w:lineRule="auto"/>
              <w:ind w:left="360"/>
              <w:jc w:val="left"/>
              <w:rPr>
                <w:lang w:val="en-NZ"/>
              </w:rPr>
            </w:pPr>
          </w:p>
          <w:p w14:paraId="05A44AAD" w14:textId="77777777" w:rsidR="00387C0D" w:rsidRPr="00532F5C" w:rsidRDefault="00387C0D" w:rsidP="006C05B1">
            <w:pPr>
              <w:spacing w:after="120" w:line="240" w:lineRule="auto"/>
              <w:jc w:val="left"/>
              <w:rPr>
                <w:i/>
                <w:iCs/>
                <w:lang w:val="en-NZ"/>
              </w:rPr>
            </w:pPr>
            <w:r w:rsidRPr="00532F5C">
              <w:rPr>
                <w:i/>
                <w:iCs/>
                <w:lang w:val="en-NZ"/>
              </w:rPr>
              <w:lastRenderedPageBreak/>
              <w:t>Transitional Arrangements</w:t>
            </w:r>
          </w:p>
          <w:p w14:paraId="0AD17763" w14:textId="77777777" w:rsidR="00387C0D" w:rsidRPr="00532F5C" w:rsidRDefault="00387C0D" w:rsidP="006C05B1">
            <w:pPr>
              <w:numPr>
                <w:ilvl w:val="0"/>
                <w:numId w:val="143"/>
              </w:numPr>
              <w:spacing w:after="120" w:line="240" w:lineRule="auto"/>
              <w:jc w:val="left"/>
              <w:rPr>
                <w:lang w:val="en-NZ"/>
              </w:rPr>
            </w:pPr>
            <w:r w:rsidRPr="00532F5C">
              <w:rPr>
                <w:lang w:val="en-NZ"/>
              </w:rPr>
              <w:t>MSD will need to complete transitional arrangements around the beginning of Phase Two.</w:t>
            </w:r>
          </w:p>
          <w:p w14:paraId="20DDCEB5" w14:textId="77777777" w:rsidR="00387C0D" w:rsidRPr="00532F5C" w:rsidRDefault="00387C0D" w:rsidP="006C05B1">
            <w:pPr>
              <w:numPr>
                <w:ilvl w:val="0"/>
                <w:numId w:val="143"/>
              </w:numPr>
              <w:spacing w:after="120" w:line="240" w:lineRule="auto"/>
              <w:jc w:val="left"/>
              <w:rPr>
                <w:lang w:val="en-NZ"/>
              </w:rPr>
            </w:pPr>
            <w:r w:rsidRPr="00532F5C">
              <w:rPr>
                <w:lang w:val="en-NZ"/>
              </w:rPr>
              <w:t>Transitional arrangements will apply where an application, assessment or review has commenced immediately before, on, or after the in-force date of the policy change. These transitional arrangements ensure clients and applicants for assistance are treated equitably and there is clarity about the effects of the change occurring on 2 March 2026, for applications underway.</w:t>
            </w:r>
          </w:p>
          <w:p w14:paraId="2F2B7FFC" w14:textId="784FC300" w:rsidR="00387C0D" w:rsidRPr="00532F5C" w:rsidRDefault="00387C0D" w:rsidP="006C05B1">
            <w:pPr>
              <w:numPr>
                <w:ilvl w:val="0"/>
                <w:numId w:val="143"/>
              </w:numPr>
              <w:spacing w:after="120" w:line="240" w:lineRule="auto"/>
              <w:jc w:val="left"/>
              <w:rPr>
                <w:lang w:val="en-NZ"/>
              </w:rPr>
            </w:pPr>
            <w:r w:rsidRPr="00532F5C">
              <w:rPr>
                <w:lang w:val="en-NZ"/>
              </w:rPr>
              <w:t>Generally, the rule will be that applications received, assessments of a change in circumstances, or reviews that commenced prior to 2 March 2026 will be assessed based on the rules that applied at that time. This means that regardless of when MSD assesses entitlement, entitlement for a period before 2 March 2026 will be assessed under the earlier legislation and practice, while entitlement on or after 2 March 2026 will be assessed under the new legislation and practice.</w:t>
            </w:r>
          </w:p>
        </w:tc>
      </w:tr>
    </w:tbl>
    <w:p w14:paraId="31707A18" w14:textId="77777777" w:rsidR="002D2947" w:rsidRDefault="002D2947" w:rsidP="006C05B1">
      <w:pPr>
        <w:rPr>
          <w:lang w:val="en-NZ"/>
        </w:rPr>
        <w:sectPr w:rsidR="002D2947" w:rsidSect="00776538">
          <w:headerReference w:type="even" r:id="rId20"/>
          <w:headerReference w:type="default" r:id="rId21"/>
          <w:footerReference w:type="even" r:id="rId22"/>
          <w:footerReference w:type="default" r:id="rId23"/>
          <w:headerReference w:type="first" r:id="rId24"/>
          <w:footerReference w:type="first" r:id="rId25"/>
          <w:pgSz w:w="23808" w:h="16840" w:orient="landscape" w:code="8"/>
          <w:pgMar w:top="1418" w:right="1134" w:bottom="1418" w:left="992" w:header="454" w:footer="454" w:gutter="0"/>
          <w:cols w:space="708"/>
          <w:docGrid w:linePitch="360"/>
        </w:sectPr>
      </w:pPr>
    </w:p>
    <w:p w14:paraId="45484972" w14:textId="56BFCFD0" w:rsidR="00C6243C" w:rsidRPr="005F47C5" w:rsidRDefault="00C6243C" w:rsidP="006C05B1">
      <w:pPr>
        <w:pStyle w:val="Heading3"/>
        <w:keepNext w:val="0"/>
        <w:rPr>
          <w:lang w:val="en-NZ"/>
        </w:rPr>
      </w:pPr>
      <w:bookmarkStart w:id="64" w:name="_Toc196390912"/>
      <w:r w:rsidRPr="005F47C5">
        <w:rPr>
          <w:lang w:val="en-NZ"/>
        </w:rPr>
        <w:lastRenderedPageBreak/>
        <w:t>Information collection, use and retention</w:t>
      </w:r>
      <w:bookmarkEnd w:id="64"/>
    </w:p>
    <w:p w14:paraId="0945B0BA" w14:textId="77777777" w:rsidR="00C6243C" w:rsidRPr="004433BC" w:rsidRDefault="00C6243C" w:rsidP="006C05B1">
      <w:pPr>
        <w:rPr>
          <w:b/>
          <w:i/>
        </w:rPr>
      </w:pPr>
      <w:r w:rsidRPr="004433BC">
        <w:rPr>
          <w:b/>
          <w:i/>
        </w:rPr>
        <w:t>Collection</w:t>
      </w:r>
    </w:p>
    <w:p w14:paraId="5199763C" w14:textId="19E03170" w:rsidR="00C6243C" w:rsidRPr="00E60DE9" w:rsidRDefault="00C6243C" w:rsidP="006C05B1">
      <w:pPr>
        <w:pStyle w:val="BodyText-Numbered"/>
        <w:keepNext w:val="0"/>
        <w:numPr>
          <w:ilvl w:val="0"/>
          <w:numId w:val="4"/>
        </w:numPr>
        <w:ind w:left="567" w:hanging="567"/>
        <w:rPr>
          <w:lang w:val="en-NZ"/>
        </w:rPr>
      </w:pPr>
      <w:r w:rsidRPr="00E60DE9">
        <w:rPr>
          <w:lang w:val="en-NZ"/>
        </w:rPr>
        <w:t xml:space="preserve">The information MSD collects will differ </w:t>
      </w:r>
      <w:r w:rsidR="0039182A">
        <w:rPr>
          <w:lang w:val="en-NZ"/>
        </w:rPr>
        <w:t>slightly,</w:t>
      </w:r>
      <w:r w:rsidRPr="00E60DE9">
        <w:rPr>
          <w:lang w:val="en-NZ"/>
        </w:rPr>
        <w:t xml:space="preserve"> depending upon whether the client receives the housing contribution or pays it. </w:t>
      </w:r>
    </w:p>
    <w:p w14:paraId="0759AB26" w14:textId="690FAF1E" w:rsidR="00C6243C" w:rsidRPr="00E60DE9" w:rsidRDefault="00C6243C" w:rsidP="006C05B1">
      <w:pPr>
        <w:pStyle w:val="BodyText-Numbered"/>
        <w:keepNext w:val="0"/>
        <w:numPr>
          <w:ilvl w:val="0"/>
          <w:numId w:val="4"/>
        </w:numPr>
        <w:ind w:left="567" w:hanging="567"/>
        <w:rPr>
          <w:lang w:val="en-NZ"/>
        </w:rPr>
      </w:pPr>
      <w:r w:rsidRPr="00E60DE9">
        <w:rPr>
          <w:lang w:val="en-NZ"/>
        </w:rPr>
        <w:t>Where a client receives income</w:t>
      </w:r>
      <w:r w:rsidR="001B0204">
        <w:rPr>
          <w:lang w:val="en-NZ"/>
        </w:rPr>
        <w:t>-</w:t>
      </w:r>
      <w:r w:rsidRPr="00E60DE9">
        <w:rPr>
          <w:lang w:val="en-NZ"/>
        </w:rPr>
        <w:t xml:space="preserve">tested </w:t>
      </w:r>
      <w:r w:rsidR="00E60DE9">
        <w:rPr>
          <w:lang w:val="en-NZ"/>
        </w:rPr>
        <w:t>Social Security Act</w:t>
      </w:r>
      <w:r w:rsidRPr="00E60DE9">
        <w:rPr>
          <w:lang w:val="en-NZ"/>
        </w:rPr>
        <w:t xml:space="preserve"> assistance, the following housing contribution information will be collected from the recipient:</w:t>
      </w:r>
    </w:p>
    <w:p w14:paraId="160791FF" w14:textId="3DFB7CD2" w:rsidR="00C6243C" w:rsidRPr="00E60DE9" w:rsidRDefault="00C6243C" w:rsidP="006C05B1">
      <w:pPr>
        <w:pStyle w:val="ListParagraph"/>
        <w:numPr>
          <w:ilvl w:val="0"/>
          <w:numId w:val="16"/>
        </w:numPr>
        <w:spacing w:before="60" w:after="120" w:line="240" w:lineRule="auto"/>
        <w:ind w:left="992" w:hanging="425"/>
        <w:contextualSpacing w:val="0"/>
        <w:rPr>
          <w:lang w:val="en-NZ"/>
        </w:rPr>
      </w:pPr>
      <w:r w:rsidRPr="00E60DE9">
        <w:rPr>
          <w:lang w:val="en-NZ"/>
        </w:rPr>
        <w:t>payment type (board/rent)</w:t>
      </w:r>
    </w:p>
    <w:p w14:paraId="3B789829" w14:textId="5928BFE3" w:rsidR="00C6243C" w:rsidRPr="00E60DE9" w:rsidRDefault="00C6243C" w:rsidP="006C05B1">
      <w:pPr>
        <w:pStyle w:val="ListParagraph"/>
        <w:numPr>
          <w:ilvl w:val="0"/>
          <w:numId w:val="16"/>
        </w:numPr>
        <w:spacing w:before="60" w:after="120" w:line="240" w:lineRule="auto"/>
        <w:ind w:left="992" w:hanging="425"/>
        <w:contextualSpacing w:val="0"/>
        <w:rPr>
          <w:lang w:val="en-NZ"/>
        </w:rPr>
      </w:pPr>
      <w:r w:rsidRPr="00E60DE9">
        <w:rPr>
          <w:lang w:val="en-NZ"/>
        </w:rPr>
        <w:t>board/rent amount</w:t>
      </w:r>
    </w:p>
    <w:p w14:paraId="1C724366" w14:textId="4F458B8C" w:rsidR="00C6243C" w:rsidRPr="00E60DE9" w:rsidRDefault="00C6243C" w:rsidP="006C05B1">
      <w:pPr>
        <w:pStyle w:val="ListParagraph"/>
        <w:numPr>
          <w:ilvl w:val="0"/>
          <w:numId w:val="16"/>
        </w:numPr>
        <w:spacing w:before="60" w:after="120" w:line="240" w:lineRule="auto"/>
        <w:ind w:left="992" w:hanging="425"/>
        <w:contextualSpacing w:val="0"/>
        <w:rPr>
          <w:lang w:val="en-NZ"/>
        </w:rPr>
      </w:pPr>
      <w:r w:rsidRPr="00E60DE9">
        <w:rPr>
          <w:lang w:val="en-NZ"/>
        </w:rPr>
        <w:t>board/rent payment frequency</w:t>
      </w:r>
    </w:p>
    <w:p w14:paraId="6690661C" w14:textId="1D8F4C3B" w:rsidR="00C6243C" w:rsidRPr="00E60DE9" w:rsidRDefault="00C6243C" w:rsidP="006C05B1">
      <w:pPr>
        <w:pStyle w:val="ListParagraph"/>
        <w:numPr>
          <w:ilvl w:val="0"/>
          <w:numId w:val="16"/>
        </w:numPr>
        <w:spacing w:before="60" w:after="120" w:line="240" w:lineRule="auto"/>
        <w:ind w:left="992" w:hanging="425"/>
        <w:contextualSpacing w:val="0"/>
        <w:rPr>
          <w:lang w:val="en-NZ"/>
        </w:rPr>
      </w:pPr>
      <w:r w:rsidRPr="00E60DE9">
        <w:rPr>
          <w:lang w:val="en-NZ"/>
        </w:rPr>
        <w:t>payment start or amount change date</w:t>
      </w:r>
    </w:p>
    <w:p w14:paraId="1001A754" w14:textId="1302275E" w:rsidR="00C6243C" w:rsidRPr="00806CF3" w:rsidRDefault="00C6243C" w:rsidP="006C05B1">
      <w:pPr>
        <w:pStyle w:val="ListParagraph"/>
        <w:numPr>
          <w:ilvl w:val="0"/>
          <w:numId w:val="16"/>
        </w:numPr>
        <w:spacing w:before="60" w:after="120" w:line="240" w:lineRule="auto"/>
        <w:ind w:left="992" w:hanging="425"/>
        <w:rPr>
          <w:lang w:val="en-NZ"/>
        </w:rPr>
      </w:pPr>
      <w:r w:rsidRPr="00E60DE9">
        <w:rPr>
          <w:lang w:val="en-NZ"/>
        </w:rPr>
        <w:t>full name, contact details</w:t>
      </w:r>
      <w:r w:rsidR="00F672C1">
        <w:rPr>
          <w:lang w:val="en-NZ"/>
        </w:rPr>
        <w:t>,</w:t>
      </w:r>
      <w:r w:rsidRPr="00E60DE9">
        <w:rPr>
          <w:lang w:val="en-NZ"/>
        </w:rPr>
        <w:t xml:space="preserve"> and date of birth </w:t>
      </w:r>
      <w:proofErr w:type="gramStart"/>
      <w:r w:rsidR="007757EC">
        <w:rPr>
          <w:lang w:val="en-NZ"/>
        </w:rPr>
        <w:t>where</w:t>
      </w:r>
      <w:proofErr w:type="gramEnd"/>
      <w:r w:rsidR="007757EC">
        <w:rPr>
          <w:lang w:val="en-NZ"/>
        </w:rPr>
        <w:t xml:space="preserve"> known by the client</w:t>
      </w:r>
      <w:r w:rsidR="00F31555">
        <w:rPr>
          <w:lang w:val="en-NZ"/>
        </w:rPr>
        <w:t xml:space="preserve"> </w:t>
      </w:r>
      <w:r w:rsidR="00806CF3">
        <w:rPr>
          <w:lang w:val="en-NZ"/>
        </w:rPr>
        <w:t>(for the purposes of information matching)</w:t>
      </w:r>
      <w:r w:rsidRPr="00E60DE9">
        <w:rPr>
          <w:lang w:val="en-NZ"/>
        </w:rPr>
        <w:t xml:space="preserve"> of </w:t>
      </w:r>
      <w:r w:rsidR="008130A4">
        <w:rPr>
          <w:lang w:val="en-NZ"/>
        </w:rPr>
        <w:t>the</w:t>
      </w:r>
      <w:r w:rsidRPr="00E60DE9">
        <w:rPr>
          <w:lang w:val="en-NZ"/>
        </w:rPr>
        <w:t xml:space="preserve"> board/rent payment </w:t>
      </w:r>
      <w:r w:rsidR="00806CF3">
        <w:rPr>
          <w:lang w:val="en-NZ"/>
        </w:rPr>
        <w:t>recipient</w:t>
      </w:r>
      <w:r w:rsidR="0039182A">
        <w:rPr>
          <w:lang w:val="en-NZ"/>
        </w:rPr>
        <w:t xml:space="preserve"> </w:t>
      </w:r>
      <w:r w:rsidR="00347BAD">
        <w:rPr>
          <w:lang w:val="en-NZ"/>
        </w:rPr>
        <w:t>(if the boarder is applying)</w:t>
      </w:r>
      <w:r w:rsidR="00785A61">
        <w:rPr>
          <w:lang w:val="en-NZ"/>
        </w:rPr>
        <w:t>,</w:t>
      </w:r>
      <w:r w:rsidR="00347BAD">
        <w:rPr>
          <w:lang w:val="en-NZ"/>
        </w:rPr>
        <w:t xml:space="preserve"> </w:t>
      </w:r>
      <w:r w:rsidR="0039182A">
        <w:rPr>
          <w:lang w:val="en-NZ"/>
        </w:rPr>
        <w:t xml:space="preserve">or </w:t>
      </w:r>
      <w:r w:rsidR="00D27AF9">
        <w:rPr>
          <w:lang w:val="en-NZ"/>
        </w:rPr>
        <w:t xml:space="preserve">the </w:t>
      </w:r>
      <w:r w:rsidRPr="00E60DE9">
        <w:rPr>
          <w:lang w:val="en-NZ"/>
        </w:rPr>
        <w:t>payer</w:t>
      </w:r>
      <w:r w:rsidR="00806CF3">
        <w:rPr>
          <w:lang w:val="en-NZ"/>
        </w:rPr>
        <w:t xml:space="preserve"> </w:t>
      </w:r>
      <w:r w:rsidR="00347BAD">
        <w:rPr>
          <w:lang w:val="en-NZ"/>
        </w:rPr>
        <w:t>(if the recipient of the board payments is applying)</w:t>
      </w:r>
      <w:r w:rsidR="00806CF3">
        <w:rPr>
          <w:lang w:val="en-NZ"/>
        </w:rPr>
        <w:t>.</w:t>
      </w:r>
      <w:r w:rsidR="00D21C7E">
        <w:rPr>
          <w:lang w:val="en-NZ"/>
        </w:rPr>
        <w:t xml:space="preserve"> </w:t>
      </w:r>
    </w:p>
    <w:p w14:paraId="2A7D021B" w14:textId="77777777" w:rsidR="00C6243C" w:rsidRPr="004433BC" w:rsidRDefault="00C6243C" w:rsidP="006C05B1">
      <w:pPr>
        <w:rPr>
          <w:b/>
          <w:i/>
        </w:rPr>
      </w:pPr>
      <w:r w:rsidRPr="004433BC">
        <w:rPr>
          <w:b/>
          <w:i/>
        </w:rPr>
        <w:t>Use</w:t>
      </w:r>
    </w:p>
    <w:p w14:paraId="18C68F51" w14:textId="4184A23F" w:rsidR="00C6243C" w:rsidRPr="00806CF3" w:rsidRDefault="00C6243C" w:rsidP="006C05B1">
      <w:pPr>
        <w:pStyle w:val="BodyText-Numbered"/>
        <w:keepNext w:val="0"/>
        <w:numPr>
          <w:ilvl w:val="0"/>
          <w:numId w:val="4"/>
        </w:numPr>
        <w:ind w:left="567" w:hanging="567"/>
        <w:rPr>
          <w:lang w:val="en-NZ"/>
        </w:rPr>
      </w:pPr>
      <w:r w:rsidRPr="00806CF3">
        <w:rPr>
          <w:lang w:val="en-NZ"/>
        </w:rPr>
        <w:t>The housing contribution information collected will be used to link clients through a household view</w:t>
      </w:r>
      <w:r w:rsidR="005C43F1">
        <w:rPr>
          <w:lang w:val="en-NZ"/>
        </w:rPr>
        <w:t xml:space="preserve"> in the contribution recipient</w:t>
      </w:r>
      <w:r w:rsidR="009C5BBD">
        <w:rPr>
          <w:lang w:val="en-NZ"/>
        </w:rPr>
        <w:t>'</w:t>
      </w:r>
      <w:r w:rsidR="005C43F1">
        <w:rPr>
          <w:lang w:val="en-NZ"/>
        </w:rPr>
        <w:t>s record</w:t>
      </w:r>
      <w:r w:rsidRPr="00806CF3">
        <w:rPr>
          <w:lang w:val="en-NZ"/>
        </w:rPr>
        <w:t>. The household view will be used to validate information where the recipient and payer both currently receive ongoing S</w:t>
      </w:r>
      <w:r w:rsidR="00806CF3">
        <w:rPr>
          <w:lang w:val="en-NZ"/>
        </w:rPr>
        <w:t xml:space="preserve">ocial </w:t>
      </w:r>
      <w:r w:rsidRPr="00806CF3">
        <w:rPr>
          <w:lang w:val="en-NZ"/>
        </w:rPr>
        <w:t>S</w:t>
      </w:r>
      <w:r w:rsidR="00806CF3">
        <w:rPr>
          <w:lang w:val="en-NZ"/>
        </w:rPr>
        <w:t xml:space="preserve">ecurity </w:t>
      </w:r>
      <w:r w:rsidRPr="00806CF3">
        <w:rPr>
          <w:lang w:val="en-NZ"/>
        </w:rPr>
        <w:t>A</w:t>
      </w:r>
      <w:r w:rsidR="00806CF3">
        <w:rPr>
          <w:lang w:val="en-NZ"/>
        </w:rPr>
        <w:t>ct</w:t>
      </w:r>
      <w:r w:rsidRPr="00806CF3">
        <w:rPr>
          <w:lang w:val="en-NZ"/>
        </w:rPr>
        <w:t xml:space="preserve"> assistance. </w:t>
      </w:r>
    </w:p>
    <w:p w14:paraId="6089480B" w14:textId="1246DADD" w:rsidR="00C6243C" w:rsidRPr="00304292" w:rsidRDefault="00C6243C" w:rsidP="006C05B1">
      <w:pPr>
        <w:pStyle w:val="BodyText-Numbered"/>
        <w:keepNext w:val="0"/>
        <w:numPr>
          <w:ilvl w:val="0"/>
          <w:numId w:val="4"/>
        </w:numPr>
        <w:ind w:left="567" w:hanging="567"/>
        <w:rPr>
          <w:lang w:val="en-NZ"/>
        </w:rPr>
      </w:pPr>
      <w:r w:rsidRPr="00806CF3">
        <w:rPr>
          <w:lang w:val="en-NZ"/>
        </w:rPr>
        <w:t xml:space="preserve">Housing contribution information received in phase </w:t>
      </w:r>
      <w:r w:rsidR="00785A61">
        <w:rPr>
          <w:lang w:val="en-NZ"/>
        </w:rPr>
        <w:t>one</w:t>
      </w:r>
      <w:r w:rsidRPr="00806CF3">
        <w:rPr>
          <w:lang w:val="en-NZ"/>
        </w:rPr>
        <w:t xml:space="preserve"> will be used to </w:t>
      </w:r>
      <w:r w:rsidR="00AE5AE7" w:rsidRPr="00AE5AE7">
        <w:rPr>
          <w:lang w:val="en-NZ"/>
        </w:rPr>
        <w:t xml:space="preserve">begin work </w:t>
      </w:r>
      <w:r w:rsidR="00AE5AE7">
        <w:rPr>
          <w:lang w:val="en-NZ"/>
        </w:rPr>
        <w:t>to</w:t>
      </w:r>
      <w:r w:rsidR="00E238A3">
        <w:rPr>
          <w:lang w:val="en-NZ"/>
        </w:rPr>
        <w:t xml:space="preserve"> link clients together and</w:t>
      </w:r>
      <w:r w:rsidR="00AE5AE7" w:rsidRPr="00AE5AE7">
        <w:rPr>
          <w:lang w:val="en-NZ"/>
        </w:rPr>
        <w:t xml:space="preserve"> validate information, where the information provided by the board/rent payer and receiver does</w:t>
      </w:r>
      <w:r w:rsidR="00EF2C68">
        <w:rPr>
          <w:lang w:val="en-NZ"/>
        </w:rPr>
        <w:t xml:space="preserve"> </w:t>
      </w:r>
      <w:r w:rsidR="00EF2C68" w:rsidRPr="00AE5AE7">
        <w:rPr>
          <w:lang w:val="en-NZ"/>
        </w:rPr>
        <w:t>not</w:t>
      </w:r>
      <w:r w:rsidR="00AE5AE7" w:rsidRPr="00AE5AE7">
        <w:rPr>
          <w:lang w:val="en-NZ"/>
        </w:rPr>
        <w:t xml:space="preserve"> match. This will also be used to </w:t>
      </w:r>
      <w:r w:rsidRPr="00806CF3">
        <w:rPr>
          <w:lang w:val="en-NZ"/>
        </w:rPr>
        <w:t xml:space="preserve">assess and communicate the </w:t>
      </w:r>
      <w:r w:rsidR="00095C1C">
        <w:rPr>
          <w:lang w:val="en-NZ"/>
        </w:rPr>
        <w:t>p</w:t>
      </w:r>
      <w:r w:rsidR="00095C1C" w:rsidRPr="00AE5AE7">
        <w:rPr>
          <w:lang w:val="en-NZ"/>
        </w:rPr>
        <w:t>hase</w:t>
      </w:r>
      <w:r w:rsidR="00095C1C" w:rsidRPr="00806CF3">
        <w:rPr>
          <w:lang w:val="en-NZ"/>
        </w:rPr>
        <w:t xml:space="preserve"> </w:t>
      </w:r>
      <w:r w:rsidR="004974A0">
        <w:rPr>
          <w:lang w:val="en-NZ"/>
        </w:rPr>
        <w:t>two</w:t>
      </w:r>
      <w:r w:rsidRPr="00806CF3">
        <w:rPr>
          <w:lang w:val="en-NZ"/>
        </w:rPr>
        <w:t xml:space="preserve"> effects of those housing contributions on a client’s S</w:t>
      </w:r>
      <w:r w:rsidR="00AE5AE7">
        <w:rPr>
          <w:lang w:val="en-NZ"/>
        </w:rPr>
        <w:t xml:space="preserve">ocial </w:t>
      </w:r>
      <w:r w:rsidRPr="00806CF3">
        <w:rPr>
          <w:lang w:val="en-NZ"/>
        </w:rPr>
        <w:t>S</w:t>
      </w:r>
      <w:r w:rsidR="00AE5AE7">
        <w:rPr>
          <w:lang w:val="en-NZ"/>
        </w:rPr>
        <w:t xml:space="preserve">ecurity </w:t>
      </w:r>
      <w:r w:rsidRPr="00806CF3">
        <w:rPr>
          <w:lang w:val="en-NZ"/>
        </w:rPr>
        <w:t>A</w:t>
      </w:r>
      <w:r w:rsidR="00AE5AE7">
        <w:rPr>
          <w:lang w:val="en-NZ"/>
        </w:rPr>
        <w:t>ct</w:t>
      </w:r>
      <w:r w:rsidRPr="00806CF3">
        <w:rPr>
          <w:lang w:val="en-NZ"/>
        </w:rPr>
        <w:t xml:space="preserve"> assistance in advance of phase </w:t>
      </w:r>
      <w:r w:rsidR="004974A0">
        <w:rPr>
          <w:lang w:val="en-NZ"/>
        </w:rPr>
        <w:t>two</w:t>
      </w:r>
      <w:r w:rsidRPr="00806CF3">
        <w:rPr>
          <w:lang w:val="en-NZ"/>
        </w:rPr>
        <w:t>’s commencement.</w:t>
      </w:r>
    </w:p>
    <w:p w14:paraId="4859B38F" w14:textId="77777777" w:rsidR="00A821C7" w:rsidRDefault="00C6243C" w:rsidP="006C05B1">
      <w:pPr>
        <w:pStyle w:val="BodyText-Numbered"/>
        <w:keepNext w:val="0"/>
        <w:rPr>
          <w:lang w:val="en-NZ"/>
        </w:rPr>
      </w:pPr>
      <w:r w:rsidRPr="004433BC">
        <w:rPr>
          <w:b/>
          <w:i/>
        </w:rPr>
        <w:t>Retention</w:t>
      </w:r>
      <w:r w:rsidR="00A821C7" w:rsidRPr="00A821C7">
        <w:rPr>
          <w:lang w:val="en-NZ"/>
        </w:rPr>
        <w:t xml:space="preserve"> </w:t>
      </w:r>
    </w:p>
    <w:p w14:paraId="6B59903C" w14:textId="4352537D" w:rsidR="00A821C7" w:rsidRPr="00304292" w:rsidRDefault="00A821C7" w:rsidP="006C05B1">
      <w:pPr>
        <w:pStyle w:val="BodyText-Numbered"/>
        <w:keepNext w:val="0"/>
        <w:numPr>
          <w:ilvl w:val="0"/>
          <w:numId w:val="4"/>
        </w:numPr>
        <w:ind w:left="567" w:hanging="567"/>
        <w:rPr>
          <w:lang w:val="en-NZ"/>
        </w:rPr>
      </w:pPr>
      <w:r w:rsidRPr="00304292">
        <w:rPr>
          <w:lang w:val="en-NZ"/>
        </w:rPr>
        <w:t xml:space="preserve">If the boarder or renter is an MSD client, their information will be retained and linked to the household view. </w:t>
      </w:r>
    </w:p>
    <w:p w14:paraId="65FF3A71" w14:textId="77777777" w:rsidR="00A821C7" w:rsidRPr="00304292" w:rsidRDefault="00A821C7" w:rsidP="006C05B1">
      <w:pPr>
        <w:pStyle w:val="BodyText-Numbered"/>
        <w:keepNext w:val="0"/>
        <w:numPr>
          <w:ilvl w:val="0"/>
          <w:numId w:val="4"/>
        </w:numPr>
        <w:ind w:left="567" w:hanging="567"/>
        <w:rPr>
          <w:lang w:val="en-NZ"/>
        </w:rPr>
      </w:pPr>
      <w:r w:rsidRPr="00304292">
        <w:rPr>
          <w:lang w:val="en-NZ"/>
        </w:rPr>
        <w:t>If the boarder or renter is not an MSD client, only their first name, initial</w:t>
      </w:r>
      <w:r>
        <w:rPr>
          <w:lang w:val="en-NZ"/>
        </w:rPr>
        <w:t xml:space="preserve"> of their last name</w:t>
      </w:r>
      <w:r w:rsidRPr="00304292">
        <w:rPr>
          <w:lang w:val="en-NZ"/>
        </w:rPr>
        <w:t xml:space="preserve"> and </w:t>
      </w:r>
      <w:r>
        <w:rPr>
          <w:lang w:val="en-NZ"/>
        </w:rPr>
        <w:t>details</w:t>
      </w:r>
      <w:r w:rsidRPr="00304292">
        <w:rPr>
          <w:lang w:val="en-NZ"/>
        </w:rPr>
        <w:t xml:space="preserve"> of </w:t>
      </w:r>
      <w:r>
        <w:rPr>
          <w:lang w:val="en-NZ"/>
        </w:rPr>
        <w:t xml:space="preserve">their </w:t>
      </w:r>
      <w:r w:rsidRPr="00304292">
        <w:rPr>
          <w:lang w:val="en-NZ"/>
        </w:rPr>
        <w:t xml:space="preserve">board </w:t>
      </w:r>
      <w:r>
        <w:rPr>
          <w:lang w:val="en-NZ"/>
        </w:rPr>
        <w:t>or rent</w:t>
      </w:r>
      <w:r w:rsidRPr="00304292">
        <w:rPr>
          <w:lang w:val="en-NZ"/>
        </w:rPr>
        <w:t xml:space="preserve"> </w:t>
      </w:r>
      <w:r>
        <w:rPr>
          <w:lang w:val="en-NZ"/>
        </w:rPr>
        <w:t>payment</w:t>
      </w:r>
      <w:r w:rsidRPr="00304292">
        <w:rPr>
          <w:lang w:val="en-NZ"/>
        </w:rPr>
        <w:t xml:space="preserve"> will be retained on the MSD client’s household view. </w:t>
      </w:r>
    </w:p>
    <w:p w14:paraId="0B71E994" w14:textId="77777777" w:rsidR="00A821C7" w:rsidRPr="00304292" w:rsidRDefault="00A821C7" w:rsidP="006C05B1">
      <w:pPr>
        <w:pStyle w:val="BodyText-Numbered"/>
        <w:keepNext w:val="0"/>
        <w:numPr>
          <w:ilvl w:val="0"/>
          <w:numId w:val="4"/>
        </w:numPr>
        <w:ind w:left="567" w:hanging="567"/>
        <w:rPr>
          <w:lang w:val="en-NZ"/>
        </w:rPr>
      </w:pPr>
      <w:r w:rsidRPr="00304292">
        <w:rPr>
          <w:lang w:val="en-NZ"/>
        </w:rPr>
        <w:t>If the boarder or renter stops being an MSD client, their details will be updated in the household view to only include their first name, initial</w:t>
      </w:r>
      <w:r>
        <w:rPr>
          <w:lang w:val="en-NZ"/>
        </w:rPr>
        <w:t xml:space="preserve"> of their last name</w:t>
      </w:r>
      <w:r w:rsidRPr="00304292">
        <w:rPr>
          <w:lang w:val="en-NZ"/>
        </w:rPr>
        <w:t xml:space="preserve"> and the amount of board they pay. </w:t>
      </w:r>
    </w:p>
    <w:p w14:paraId="2C1A9527" w14:textId="5BFB3852" w:rsidR="00A821C7" w:rsidRPr="00304292" w:rsidRDefault="00A821C7" w:rsidP="006C05B1">
      <w:pPr>
        <w:pStyle w:val="BodyText-Numbered"/>
        <w:keepNext w:val="0"/>
        <w:numPr>
          <w:ilvl w:val="0"/>
          <w:numId w:val="4"/>
        </w:numPr>
        <w:ind w:left="567" w:hanging="567"/>
        <w:rPr>
          <w:lang w:val="en-NZ"/>
        </w:rPr>
      </w:pPr>
      <w:r w:rsidRPr="00304292">
        <w:rPr>
          <w:lang w:val="en-NZ"/>
        </w:rPr>
        <w:t xml:space="preserve">Other identifying information will be retained in the applicable individual’s historical information, in line with </w:t>
      </w:r>
      <w:r w:rsidRPr="6DB6A01A">
        <w:rPr>
          <w:lang w:val="en-NZ"/>
        </w:rPr>
        <w:t>MSD</w:t>
      </w:r>
      <w:r w:rsidR="4ACF7C09" w:rsidRPr="6DB6A01A">
        <w:rPr>
          <w:lang w:val="en-NZ"/>
        </w:rPr>
        <w:t>’s</w:t>
      </w:r>
      <w:r w:rsidRPr="00304292">
        <w:rPr>
          <w:lang w:val="en-NZ"/>
        </w:rPr>
        <w:t xml:space="preserve"> current policies to support reviews as required.</w:t>
      </w:r>
    </w:p>
    <w:p w14:paraId="59C38634" w14:textId="3E8F7E5F" w:rsidR="008321F8" w:rsidRPr="00905F39" w:rsidRDefault="0099086E" w:rsidP="006C05B1">
      <w:pPr>
        <w:pStyle w:val="Heading3"/>
        <w:keepNext w:val="0"/>
        <w:rPr>
          <w:lang w:val="en-NZ"/>
        </w:rPr>
      </w:pPr>
      <w:bookmarkStart w:id="65" w:name="_Toc196390913"/>
      <w:r>
        <w:rPr>
          <w:lang w:val="en-NZ"/>
        </w:rPr>
        <w:t xml:space="preserve">How will </w:t>
      </w:r>
      <w:r w:rsidR="003A6757">
        <w:rPr>
          <w:lang w:val="en-NZ"/>
        </w:rPr>
        <w:t xml:space="preserve">the </w:t>
      </w:r>
      <w:r w:rsidR="005F41A2">
        <w:rPr>
          <w:lang w:val="en-NZ"/>
        </w:rPr>
        <w:t>new arrangements be m</w:t>
      </w:r>
      <w:r w:rsidR="005F41A2" w:rsidRPr="00A864A5">
        <w:rPr>
          <w:lang w:val="en-NZ"/>
        </w:rPr>
        <w:t>onitor</w:t>
      </w:r>
      <w:r w:rsidR="005F41A2">
        <w:rPr>
          <w:lang w:val="en-NZ"/>
        </w:rPr>
        <w:t>ed</w:t>
      </w:r>
      <w:r w:rsidR="005F41A2" w:rsidRPr="00A864A5">
        <w:rPr>
          <w:lang w:val="en-NZ"/>
        </w:rPr>
        <w:t xml:space="preserve">, </w:t>
      </w:r>
      <w:r w:rsidR="005F41A2">
        <w:rPr>
          <w:lang w:val="en-NZ"/>
        </w:rPr>
        <w:t>e</w:t>
      </w:r>
      <w:r w:rsidR="005F41A2" w:rsidRPr="00A864A5">
        <w:rPr>
          <w:lang w:val="en-NZ"/>
        </w:rPr>
        <w:t>valuat</w:t>
      </w:r>
      <w:r w:rsidR="005F41A2">
        <w:rPr>
          <w:lang w:val="en-NZ"/>
        </w:rPr>
        <w:t>ed</w:t>
      </w:r>
      <w:r w:rsidR="005F41A2" w:rsidRPr="00A864A5">
        <w:rPr>
          <w:lang w:val="en-NZ"/>
        </w:rPr>
        <w:t xml:space="preserve">, and </w:t>
      </w:r>
      <w:r w:rsidR="005F41A2">
        <w:rPr>
          <w:lang w:val="en-NZ"/>
        </w:rPr>
        <w:t>r</w:t>
      </w:r>
      <w:r w:rsidR="005F41A2" w:rsidRPr="00A864A5">
        <w:rPr>
          <w:lang w:val="en-NZ"/>
        </w:rPr>
        <w:t>eview</w:t>
      </w:r>
      <w:r w:rsidR="005F41A2">
        <w:rPr>
          <w:lang w:val="en-NZ"/>
        </w:rPr>
        <w:t>ed</w:t>
      </w:r>
      <w:r>
        <w:rPr>
          <w:lang w:val="en-NZ"/>
        </w:rPr>
        <w:t>?</w:t>
      </w:r>
      <w:bookmarkEnd w:id="65"/>
    </w:p>
    <w:p w14:paraId="2BF4CBAD" w14:textId="77777777" w:rsidR="00B62794" w:rsidRDefault="00B62794" w:rsidP="006C05B1">
      <w:pPr>
        <w:pStyle w:val="BodyText-Numbered"/>
        <w:keepNext w:val="0"/>
        <w:numPr>
          <w:ilvl w:val="0"/>
          <w:numId w:val="4"/>
        </w:numPr>
        <w:ind w:left="567" w:hanging="567"/>
        <w:rPr>
          <w:lang w:val="en-NZ"/>
        </w:rPr>
      </w:pPr>
      <w:r>
        <w:rPr>
          <w:lang w:val="en-NZ"/>
        </w:rPr>
        <w:t xml:space="preserve">As part of internal reporting for this initiative, MSD will monitor: </w:t>
      </w:r>
    </w:p>
    <w:p w14:paraId="1B117F71" w14:textId="693D2D98" w:rsidR="00B62794" w:rsidRDefault="00B62794" w:rsidP="006C05B1">
      <w:pPr>
        <w:pStyle w:val="BodyText-Numbered"/>
        <w:keepNext w:val="0"/>
        <w:numPr>
          <w:ilvl w:val="1"/>
          <w:numId w:val="4"/>
        </w:numPr>
        <w:ind w:left="993" w:hanging="426"/>
        <w:rPr>
          <w:lang w:val="en-NZ"/>
        </w:rPr>
      </w:pPr>
      <w:r>
        <w:rPr>
          <w:lang w:val="en-NZ"/>
        </w:rPr>
        <w:t xml:space="preserve">the number of boarders </w:t>
      </w:r>
      <w:r w:rsidR="004F5271">
        <w:rPr>
          <w:lang w:val="en-NZ"/>
        </w:rPr>
        <w:t>or renters identif</w:t>
      </w:r>
      <w:r w:rsidR="000276CF">
        <w:rPr>
          <w:lang w:val="en-NZ"/>
        </w:rPr>
        <w:t xml:space="preserve">ied </w:t>
      </w:r>
    </w:p>
    <w:p w14:paraId="081C940F" w14:textId="50FA4F75" w:rsidR="00EB4770" w:rsidRDefault="00EB4770" w:rsidP="006C05B1">
      <w:pPr>
        <w:pStyle w:val="BodyText-Numbered"/>
        <w:keepNext w:val="0"/>
        <w:numPr>
          <w:ilvl w:val="1"/>
          <w:numId w:val="4"/>
        </w:numPr>
        <w:ind w:left="993" w:hanging="426"/>
        <w:rPr>
          <w:lang w:val="en-NZ"/>
        </w:rPr>
      </w:pPr>
      <w:r>
        <w:rPr>
          <w:lang w:val="en-NZ"/>
        </w:rPr>
        <w:t>the number of households wi</w:t>
      </w:r>
      <w:r w:rsidR="00480138">
        <w:rPr>
          <w:lang w:val="en-NZ"/>
        </w:rPr>
        <w:t>th</w:t>
      </w:r>
      <w:r>
        <w:rPr>
          <w:lang w:val="en-NZ"/>
        </w:rPr>
        <w:t xml:space="preserve"> </w:t>
      </w:r>
      <w:r w:rsidR="005961CD">
        <w:rPr>
          <w:lang w:val="en-NZ"/>
        </w:rPr>
        <w:t xml:space="preserve">increased </w:t>
      </w:r>
      <w:r>
        <w:rPr>
          <w:lang w:val="en-NZ"/>
        </w:rPr>
        <w:t xml:space="preserve">IRR, reduced AS and </w:t>
      </w:r>
      <w:r w:rsidR="005961CD">
        <w:rPr>
          <w:lang w:val="en-NZ"/>
        </w:rPr>
        <w:t xml:space="preserve">reduced </w:t>
      </w:r>
      <w:r>
        <w:rPr>
          <w:lang w:val="en-NZ"/>
        </w:rPr>
        <w:t>Temporary Additional Support</w:t>
      </w:r>
    </w:p>
    <w:p w14:paraId="5682E762" w14:textId="397BB28F" w:rsidR="00737C42" w:rsidRDefault="00737C42" w:rsidP="006C05B1">
      <w:pPr>
        <w:pStyle w:val="BodyText-Numbered"/>
        <w:keepNext w:val="0"/>
        <w:numPr>
          <w:ilvl w:val="1"/>
          <w:numId w:val="4"/>
        </w:numPr>
        <w:ind w:left="993" w:hanging="426"/>
        <w:rPr>
          <w:lang w:val="en-NZ"/>
        </w:rPr>
      </w:pPr>
      <w:r w:rsidRPr="00737C42">
        <w:rPr>
          <w:lang w:val="en-NZ"/>
        </w:rPr>
        <w:t>the</w:t>
      </w:r>
      <w:r>
        <w:rPr>
          <w:lang w:val="en-NZ"/>
        </w:rPr>
        <w:t xml:space="preserve"> amount of</w:t>
      </w:r>
      <w:r w:rsidRPr="00737C42">
        <w:rPr>
          <w:lang w:val="en-NZ"/>
        </w:rPr>
        <w:t xml:space="preserve"> savings </w:t>
      </w:r>
      <w:r>
        <w:rPr>
          <w:lang w:val="en-NZ"/>
        </w:rPr>
        <w:t>made from</w:t>
      </w:r>
      <w:r w:rsidR="006323DF">
        <w:rPr>
          <w:lang w:val="en-NZ"/>
        </w:rPr>
        <w:t xml:space="preserve"> the</w:t>
      </w:r>
      <w:r w:rsidRPr="00737C42">
        <w:rPr>
          <w:lang w:val="en-NZ"/>
        </w:rPr>
        <w:t xml:space="preserve"> IRR</w:t>
      </w:r>
      <w:r w:rsidR="006323DF">
        <w:rPr>
          <w:lang w:val="en-NZ"/>
        </w:rPr>
        <w:t xml:space="preserve"> subsidy</w:t>
      </w:r>
      <w:r w:rsidRPr="00737C42">
        <w:rPr>
          <w:lang w:val="en-NZ"/>
        </w:rPr>
        <w:t>, AS and T</w:t>
      </w:r>
      <w:r w:rsidR="006323DF">
        <w:rPr>
          <w:lang w:val="en-NZ"/>
        </w:rPr>
        <w:t>emporary Additional Support</w:t>
      </w:r>
    </w:p>
    <w:p w14:paraId="1D2F7B53" w14:textId="64F70625" w:rsidR="00B93C8F" w:rsidRDefault="00CD4223" w:rsidP="006C05B1">
      <w:pPr>
        <w:pStyle w:val="BodyText-Numbered"/>
        <w:keepNext w:val="0"/>
        <w:numPr>
          <w:ilvl w:val="1"/>
          <w:numId w:val="4"/>
        </w:numPr>
        <w:ind w:left="993" w:hanging="426"/>
        <w:rPr>
          <w:lang w:val="en-NZ"/>
        </w:rPr>
      </w:pPr>
      <w:r>
        <w:rPr>
          <w:lang w:val="en-NZ"/>
        </w:rPr>
        <w:t>t</w:t>
      </w:r>
      <w:r w:rsidR="00B15CD7">
        <w:rPr>
          <w:lang w:val="en-NZ"/>
        </w:rPr>
        <w:t>he</w:t>
      </w:r>
      <w:r w:rsidR="00A56293">
        <w:rPr>
          <w:lang w:val="en-NZ"/>
        </w:rPr>
        <w:t xml:space="preserve"> forecast</w:t>
      </w:r>
      <w:r w:rsidR="00B15CD7">
        <w:rPr>
          <w:lang w:val="en-NZ"/>
        </w:rPr>
        <w:t xml:space="preserve"> number of households no longer eligible for </w:t>
      </w:r>
      <w:r w:rsidR="00D12860">
        <w:rPr>
          <w:lang w:val="en-NZ"/>
        </w:rPr>
        <w:t xml:space="preserve">the </w:t>
      </w:r>
      <w:r w:rsidR="00B15CD7">
        <w:rPr>
          <w:lang w:val="en-NZ"/>
        </w:rPr>
        <w:t xml:space="preserve">AS, Temporary Additional Support </w:t>
      </w:r>
      <w:r w:rsidR="00B93C8F">
        <w:rPr>
          <w:lang w:val="en-NZ"/>
        </w:rPr>
        <w:t>or IRR (i.e. they are on market rent)</w:t>
      </w:r>
      <w:r w:rsidR="0032576E">
        <w:rPr>
          <w:lang w:val="en-NZ"/>
        </w:rPr>
        <w:t>, including those who MSD will no longer have visibility o</w:t>
      </w:r>
      <w:r w:rsidR="00D12860">
        <w:rPr>
          <w:lang w:val="en-NZ"/>
        </w:rPr>
        <w:t>ver</w:t>
      </w:r>
      <w:r w:rsidR="0032576E">
        <w:rPr>
          <w:lang w:val="en-NZ"/>
        </w:rPr>
        <w:t xml:space="preserve"> (such as non-beneficiary AS clients)</w:t>
      </w:r>
    </w:p>
    <w:p w14:paraId="2429DD81" w14:textId="7B9CAEEF" w:rsidR="004435F4" w:rsidRDefault="00B15CD7" w:rsidP="006C05B1">
      <w:pPr>
        <w:pStyle w:val="BodyText-Numbered"/>
        <w:keepNext w:val="0"/>
        <w:numPr>
          <w:ilvl w:val="1"/>
          <w:numId w:val="4"/>
        </w:numPr>
        <w:ind w:left="993" w:hanging="426"/>
        <w:rPr>
          <w:lang w:val="en-NZ"/>
        </w:rPr>
      </w:pPr>
      <w:r>
        <w:rPr>
          <w:lang w:val="en-NZ"/>
        </w:rPr>
        <w:lastRenderedPageBreak/>
        <w:t xml:space="preserve"> </w:t>
      </w:r>
      <w:r w:rsidR="00CD4223">
        <w:rPr>
          <w:lang w:val="en-NZ"/>
        </w:rPr>
        <w:t>t</w:t>
      </w:r>
      <w:r w:rsidR="004435F4">
        <w:rPr>
          <w:lang w:val="en-NZ"/>
        </w:rPr>
        <w:t>he average amount of board and rent charged</w:t>
      </w:r>
    </w:p>
    <w:p w14:paraId="1FC7ADBE" w14:textId="13D7FF58" w:rsidR="0032576E" w:rsidRDefault="00CD4223" w:rsidP="006C05B1">
      <w:pPr>
        <w:pStyle w:val="BodyText-Numbered"/>
        <w:keepNext w:val="0"/>
        <w:numPr>
          <w:ilvl w:val="1"/>
          <w:numId w:val="4"/>
        </w:numPr>
        <w:ind w:left="993" w:hanging="426"/>
        <w:rPr>
          <w:lang w:val="en-NZ"/>
        </w:rPr>
      </w:pPr>
      <w:r>
        <w:rPr>
          <w:lang w:val="en-NZ"/>
        </w:rPr>
        <w:t>h</w:t>
      </w:r>
      <w:r w:rsidR="009B5BF2">
        <w:rPr>
          <w:lang w:val="en-NZ"/>
        </w:rPr>
        <w:t>ardship assistance – to see if it is increasing more than forecast</w:t>
      </w:r>
      <w:r w:rsidR="00F366A4">
        <w:rPr>
          <w:lang w:val="en-NZ"/>
        </w:rPr>
        <w:t>ed prior to this change</w:t>
      </w:r>
    </w:p>
    <w:p w14:paraId="487753B3" w14:textId="2F61A3C5" w:rsidR="0041653B" w:rsidRDefault="00CD4223" w:rsidP="006C05B1">
      <w:pPr>
        <w:pStyle w:val="BodyText-Numbered"/>
        <w:keepNext w:val="0"/>
        <w:numPr>
          <w:ilvl w:val="1"/>
          <w:numId w:val="4"/>
        </w:numPr>
        <w:ind w:left="993" w:hanging="426"/>
        <w:rPr>
          <w:lang w:val="en-NZ"/>
        </w:rPr>
      </w:pPr>
      <w:r>
        <w:rPr>
          <w:lang w:val="en-NZ"/>
        </w:rPr>
        <w:t>t</w:t>
      </w:r>
      <w:r w:rsidR="004873BD">
        <w:rPr>
          <w:lang w:val="en-NZ"/>
        </w:rPr>
        <w:t>he ethnicity, gender and ag</w:t>
      </w:r>
      <w:r>
        <w:rPr>
          <w:lang w:val="en-NZ"/>
        </w:rPr>
        <w:t>e of those affected by this change.</w:t>
      </w:r>
    </w:p>
    <w:p w14:paraId="2D36380B" w14:textId="09C0BFA2" w:rsidR="00533C36" w:rsidRDefault="00533C36" w:rsidP="006C05B1">
      <w:pPr>
        <w:pStyle w:val="BodyText-Numbered"/>
        <w:keepNext w:val="0"/>
        <w:numPr>
          <w:ilvl w:val="0"/>
          <w:numId w:val="4"/>
        </w:numPr>
        <w:ind w:left="567" w:hanging="567"/>
        <w:rPr>
          <w:lang w:val="en-NZ"/>
        </w:rPr>
      </w:pPr>
      <w:r>
        <w:rPr>
          <w:lang w:val="en-NZ"/>
        </w:rPr>
        <w:t xml:space="preserve">MSD will provide updates </w:t>
      </w:r>
      <w:r w:rsidR="003A5245">
        <w:rPr>
          <w:lang w:val="en-NZ"/>
        </w:rPr>
        <w:t xml:space="preserve">to </w:t>
      </w:r>
      <w:r w:rsidR="00AB777A">
        <w:rPr>
          <w:lang w:val="en-NZ"/>
        </w:rPr>
        <w:t xml:space="preserve">the Minister of Housing, Minister </w:t>
      </w:r>
      <w:r w:rsidR="2E8006B7" w:rsidRPr="5337F7A0">
        <w:rPr>
          <w:lang w:val="en-NZ"/>
        </w:rPr>
        <w:t xml:space="preserve">for </w:t>
      </w:r>
      <w:r w:rsidR="00AB777A">
        <w:rPr>
          <w:lang w:val="en-NZ"/>
        </w:rPr>
        <w:t xml:space="preserve">Social Development and Employment and the Associate Minister of Housing </w:t>
      </w:r>
      <w:r w:rsidR="009A25BA">
        <w:rPr>
          <w:lang w:val="en-NZ"/>
        </w:rPr>
        <w:t xml:space="preserve">as part of its regular reporting. </w:t>
      </w:r>
      <w:r w:rsidR="00831488">
        <w:rPr>
          <w:lang w:val="en-NZ"/>
        </w:rPr>
        <w:t xml:space="preserve">MSD will also report back to the Treasury with progress on this initiative. </w:t>
      </w:r>
    </w:p>
    <w:p w14:paraId="2629FED0" w14:textId="56BAEEEA" w:rsidR="00224336" w:rsidRDefault="00CD4223" w:rsidP="006C05B1">
      <w:pPr>
        <w:pStyle w:val="BodyText-Numbered"/>
        <w:keepNext w:val="0"/>
        <w:numPr>
          <w:ilvl w:val="0"/>
          <w:numId w:val="4"/>
        </w:numPr>
        <w:ind w:left="567" w:hanging="567"/>
        <w:rPr>
          <w:lang w:val="en-NZ"/>
        </w:rPr>
      </w:pPr>
      <w:r>
        <w:rPr>
          <w:lang w:val="en-NZ"/>
        </w:rPr>
        <w:t xml:space="preserve">If MSD identifies significant changes that may require further investigation (such as significant increases in hardship assistance, </w:t>
      </w:r>
      <w:r w:rsidR="00091E98">
        <w:rPr>
          <w:lang w:val="en-NZ"/>
        </w:rPr>
        <w:t>above what had been forecasted)</w:t>
      </w:r>
      <w:r w:rsidR="00F22DEE">
        <w:rPr>
          <w:lang w:val="en-NZ"/>
        </w:rPr>
        <w:t>,</w:t>
      </w:r>
      <w:r w:rsidR="007804F4">
        <w:rPr>
          <w:lang w:val="en-NZ"/>
        </w:rPr>
        <w:t xml:space="preserve"> MSD</w:t>
      </w:r>
      <w:r w:rsidR="00F22DEE">
        <w:rPr>
          <w:lang w:val="en-NZ"/>
        </w:rPr>
        <w:t xml:space="preserve"> will investigate those further and provide advice to Ministers</w:t>
      </w:r>
      <w:r w:rsidR="0041653B">
        <w:rPr>
          <w:lang w:val="en-NZ"/>
        </w:rPr>
        <w:t>.</w:t>
      </w:r>
    </w:p>
    <w:p w14:paraId="14D4247B" w14:textId="77777777" w:rsidR="009510B7" w:rsidRDefault="00224336" w:rsidP="006C05B1">
      <w:pPr>
        <w:pStyle w:val="Heading2"/>
        <w:keepNext w:val="0"/>
        <w:spacing w:before="0"/>
        <w:rPr>
          <w:lang w:val="en-NZ"/>
        </w:rPr>
        <w:sectPr w:rsidR="009510B7" w:rsidSect="00776538">
          <w:pgSz w:w="11907" w:h="16840" w:code="9"/>
          <w:pgMar w:top="1134" w:right="1418" w:bottom="992" w:left="1418" w:header="454" w:footer="454" w:gutter="0"/>
          <w:cols w:space="708"/>
          <w:docGrid w:linePitch="360"/>
        </w:sectPr>
      </w:pPr>
      <w:r>
        <w:rPr>
          <w:lang w:val="en-NZ"/>
        </w:rPr>
        <w:br w:type="page"/>
      </w:r>
      <w:bookmarkStart w:id="66" w:name="_Ref173914787"/>
      <w:bookmarkStart w:id="67" w:name="_Ref173914837"/>
      <w:bookmarkStart w:id="68" w:name="_Ref174530509"/>
      <w:bookmarkStart w:id="69" w:name="_Ref174530512"/>
      <w:bookmarkStart w:id="70" w:name="_Toc174957022"/>
      <w:bookmarkStart w:id="71" w:name="_Toc174979156"/>
    </w:p>
    <w:p w14:paraId="63B923E1" w14:textId="12CBDAB3" w:rsidR="001B7E28" w:rsidRPr="001B7E28" w:rsidRDefault="00FE48F7" w:rsidP="006C05B1">
      <w:pPr>
        <w:pStyle w:val="Heading2"/>
        <w:keepNext w:val="0"/>
        <w:spacing w:before="0"/>
        <w:rPr>
          <w:rFonts w:eastAsia="Verdana"/>
        </w:rPr>
      </w:pPr>
      <w:bookmarkStart w:id="72" w:name="_Hlk182997481"/>
      <w:bookmarkStart w:id="73" w:name="_Toc196390914"/>
      <w:bookmarkStart w:id="74" w:name="_Hlk188885129"/>
      <w:r w:rsidRPr="001B7E28">
        <w:rPr>
          <w:rFonts w:eastAsia="Verdana"/>
        </w:rPr>
        <w:lastRenderedPageBreak/>
        <w:t>A</w:t>
      </w:r>
      <w:r>
        <w:rPr>
          <w:rFonts w:eastAsia="Verdana"/>
        </w:rPr>
        <w:t>nne</w:t>
      </w:r>
      <w:r w:rsidRPr="001B7E28">
        <w:rPr>
          <w:rFonts w:eastAsia="Verdana"/>
        </w:rPr>
        <w:t xml:space="preserve">x </w:t>
      </w:r>
      <w:r w:rsidR="001B7E28" w:rsidRPr="001B7E28">
        <w:rPr>
          <w:rFonts w:eastAsia="Verdana"/>
        </w:rPr>
        <w:t>1</w:t>
      </w:r>
      <w:bookmarkStart w:id="75" w:name="_Toc174957023"/>
      <w:bookmarkStart w:id="76" w:name="_Toc174979157"/>
      <w:bookmarkEnd w:id="66"/>
      <w:bookmarkEnd w:id="67"/>
      <w:bookmarkEnd w:id="68"/>
      <w:bookmarkEnd w:id="69"/>
      <w:bookmarkEnd w:id="70"/>
      <w:bookmarkEnd w:id="71"/>
      <w:r w:rsidR="00C82BC7">
        <w:rPr>
          <w:rFonts w:eastAsia="Verdana"/>
        </w:rPr>
        <w:t xml:space="preserve"> - </w:t>
      </w:r>
      <w:r w:rsidR="001B7E28" w:rsidRPr="001B7E28">
        <w:rPr>
          <w:rFonts w:eastAsia="Verdana"/>
        </w:rPr>
        <w:t>How does the option compare to the counterfactual</w:t>
      </w:r>
      <w:bookmarkEnd w:id="72"/>
      <w:r w:rsidR="001B7E28" w:rsidRPr="001B7E28">
        <w:rPr>
          <w:rFonts w:eastAsia="Verdana"/>
        </w:rPr>
        <w:t>?</w:t>
      </w:r>
      <w:bookmarkEnd w:id="73"/>
      <w:bookmarkEnd w:id="75"/>
      <w:bookmarkEnd w:id="76"/>
    </w:p>
    <w:bookmarkEnd w:id="74"/>
    <w:tbl>
      <w:tblPr>
        <w:tblStyle w:val="TableGrid"/>
        <w:tblW w:w="14879" w:type="dxa"/>
        <w:tblLook w:val="04A0" w:firstRow="1" w:lastRow="0" w:firstColumn="1" w:lastColumn="0" w:noHBand="0" w:noVBand="1"/>
      </w:tblPr>
      <w:tblGrid>
        <w:gridCol w:w="2405"/>
        <w:gridCol w:w="5528"/>
        <w:gridCol w:w="6946"/>
      </w:tblGrid>
      <w:tr w:rsidR="001B7E28" w:rsidRPr="001B7E28" w14:paraId="0B33F119" w14:textId="77777777" w:rsidTr="006D4451">
        <w:trPr>
          <w:tblHeader/>
        </w:trPr>
        <w:tc>
          <w:tcPr>
            <w:tcW w:w="2405" w:type="dxa"/>
            <w:shd w:val="clear" w:color="auto" w:fill="F2F2F2" w:themeFill="background1" w:themeFillShade="F2"/>
          </w:tcPr>
          <w:p w14:paraId="50A26C8B" w14:textId="77777777" w:rsidR="001B7E28" w:rsidRPr="001B7E28" w:rsidRDefault="001B7E28" w:rsidP="006C05B1">
            <w:pPr>
              <w:keepLines/>
              <w:jc w:val="left"/>
              <w:rPr>
                <w:rFonts w:eastAsia="Verdana"/>
                <w:lang w:val="en-NZ"/>
              </w:rPr>
            </w:pPr>
          </w:p>
        </w:tc>
        <w:tc>
          <w:tcPr>
            <w:tcW w:w="5528" w:type="dxa"/>
            <w:shd w:val="clear" w:color="auto" w:fill="F2F2F2" w:themeFill="background1" w:themeFillShade="F2"/>
          </w:tcPr>
          <w:p w14:paraId="022AF4D4" w14:textId="77777777" w:rsidR="001B7E28" w:rsidRPr="001B7E28" w:rsidRDefault="001B7E28" w:rsidP="006C05B1">
            <w:pPr>
              <w:keepLines/>
              <w:rPr>
                <w:rFonts w:eastAsia="Verdana"/>
                <w:b/>
                <w:bCs/>
                <w:lang w:val="en-NZ"/>
              </w:rPr>
            </w:pPr>
            <w:r w:rsidRPr="001B7E28">
              <w:rPr>
                <w:rFonts w:eastAsia="Verdana"/>
                <w:b/>
                <w:bCs/>
                <w:lang w:val="en-NZ"/>
              </w:rPr>
              <w:t>Option A – Status Quo / Counterfactual</w:t>
            </w:r>
          </w:p>
        </w:tc>
        <w:tc>
          <w:tcPr>
            <w:tcW w:w="6946" w:type="dxa"/>
            <w:shd w:val="clear" w:color="auto" w:fill="F2F2F2" w:themeFill="background1" w:themeFillShade="F2"/>
          </w:tcPr>
          <w:p w14:paraId="44FF24CF" w14:textId="26906475" w:rsidR="001B7E28" w:rsidRPr="001B7E28" w:rsidRDefault="001B7E28" w:rsidP="006C05B1">
            <w:pPr>
              <w:keepLines/>
              <w:rPr>
                <w:rFonts w:eastAsia="Verdana"/>
                <w:b/>
                <w:bCs/>
                <w:lang w:val="en-NZ"/>
              </w:rPr>
            </w:pPr>
            <w:r w:rsidRPr="001B7E28">
              <w:rPr>
                <w:rFonts w:eastAsia="Verdana"/>
                <w:b/>
                <w:bCs/>
                <w:lang w:val="en-NZ"/>
              </w:rPr>
              <w:t xml:space="preserve">Option B – Changes to </w:t>
            </w:r>
            <w:r w:rsidR="00D56A3B">
              <w:rPr>
                <w:rFonts w:eastAsia="Verdana"/>
                <w:b/>
                <w:bCs/>
                <w:lang w:val="en-NZ"/>
              </w:rPr>
              <w:t xml:space="preserve">ensure </w:t>
            </w:r>
            <w:r w:rsidR="00D56A3B" w:rsidRPr="00D56A3B">
              <w:rPr>
                <w:rFonts w:eastAsia="Verdana"/>
                <w:b/>
                <w:bCs/>
                <w:lang w:val="en-NZ"/>
              </w:rPr>
              <w:t xml:space="preserve">housing contributions from all boarders </w:t>
            </w:r>
            <w:r w:rsidR="00D56A3B">
              <w:rPr>
                <w:rFonts w:eastAsia="Verdana"/>
                <w:b/>
                <w:bCs/>
                <w:lang w:val="en-NZ"/>
              </w:rPr>
              <w:t>are</w:t>
            </w:r>
            <w:r w:rsidR="00D56A3B" w:rsidRPr="00D56A3B">
              <w:rPr>
                <w:rFonts w:eastAsia="Verdana"/>
                <w:b/>
                <w:bCs/>
                <w:lang w:val="en-NZ"/>
              </w:rPr>
              <w:t xml:space="preserve"> counted in the assessment of housing subsidies</w:t>
            </w:r>
          </w:p>
        </w:tc>
      </w:tr>
      <w:tr w:rsidR="001B7E28" w:rsidRPr="001B7E28" w14:paraId="0D9E165E" w14:textId="77777777" w:rsidTr="006D4451">
        <w:trPr>
          <w:trHeight w:val="1052"/>
        </w:trPr>
        <w:tc>
          <w:tcPr>
            <w:tcW w:w="2405" w:type="dxa"/>
            <w:shd w:val="clear" w:color="auto" w:fill="F2F2F2" w:themeFill="background1" w:themeFillShade="F2"/>
          </w:tcPr>
          <w:p w14:paraId="62B4F2AB" w14:textId="5B2CDF3F" w:rsidR="001B7E28" w:rsidRPr="001B7E28" w:rsidRDefault="001B7E28" w:rsidP="006C05B1">
            <w:pPr>
              <w:keepLines/>
              <w:spacing w:before="60" w:after="120" w:line="240" w:lineRule="auto"/>
              <w:jc w:val="left"/>
              <w:rPr>
                <w:rFonts w:eastAsia="Verdana"/>
                <w:b/>
                <w:bCs/>
                <w:lang w:val="en-NZ"/>
              </w:rPr>
            </w:pPr>
            <w:r w:rsidRPr="001B7E28">
              <w:rPr>
                <w:rFonts w:eastAsia="Verdana"/>
                <w:b/>
                <w:bCs/>
                <w:lang w:val="en-NZ"/>
              </w:rPr>
              <w:t>Strategic alignment with</w:t>
            </w:r>
            <w:r w:rsidR="00CD7754">
              <w:rPr>
                <w:rFonts w:eastAsia="Verdana"/>
                <w:b/>
                <w:bCs/>
                <w:lang w:val="en-NZ"/>
              </w:rPr>
              <w:t xml:space="preserve"> </w:t>
            </w:r>
            <w:r w:rsidRPr="001B7E28">
              <w:rPr>
                <w:rFonts w:eastAsia="Verdana"/>
                <w:b/>
                <w:bCs/>
                <w:lang w:val="en-NZ"/>
              </w:rPr>
              <w:t>Government objectives</w:t>
            </w:r>
          </w:p>
        </w:tc>
        <w:tc>
          <w:tcPr>
            <w:tcW w:w="5528" w:type="dxa"/>
          </w:tcPr>
          <w:p w14:paraId="09E976A1" w14:textId="398F7AA4" w:rsidR="001B7E28" w:rsidRDefault="009D35B9" w:rsidP="006C05B1">
            <w:pPr>
              <w:keepLines/>
              <w:spacing w:before="60" w:after="120" w:line="240" w:lineRule="auto"/>
              <w:jc w:val="left"/>
              <w:rPr>
                <w:rFonts w:eastAsia="Verdana"/>
                <w:bCs/>
                <w:lang w:val="en-NZ"/>
              </w:rPr>
            </w:pPr>
            <w:r w:rsidDel="000C60ED">
              <w:rPr>
                <w:rFonts w:eastAsia="Verdana"/>
                <w:bCs/>
                <w:lang w:val="en-NZ"/>
              </w:rPr>
              <w:t>Option A</w:t>
            </w:r>
            <w:r w:rsidR="00491AA5" w:rsidRPr="00C45082">
              <w:rPr>
                <w:rFonts w:eastAsia="Verdana"/>
                <w:bCs/>
                <w:lang w:val="en-NZ"/>
              </w:rPr>
              <w:t xml:space="preserve"> settings </w:t>
            </w:r>
            <w:r w:rsidR="00C45082" w:rsidRPr="00C45082">
              <w:rPr>
                <w:rFonts w:eastAsia="Verdana"/>
                <w:bCs/>
                <w:lang w:val="en-NZ"/>
              </w:rPr>
              <w:t>do</w:t>
            </w:r>
            <w:r w:rsidR="006D4451">
              <w:t xml:space="preserve"> not </w:t>
            </w:r>
            <w:r w:rsidR="006D4451" w:rsidRPr="006D4451">
              <w:rPr>
                <w:rFonts w:eastAsia="Verdana"/>
                <w:bCs/>
                <w:lang w:val="en-NZ"/>
              </w:rPr>
              <w:t>ensure housing contributions from all boarders are counted in the assessment of housing subsidies</w:t>
            </w:r>
            <w:r w:rsidR="00CE5B5F">
              <w:rPr>
                <w:rFonts w:eastAsia="Verdana"/>
                <w:bCs/>
                <w:lang w:val="en-NZ"/>
              </w:rPr>
              <w:t xml:space="preserve">. This </w:t>
            </w:r>
            <w:r w:rsidR="00813F2D">
              <w:rPr>
                <w:rFonts w:eastAsia="Verdana"/>
                <w:bCs/>
                <w:lang w:val="en-NZ"/>
              </w:rPr>
              <w:t>creates inequities between how rent and board payments are treated</w:t>
            </w:r>
            <w:r>
              <w:rPr>
                <w:rFonts w:eastAsia="Verdana"/>
                <w:bCs/>
                <w:lang w:val="en-NZ"/>
              </w:rPr>
              <w:t>,</w:t>
            </w:r>
            <w:r w:rsidR="00813F2D">
              <w:rPr>
                <w:rFonts w:eastAsia="Verdana"/>
                <w:bCs/>
                <w:lang w:val="en-NZ"/>
              </w:rPr>
              <w:t xml:space="preserve"> and </w:t>
            </w:r>
            <w:r w:rsidR="005A2514">
              <w:rPr>
                <w:rFonts w:eastAsia="Verdana"/>
                <w:bCs/>
                <w:lang w:val="en-NZ"/>
              </w:rPr>
              <w:t xml:space="preserve">the double subsidisation of accommodation costs </w:t>
            </w:r>
            <w:r w:rsidR="00B95AEA">
              <w:rPr>
                <w:rFonts w:eastAsia="Verdana"/>
                <w:bCs/>
                <w:lang w:val="en-NZ"/>
              </w:rPr>
              <w:t xml:space="preserve">by the </w:t>
            </w:r>
            <w:r w:rsidR="00C529FB">
              <w:rPr>
                <w:rFonts w:eastAsia="Verdana"/>
                <w:bCs/>
                <w:lang w:val="en-NZ"/>
              </w:rPr>
              <w:t xml:space="preserve">Government </w:t>
            </w:r>
            <w:r w:rsidR="005A2514">
              <w:rPr>
                <w:rFonts w:eastAsia="Verdana"/>
                <w:bCs/>
                <w:lang w:val="en-NZ"/>
              </w:rPr>
              <w:t>will continue</w:t>
            </w:r>
            <w:r w:rsidR="006C230D">
              <w:rPr>
                <w:rFonts w:eastAsia="Verdana"/>
                <w:bCs/>
                <w:lang w:val="en-NZ"/>
              </w:rPr>
              <w:t>.</w:t>
            </w:r>
          </w:p>
          <w:p w14:paraId="4AF50E84" w14:textId="15963681" w:rsidR="001B7E28" w:rsidRPr="00D14C68" w:rsidRDefault="00F219A0" w:rsidP="006C05B1">
            <w:pPr>
              <w:keepLines/>
              <w:spacing w:before="60" w:after="120" w:line="240" w:lineRule="auto"/>
              <w:jc w:val="left"/>
              <w:rPr>
                <w:rFonts w:eastAsia="Verdana"/>
                <w:b/>
                <w:lang w:val="en-NZ"/>
              </w:rPr>
            </w:pPr>
            <w:r>
              <w:rPr>
                <w:rFonts w:eastAsia="Verdana"/>
                <w:b/>
                <w:lang w:val="en-NZ"/>
              </w:rPr>
              <w:t>0</w:t>
            </w:r>
          </w:p>
        </w:tc>
        <w:tc>
          <w:tcPr>
            <w:tcW w:w="6946" w:type="dxa"/>
          </w:tcPr>
          <w:p w14:paraId="079EC42F" w14:textId="419BB1D7" w:rsidR="001B7E28" w:rsidRDefault="00EE1079" w:rsidP="006C05B1">
            <w:pPr>
              <w:keepLines/>
              <w:spacing w:before="60" w:after="120" w:line="240" w:lineRule="auto"/>
              <w:jc w:val="left"/>
              <w:rPr>
                <w:rFonts w:eastAsia="Verdana"/>
                <w:bCs/>
                <w:lang w:val="en-NZ"/>
              </w:rPr>
            </w:pPr>
            <w:r>
              <w:rPr>
                <w:rFonts w:eastAsia="Verdana"/>
                <w:bCs/>
                <w:lang w:val="en-NZ"/>
              </w:rPr>
              <w:t xml:space="preserve">Option B settings will ensure housing contributions from all boarders are counted in the assessment of housing subsidies. This will </w:t>
            </w:r>
            <w:r w:rsidR="0092074D">
              <w:rPr>
                <w:rFonts w:eastAsia="Verdana"/>
                <w:bCs/>
                <w:lang w:val="en-NZ"/>
              </w:rPr>
              <w:t xml:space="preserve">bring the treatment of board payments in line with how rent </w:t>
            </w:r>
            <w:r w:rsidR="00BC2796">
              <w:rPr>
                <w:rFonts w:eastAsia="Verdana"/>
                <w:bCs/>
                <w:lang w:val="en-NZ"/>
              </w:rPr>
              <w:t xml:space="preserve">payments are </w:t>
            </w:r>
            <w:r w:rsidR="00FB4CF0">
              <w:rPr>
                <w:rFonts w:eastAsia="Verdana"/>
                <w:bCs/>
                <w:lang w:val="en-NZ"/>
              </w:rPr>
              <w:t xml:space="preserve">treated, and </w:t>
            </w:r>
            <w:r w:rsidR="00854332">
              <w:rPr>
                <w:rFonts w:eastAsia="Verdana"/>
                <w:bCs/>
                <w:lang w:val="en-NZ"/>
              </w:rPr>
              <w:t xml:space="preserve">it will prevent the </w:t>
            </w:r>
            <w:r w:rsidR="004464F4">
              <w:rPr>
                <w:rFonts w:eastAsia="Verdana"/>
                <w:bCs/>
                <w:lang w:val="en-NZ"/>
              </w:rPr>
              <w:t>g</w:t>
            </w:r>
            <w:r w:rsidR="00E229A0">
              <w:rPr>
                <w:rFonts w:eastAsia="Verdana"/>
                <w:bCs/>
                <w:lang w:val="en-NZ"/>
              </w:rPr>
              <w:t xml:space="preserve">overnment </w:t>
            </w:r>
            <w:r w:rsidR="00854332">
              <w:rPr>
                <w:rFonts w:eastAsia="Verdana"/>
                <w:bCs/>
                <w:lang w:val="en-NZ"/>
              </w:rPr>
              <w:t xml:space="preserve">double </w:t>
            </w:r>
            <w:r w:rsidR="00B95AEA">
              <w:rPr>
                <w:rFonts w:eastAsia="Verdana"/>
                <w:bCs/>
                <w:lang w:val="en-NZ"/>
              </w:rPr>
              <w:t>subsidising the same accommodation costs.</w:t>
            </w:r>
          </w:p>
          <w:p w14:paraId="667E12A4" w14:textId="11F2A2FA" w:rsidR="001B7E28" w:rsidRPr="001B7E28" w:rsidRDefault="00E27BEC" w:rsidP="006C05B1">
            <w:pPr>
              <w:keepLines/>
              <w:spacing w:before="60" w:after="120" w:line="240" w:lineRule="auto"/>
              <w:jc w:val="left"/>
              <w:rPr>
                <w:rFonts w:eastAsia="Verdana"/>
                <w:bCs/>
                <w:lang w:val="en-NZ"/>
              </w:rPr>
            </w:pPr>
            <w:r w:rsidRPr="004F25F7">
              <w:rPr>
                <w:rFonts w:ascii="Wingdings 2" w:eastAsia="Wingdings 2" w:hAnsi="Wingdings 2" w:cs="Wingdings 2"/>
                <w:b/>
                <w:color w:val="00B050"/>
                <w:lang w:val="en-NZ"/>
              </w:rPr>
              <w:t>PP</w:t>
            </w:r>
          </w:p>
        </w:tc>
      </w:tr>
      <w:tr w:rsidR="001B7E28" w:rsidRPr="001B7E28" w14:paraId="4E59D8DD" w14:textId="77777777" w:rsidTr="006D4451">
        <w:trPr>
          <w:trHeight w:val="648"/>
        </w:trPr>
        <w:tc>
          <w:tcPr>
            <w:tcW w:w="2405" w:type="dxa"/>
            <w:shd w:val="clear" w:color="auto" w:fill="F2F2F2" w:themeFill="background1" w:themeFillShade="F2"/>
          </w:tcPr>
          <w:p w14:paraId="7D998C43" w14:textId="77777777" w:rsidR="001B7E28" w:rsidRPr="001B7E28" w:rsidRDefault="001B7E28" w:rsidP="006C05B1">
            <w:pPr>
              <w:keepLines/>
              <w:spacing w:before="60" w:after="120" w:line="240" w:lineRule="auto"/>
              <w:jc w:val="left"/>
              <w:rPr>
                <w:rFonts w:eastAsia="Verdana"/>
                <w:b/>
                <w:bCs/>
                <w:lang w:val="en-NZ"/>
              </w:rPr>
            </w:pPr>
            <w:r w:rsidRPr="001B7E28">
              <w:rPr>
                <w:rFonts w:eastAsia="Verdana"/>
                <w:b/>
                <w:bCs/>
                <w:lang w:val="en-NZ"/>
              </w:rPr>
              <w:t>Distributional (equity) impacts</w:t>
            </w:r>
          </w:p>
        </w:tc>
        <w:tc>
          <w:tcPr>
            <w:tcW w:w="5528" w:type="dxa"/>
          </w:tcPr>
          <w:p w14:paraId="13D203CA" w14:textId="02360A87" w:rsidR="001B7E28" w:rsidRDefault="00546EF0" w:rsidP="006C05B1">
            <w:pPr>
              <w:keepLines/>
              <w:spacing w:before="60" w:after="120" w:line="240" w:lineRule="auto"/>
              <w:jc w:val="left"/>
              <w:rPr>
                <w:rFonts w:eastAsia="Verdana"/>
                <w:bCs/>
                <w:lang w:val="en-NZ"/>
              </w:rPr>
            </w:pPr>
            <w:r>
              <w:rPr>
                <w:rFonts w:eastAsia="Verdana"/>
                <w:bCs/>
                <w:lang w:val="en-NZ"/>
              </w:rPr>
              <w:t xml:space="preserve">Marginalised communities are disproportionately </w:t>
            </w:r>
            <w:r w:rsidR="00D82A64">
              <w:rPr>
                <w:rFonts w:eastAsia="Verdana"/>
                <w:bCs/>
                <w:lang w:val="en-NZ"/>
              </w:rPr>
              <w:t xml:space="preserve">likely to benefit from </w:t>
            </w:r>
            <w:r w:rsidR="00F53E6C">
              <w:rPr>
                <w:rFonts w:eastAsia="Verdana"/>
                <w:bCs/>
                <w:lang w:val="en-NZ"/>
              </w:rPr>
              <w:t xml:space="preserve">Option A </w:t>
            </w:r>
            <w:r w:rsidR="009E3B00">
              <w:rPr>
                <w:rFonts w:eastAsia="Verdana"/>
                <w:bCs/>
                <w:lang w:val="en-NZ"/>
              </w:rPr>
              <w:t xml:space="preserve">settings </w:t>
            </w:r>
            <w:r w:rsidR="000D44D4">
              <w:rPr>
                <w:rFonts w:eastAsia="Verdana"/>
                <w:bCs/>
                <w:lang w:val="en-NZ"/>
              </w:rPr>
              <w:t xml:space="preserve">because they are more likely to be boarding compared to the general population. </w:t>
            </w:r>
          </w:p>
          <w:p w14:paraId="5E23897D" w14:textId="42E02A5D" w:rsidR="001B7E28" w:rsidRPr="00D14C68" w:rsidRDefault="00F219A0" w:rsidP="006C05B1">
            <w:pPr>
              <w:keepLines/>
              <w:spacing w:before="60" w:after="120" w:line="240" w:lineRule="auto"/>
              <w:jc w:val="left"/>
              <w:rPr>
                <w:rFonts w:eastAsia="Verdana"/>
                <w:b/>
                <w:lang w:val="en-NZ"/>
              </w:rPr>
            </w:pPr>
            <w:r>
              <w:rPr>
                <w:rFonts w:eastAsia="Verdana"/>
                <w:b/>
                <w:lang w:val="en-NZ"/>
              </w:rPr>
              <w:t>0</w:t>
            </w:r>
          </w:p>
        </w:tc>
        <w:tc>
          <w:tcPr>
            <w:tcW w:w="6946" w:type="dxa"/>
          </w:tcPr>
          <w:p w14:paraId="5D39DF8E" w14:textId="3C69AB66" w:rsidR="001B7E28" w:rsidRDefault="000D44D4" w:rsidP="006C05B1">
            <w:pPr>
              <w:keepLines/>
              <w:spacing w:before="60" w:after="120" w:line="240" w:lineRule="auto"/>
              <w:jc w:val="left"/>
              <w:rPr>
                <w:rFonts w:eastAsia="Verdana"/>
                <w:bCs/>
                <w:lang w:val="en-NZ"/>
              </w:rPr>
            </w:pPr>
            <w:r>
              <w:rPr>
                <w:rFonts w:eastAsia="Verdana"/>
                <w:bCs/>
                <w:lang w:val="en-NZ"/>
              </w:rPr>
              <w:t xml:space="preserve">Option B settings are likely </w:t>
            </w:r>
            <w:r w:rsidR="000D6474">
              <w:rPr>
                <w:rFonts w:eastAsia="Verdana"/>
                <w:bCs/>
                <w:lang w:val="en-NZ"/>
              </w:rPr>
              <w:t xml:space="preserve">to have a disproportionately negative impact on marginalised communities since they are more likely to </w:t>
            </w:r>
            <w:r w:rsidR="00860154">
              <w:rPr>
                <w:rFonts w:eastAsia="Verdana"/>
                <w:bCs/>
                <w:lang w:val="en-NZ"/>
              </w:rPr>
              <w:t xml:space="preserve">be in a </w:t>
            </w:r>
            <w:r w:rsidR="009238EE">
              <w:rPr>
                <w:rFonts w:eastAsia="Verdana"/>
                <w:bCs/>
                <w:lang w:val="en-NZ"/>
              </w:rPr>
              <w:t>boarding</w:t>
            </w:r>
            <w:r w:rsidR="00860154">
              <w:rPr>
                <w:rFonts w:eastAsia="Verdana"/>
                <w:bCs/>
                <w:lang w:val="en-NZ"/>
              </w:rPr>
              <w:t xml:space="preserve"> situation</w:t>
            </w:r>
            <w:r w:rsidR="009238EE">
              <w:rPr>
                <w:rFonts w:eastAsia="Verdana"/>
                <w:bCs/>
                <w:lang w:val="en-NZ"/>
              </w:rPr>
              <w:t xml:space="preserve">. </w:t>
            </w:r>
            <w:r w:rsidR="00C05024">
              <w:rPr>
                <w:rFonts w:eastAsia="Verdana"/>
                <w:bCs/>
                <w:lang w:val="en-NZ"/>
              </w:rPr>
              <w:t>Māori, Pacific peoples, young people</w:t>
            </w:r>
            <w:r w:rsidR="00554665">
              <w:rPr>
                <w:rFonts w:eastAsia="Verdana"/>
                <w:bCs/>
                <w:lang w:val="en-NZ"/>
              </w:rPr>
              <w:t>, disabled people</w:t>
            </w:r>
            <w:r w:rsidR="00C05024">
              <w:rPr>
                <w:rFonts w:eastAsia="Verdana"/>
                <w:bCs/>
                <w:lang w:val="en-NZ"/>
              </w:rPr>
              <w:t xml:space="preserve"> and older people</w:t>
            </w:r>
            <w:r w:rsidR="004523BB">
              <w:rPr>
                <w:rFonts w:eastAsia="Verdana"/>
                <w:bCs/>
                <w:lang w:val="en-NZ"/>
              </w:rPr>
              <w:t xml:space="preserve"> are among groups likely to</w:t>
            </w:r>
            <w:r w:rsidR="00C05024" w:rsidDel="004523BB">
              <w:rPr>
                <w:rFonts w:eastAsia="Verdana"/>
                <w:bCs/>
                <w:lang w:val="en-NZ"/>
              </w:rPr>
              <w:t xml:space="preserve"> </w:t>
            </w:r>
            <w:r w:rsidR="00C60F65">
              <w:rPr>
                <w:rFonts w:eastAsia="Verdana"/>
                <w:bCs/>
                <w:lang w:val="en-NZ"/>
              </w:rPr>
              <w:t>experience worsened housing security when Option B is implemented.</w:t>
            </w:r>
            <w:r w:rsidR="00C05024">
              <w:rPr>
                <w:rFonts w:eastAsia="Verdana"/>
                <w:bCs/>
                <w:lang w:val="en-NZ"/>
              </w:rPr>
              <w:t xml:space="preserve"> </w:t>
            </w:r>
          </w:p>
          <w:p w14:paraId="18BE0F33" w14:textId="04741249" w:rsidR="001B7E28" w:rsidRPr="001B7E28" w:rsidRDefault="00D0482F" w:rsidP="006C05B1">
            <w:pPr>
              <w:keepLines/>
              <w:spacing w:before="60" w:after="120" w:line="240" w:lineRule="auto"/>
              <w:jc w:val="left"/>
              <w:rPr>
                <w:rFonts w:eastAsia="Verdana"/>
                <w:bCs/>
                <w:lang w:val="en-NZ"/>
              </w:rPr>
            </w:pPr>
            <w:r w:rsidRPr="000F2542">
              <w:rPr>
                <w:rFonts w:ascii="Wingdings 2" w:eastAsia="Wingdings 2" w:hAnsi="Wingdings 2" w:cs="Wingdings 2"/>
                <w:color w:val="FF0000"/>
                <w:szCs w:val="22"/>
                <w:lang w:val="en-NZ"/>
              </w:rPr>
              <w:t>O</w:t>
            </w:r>
          </w:p>
        </w:tc>
      </w:tr>
      <w:tr w:rsidR="001B7E28" w:rsidRPr="001B7E28" w14:paraId="6072E00F" w14:textId="77777777" w:rsidTr="006D4451">
        <w:trPr>
          <w:trHeight w:val="474"/>
        </w:trPr>
        <w:tc>
          <w:tcPr>
            <w:tcW w:w="2405" w:type="dxa"/>
            <w:shd w:val="clear" w:color="auto" w:fill="F2F2F2" w:themeFill="background1" w:themeFillShade="F2"/>
          </w:tcPr>
          <w:p w14:paraId="67E17F1C" w14:textId="77777777" w:rsidR="001B7E28" w:rsidRPr="001B7E28" w:rsidRDefault="001B7E28" w:rsidP="006C05B1">
            <w:pPr>
              <w:keepLines/>
              <w:spacing w:before="60" w:after="120" w:line="240" w:lineRule="auto"/>
              <w:jc w:val="left"/>
              <w:rPr>
                <w:rFonts w:eastAsia="Verdana"/>
                <w:b/>
                <w:bCs/>
                <w:lang w:val="en-NZ"/>
              </w:rPr>
            </w:pPr>
            <w:r w:rsidRPr="001B7E28">
              <w:rPr>
                <w:rFonts w:eastAsia="Verdana"/>
                <w:b/>
                <w:bCs/>
                <w:lang w:val="en-NZ"/>
              </w:rPr>
              <w:t>Fiscal sustainability</w:t>
            </w:r>
          </w:p>
        </w:tc>
        <w:tc>
          <w:tcPr>
            <w:tcW w:w="5528" w:type="dxa"/>
          </w:tcPr>
          <w:p w14:paraId="3EC35A2A" w14:textId="77777777" w:rsidR="001B7E28" w:rsidRDefault="000F0B61" w:rsidP="006C05B1">
            <w:pPr>
              <w:keepLines/>
              <w:spacing w:before="60" w:after="120" w:line="240" w:lineRule="auto"/>
              <w:jc w:val="left"/>
              <w:rPr>
                <w:rFonts w:eastAsia="Verdana"/>
                <w:bCs/>
                <w:lang w:val="en-NZ"/>
              </w:rPr>
            </w:pPr>
            <w:r>
              <w:rPr>
                <w:rFonts w:eastAsia="Verdana"/>
                <w:bCs/>
                <w:lang w:val="en-NZ"/>
              </w:rPr>
              <w:t>Option A</w:t>
            </w:r>
            <w:r w:rsidR="00034457">
              <w:rPr>
                <w:rFonts w:eastAsia="Verdana"/>
                <w:bCs/>
                <w:lang w:val="en-NZ"/>
              </w:rPr>
              <w:t xml:space="preserve"> does not </w:t>
            </w:r>
            <w:r w:rsidR="00766528">
              <w:rPr>
                <w:rFonts w:eastAsia="Verdana"/>
                <w:bCs/>
                <w:lang w:val="en-NZ"/>
              </w:rPr>
              <w:t xml:space="preserve">help to ensure </w:t>
            </w:r>
            <w:r w:rsidR="00C24FFF">
              <w:rPr>
                <w:rFonts w:eastAsia="Verdana"/>
                <w:bCs/>
                <w:lang w:val="en-NZ"/>
              </w:rPr>
              <w:t xml:space="preserve">fiscal sustainability because under this option the same accommodation costs </w:t>
            </w:r>
            <w:r w:rsidR="005C5F17">
              <w:rPr>
                <w:rFonts w:eastAsia="Verdana"/>
                <w:bCs/>
                <w:lang w:val="en-NZ"/>
              </w:rPr>
              <w:t>can be subsidised twice by the government.</w:t>
            </w:r>
          </w:p>
          <w:p w14:paraId="6525FA9F" w14:textId="36C1CA5B" w:rsidR="001B7E28" w:rsidRPr="00D14C68" w:rsidRDefault="00F219A0" w:rsidP="006C05B1">
            <w:pPr>
              <w:keepLines/>
              <w:spacing w:before="60" w:after="120" w:line="240" w:lineRule="auto"/>
              <w:jc w:val="left"/>
              <w:rPr>
                <w:rFonts w:eastAsia="Verdana"/>
                <w:b/>
                <w:lang w:val="en-NZ"/>
              </w:rPr>
            </w:pPr>
            <w:r>
              <w:rPr>
                <w:rFonts w:eastAsia="Verdana"/>
                <w:b/>
                <w:lang w:val="en-NZ"/>
              </w:rPr>
              <w:t>0</w:t>
            </w:r>
          </w:p>
        </w:tc>
        <w:tc>
          <w:tcPr>
            <w:tcW w:w="6946" w:type="dxa"/>
          </w:tcPr>
          <w:p w14:paraId="4BC04E1C" w14:textId="77777777" w:rsidR="001B7E28" w:rsidRDefault="00284515" w:rsidP="006C05B1">
            <w:pPr>
              <w:spacing w:before="60" w:after="120" w:line="240" w:lineRule="auto"/>
              <w:jc w:val="left"/>
              <w:rPr>
                <w:rFonts w:eastAsia="Verdana"/>
                <w:bCs/>
              </w:rPr>
            </w:pPr>
            <w:r>
              <w:rPr>
                <w:rFonts w:eastAsia="Verdana"/>
                <w:bCs/>
              </w:rPr>
              <w:t>Option B helps to</w:t>
            </w:r>
            <w:r w:rsidRPr="00284515">
              <w:rPr>
                <w:rFonts w:eastAsia="Verdana"/>
                <w:bCs/>
              </w:rPr>
              <w:t xml:space="preserve"> deliver effective and fiscally sustainable public services by reducing the amount </w:t>
            </w:r>
            <w:r w:rsidR="009F19FA">
              <w:rPr>
                <w:rFonts w:eastAsia="Verdana"/>
                <w:bCs/>
              </w:rPr>
              <w:t>the government</w:t>
            </w:r>
            <w:r w:rsidRPr="00284515">
              <w:rPr>
                <w:rFonts w:eastAsia="Verdana"/>
                <w:bCs/>
              </w:rPr>
              <w:t xml:space="preserve"> pays</w:t>
            </w:r>
            <w:r w:rsidR="009F19FA">
              <w:rPr>
                <w:rFonts w:eastAsia="Verdana"/>
                <w:bCs/>
              </w:rPr>
              <w:t xml:space="preserve"> in housing subsidies</w:t>
            </w:r>
            <w:r w:rsidR="00126F60">
              <w:rPr>
                <w:rFonts w:eastAsia="Verdana"/>
                <w:bCs/>
              </w:rPr>
              <w:t xml:space="preserve"> to those who are receiving board payments</w:t>
            </w:r>
            <w:r w:rsidRPr="00284515">
              <w:rPr>
                <w:rFonts w:eastAsia="Verdana"/>
                <w:bCs/>
              </w:rPr>
              <w:t>.</w:t>
            </w:r>
          </w:p>
          <w:p w14:paraId="338DC2B1" w14:textId="7262E614" w:rsidR="001B7E28" w:rsidRPr="001B7E28" w:rsidRDefault="00D0482F" w:rsidP="006C05B1">
            <w:pPr>
              <w:spacing w:before="60" w:after="120" w:line="240" w:lineRule="auto"/>
              <w:jc w:val="left"/>
              <w:rPr>
                <w:rFonts w:eastAsia="Verdana"/>
                <w:bCs/>
                <w:lang w:val="en-NZ"/>
              </w:rPr>
            </w:pPr>
            <w:r w:rsidRPr="004F25F7">
              <w:rPr>
                <w:rFonts w:ascii="Wingdings 2" w:eastAsia="Wingdings 2" w:hAnsi="Wingdings 2" w:cs="Wingdings 2"/>
                <w:b/>
                <w:color w:val="00B050"/>
                <w:lang w:val="en-NZ"/>
              </w:rPr>
              <w:t>P</w:t>
            </w:r>
          </w:p>
        </w:tc>
      </w:tr>
      <w:tr w:rsidR="001B7E28" w:rsidRPr="001B7E28" w14:paraId="3C1BDF80" w14:textId="77777777" w:rsidTr="006D4451">
        <w:trPr>
          <w:trHeight w:val="424"/>
        </w:trPr>
        <w:tc>
          <w:tcPr>
            <w:tcW w:w="2405" w:type="dxa"/>
            <w:shd w:val="clear" w:color="auto" w:fill="F2F2F2" w:themeFill="background1" w:themeFillShade="F2"/>
          </w:tcPr>
          <w:p w14:paraId="320A7E89" w14:textId="77777777" w:rsidR="001B7E28" w:rsidRPr="001B7E28" w:rsidRDefault="001B7E28" w:rsidP="006C05B1">
            <w:pPr>
              <w:keepLines/>
              <w:spacing w:before="60" w:after="120" w:line="240" w:lineRule="auto"/>
              <w:jc w:val="left"/>
              <w:rPr>
                <w:rFonts w:eastAsia="Verdana"/>
                <w:b/>
                <w:bCs/>
                <w:lang w:val="en-NZ"/>
              </w:rPr>
            </w:pPr>
            <w:r w:rsidRPr="001B7E28">
              <w:rPr>
                <w:rFonts w:eastAsia="Verdana"/>
                <w:b/>
                <w:bCs/>
                <w:lang w:val="en-NZ"/>
              </w:rPr>
              <w:t xml:space="preserve">Feasibility </w:t>
            </w:r>
          </w:p>
        </w:tc>
        <w:tc>
          <w:tcPr>
            <w:tcW w:w="5528" w:type="dxa"/>
          </w:tcPr>
          <w:p w14:paraId="3BF3AE55" w14:textId="5B373B4A" w:rsidR="001B7E28" w:rsidRDefault="00512068" w:rsidP="006C05B1">
            <w:pPr>
              <w:keepLines/>
              <w:spacing w:before="60" w:after="120" w:line="240" w:lineRule="auto"/>
              <w:jc w:val="left"/>
              <w:rPr>
                <w:rFonts w:eastAsia="Verdana"/>
                <w:bCs/>
                <w:lang w:val="en-NZ"/>
              </w:rPr>
            </w:pPr>
            <w:r w:rsidRPr="00512068">
              <w:rPr>
                <w:rFonts w:eastAsia="Verdana"/>
                <w:bCs/>
                <w:lang w:val="en-NZ"/>
              </w:rPr>
              <w:t xml:space="preserve">Continuation of </w:t>
            </w:r>
            <w:r w:rsidR="00F40E41">
              <w:rPr>
                <w:rFonts w:eastAsia="Verdana"/>
                <w:bCs/>
                <w:lang w:val="en-NZ"/>
              </w:rPr>
              <w:t>Option A</w:t>
            </w:r>
            <w:r w:rsidRPr="00512068">
              <w:rPr>
                <w:rFonts w:eastAsia="Verdana"/>
                <w:bCs/>
                <w:lang w:val="en-NZ"/>
              </w:rPr>
              <w:t xml:space="preserve"> settings is operationally feasible as the </w:t>
            </w:r>
            <w:r>
              <w:rPr>
                <w:rFonts w:eastAsia="Verdana"/>
                <w:bCs/>
                <w:lang w:val="en-NZ"/>
              </w:rPr>
              <w:t>processes for the treatment of board payments is already well established</w:t>
            </w:r>
            <w:r w:rsidR="001E536B">
              <w:rPr>
                <w:rFonts w:eastAsia="Verdana"/>
                <w:bCs/>
                <w:lang w:val="en-NZ"/>
              </w:rPr>
              <w:t>.</w:t>
            </w:r>
          </w:p>
          <w:p w14:paraId="73105E52" w14:textId="1CC31A60" w:rsidR="001B7E28" w:rsidRPr="00D14C68" w:rsidRDefault="00F219A0" w:rsidP="006C05B1">
            <w:pPr>
              <w:keepLines/>
              <w:spacing w:before="60" w:after="120" w:line="240" w:lineRule="auto"/>
              <w:jc w:val="left"/>
              <w:rPr>
                <w:rFonts w:eastAsia="Verdana"/>
                <w:b/>
                <w:lang w:val="en-NZ"/>
              </w:rPr>
            </w:pPr>
            <w:r>
              <w:rPr>
                <w:rFonts w:eastAsia="Verdana"/>
                <w:b/>
                <w:lang w:val="en-NZ"/>
              </w:rPr>
              <w:t>0</w:t>
            </w:r>
          </w:p>
        </w:tc>
        <w:tc>
          <w:tcPr>
            <w:tcW w:w="6946" w:type="dxa"/>
          </w:tcPr>
          <w:p w14:paraId="27CA5EE4" w14:textId="0BD4409E" w:rsidR="001B7E28" w:rsidRDefault="00871BF2" w:rsidP="006C05B1">
            <w:pPr>
              <w:keepLines/>
              <w:spacing w:before="60" w:after="120" w:line="240" w:lineRule="auto"/>
              <w:jc w:val="left"/>
              <w:rPr>
                <w:rFonts w:eastAsia="Verdana"/>
                <w:bCs/>
                <w:lang w:val="en-NZ"/>
              </w:rPr>
            </w:pPr>
            <w:r>
              <w:rPr>
                <w:rFonts w:eastAsia="Verdana"/>
                <w:bCs/>
                <w:lang w:val="en-NZ"/>
              </w:rPr>
              <w:t xml:space="preserve">The new settings under </w:t>
            </w:r>
            <w:r w:rsidR="002C03FB">
              <w:rPr>
                <w:rFonts w:eastAsia="Verdana"/>
                <w:bCs/>
                <w:lang w:val="en-NZ"/>
              </w:rPr>
              <w:t xml:space="preserve">Option B </w:t>
            </w:r>
            <w:r w:rsidR="00142C31">
              <w:rPr>
                <w:rFonts w:eastAsia="Verdana"/>
                <w:bCs/>
                <w:lang w:val="en-NZ"/>
              </w:rPr>
              <w:t xml:space="preserve">will </w:t>
            </w:r>
            <w:r w:rsidR="006631D8">
              <w:rPr>
                <w:rFonts w:eastAsia="Verdana"/>
                <w:bCs/>
                <w:lang w:val="en-NZ"/>
              </w:rPr>
              <w:t>be implemented in early 202</w:t>
            </w:r>
            <w:r w:rsidR="00F244CC">
              <w:rPr>
                <w:rFonts w:eastAsia="Verdana"/>
                <w:bCs/>
                <w:lang w:val="en-NZ"/>
              </w:rPr>
              <w:t>6.</w:t>
            </w:r>
          </w:p>
          <w:p w14:paraId="58973865" w14:textId="22558818" w:rsidR="00D36D3E" w:rsidRDefault="00F244CC" w:rsidP="006C05B1">
            <w:pPr>
              <w:keepLines/>
              <w:spacing w:before="60" w:after="120" w:line="240" w:lineRule="auto"/>
              <w:jc w:val="left"/>
              <w:rPr>
                <w:rFonts w:eastAsia="Verdana"/>
                <w:bCs/>
                <w:lang w:val="en-NZ"/>
              </w:rPr>
            </w:pPr>
            <w:r>
              <w:rPr>
                <w:rFonts w:eastAsia="Verdana"/>
                <w:bCs/>
                <w:lang w:val="en-NZ"/>
              </w:rPr>
              <w:t>A tight timeframe</w:t>
            </w:r>
            <w:r w:rsidR="002C03FB">
              <w:rPr>
                <w:rFonts w:eastAsia="Verdana"/>
                <w:bCs/>
                <w:lang w:val="en-NZ"/>
              </w:rPr>
              <w:t xml:space="preserve"> and </w:t>
            </w:r>
            <w:r w:rsidR="00D265D8">
              <w:rPr>
                <w:rFonts w:eastAsia="Verdana"/>
                <w:bCs/>
                <w:lang w:val="en-NZ"/>
              </w:rPr>
              <w:t xml:space="preserve">the narrow scope of </w:t>
            </w:r>
            <w:r w:rsidR="00AD13E2">
              <w:rPr>
                <w:rFonts w:eastAsia="Verdana"/>
                <w:bCs/>
                <w:lang w:val="en-NZ"/>
              </w:rPr>
              <w:t xml:space="preserve">the </w:t>
            </w:r>
            <w:r w:rsidR="00534015">
              <w:rPr>
                <w:rFonts w:eastAsia="Verdana"/>
                <w:bCs/>
                <w:lang w:val="en-NZ"/>
              </w:rPr>
              <w:t>boarders’ contribution</w:t>
            </w:r>
            <w:r w:rsidR="005E0FB1">
              <w:rPr>
                <w:rFonts w:eastAsia="Verdana"/>
                <w:bCs/>
                <w:lang w:val="en-NZ"/>
              </w:rPr>
              <w:t>s</w:t>
            </w:r>
            <w:r w:rsidR="00AD13E2">
              <w:rPr>
                <w:rFonts w:eastAsia="Verdana"/>
                <w:bCs/>
                <w:lang w:val="en-NZ"/>
              </w:rPr>
              <w:t xml:space="preserve"> initiative</w:t>
            </w:r>
            <w:r w:rsidR="00703E70">
              <w:rPr>
                <w:rFonts w:eastAsia="Verdana"/>
                <w:bCs/>
                <w:lang w:val="en-NZ"/>
              </w:rPr>
              <w:t xml:space="preserve"> constrained the </w:t>
            </w:r>
            <w:r w:rsidR="00ED7D33">
              <w:rPr>
                <w:rFonts w:eastAsia="Verdana"/>
                <w:bCs/>
                <w:lang w:val="en-NZ"/>
              </w:rPr>
              <w:t xml:space="preserve">level of </w:t>
            </w:r>
            <w:r w:rsidR="001957E7">
              <w:rPr>
                <w:rFonts w:eastAsia="Verdana"/>
                <w:bCs/>
                <w:lang w:val="en-NZ"/>
              </w:rPr>
              <w:t xml:space="preserve">changes </w:t>
            </w:r>
            <w:r w:rsidR="00331023">
              <w:rPr>
                <w:rFonts w:eastAsia="Verdana"/>
                <w:bCs/>
                <w:lang w:val="en-NZ"/>
              </w:rPr>
              <w:t>that were fe</w:t>
            </w:r>
            <w:r w:rsidR="00551EF5">
              <w:rPr>
                <w:rFonts w:eastAsia="Verdana"/>
                <w:bCs/>
                <w:lang w:val="en-NZ"/>
              </w:rPr>
              <w:t xml:space="preserve">asible to implement. </w:t>
            </w:r>
            <w:r w:rsidR="001C7725">
              <w:rPr>
                <w:rFonts w:eastAsia="Verdana"/>
                <w:bCs/>
                <w:lang w:val="en-NZ"/>
              </w:rPr>
              <w:t xml:space="preserve">For example, reconsidering the </w:t>
            </w:r>
            <w:r w:rsidR="00D36D3E">
              <w:rPr>
                <w:rFonts w:eastAsia="Verdana"/>
                <w:bCs/>
                <w:lang w:val="en-NZ"/>
              </w:rPr>
              <w:t>62</w:t>
            </w:r>
            <w:r w:rsidR="001C4F90">
              <w:rPr>
                <w:rFonts w:eastAsia="Verdana"/>
                <w:bCs/>
                <w:lang w:val="en-NZ"/>
              </w:rPr>
              <w:t xml:space="preserve"> percent</w:t>
            </w:r>
            <w:r w:rsidR="00D36D3E">
              <w:rPr>
                <w:rFonts w:eastAsia="Verdana"/>
                <w:bCs/>
                <w:lang w:val="en-NZ"/>
              </w:rPr>
              <w:t xml:space="preserve"> housing contribution setting was outside the scope of this initiative.</w:t>
            </w:r>
            <w:r w:rsidR="00894900">
              <w:rPr>
                <w:rFonts w:eastAsia="Verdana"/>
                <w:bCs/>
                <w:lang w:val="en-NZ"/>
              </w:rPr>
              <w:t xml:space="preserve"> </w:t>
            </w:r>
            <w:r w:rsidR="00B149F9">
              <w:rPr>
                <w:rFonts w:eastAsia="Verdana"/>
                <w:bCs/>
                <w:lang w:val="en-NZ"/>
              </w:rPr>
              <w:t>The risks associated with Option B have been considered</w:t>
            </w:r>
            <w:r w:rsidR="002D5CF1">
              <w:rPr>
                <w:rFonts w:eastAsia="Verdana"/>
                <w:bCs/>
                <w:lang w:val="en-NZ"/>
              </w:rPr>
              <w:t xml:space="preserve"> and accepted</w:t>
            </w:r>
            <w:r w:rsidR="00582D99">
              <w:rPr>
                <w:rFonts w:eastAsia="Verdana"/>
                <w:bCs/>
                <w:lang w:val="en-NZ"/>
              </w:rPr>
              <w:t>.</w:t>
            </w:r>
            <w:r w:rsidR="002D5CF1">
              <w:rPr>
                <w:rFonts w:eastAsia="Verdana"/>
                <w:bCs/>
                <w:lang w:val="en-NZ"/>
              </w:rPr>
              <w:t xml:space="preserve"> </w:t>
            </w:r>
          </w:p>
          <w:p w14:paraId="11105F12" w14:textId="024027B7" w:rsidR="001B7E28" w:rsidRPr="001B7E28" w:rsidRDefault="00D0482F" w:rsidP="006C05B1">
            <w:pPr>
              <w:keepLines/>
              <w:spacing w:before="60" w:after="120" w:line="240" w:lineRule="auto"/>
              <w:jc w:val="left"/>
              <w:rPr>
                <w:rFonts w:eastAsia="Verdana"/>
                <w:bCs/>
                <w:lang w:val="en-NZ"/>
              </w:rPr>
            </w:pPr>
            <w:r w:rsidRPr="004F25F7">
              <w:rPr>
                <w:rFonts w:ascii="Wingdings 2" w:eastAsia="Wingdings 2" w:hAnsi="Wingdings 2" w:cs="Wingdings 2"/>
                <w:b/>
                <w:color w:val="00B050"/>
                <w:lang w:val="en-NZ"/>
              </w:rPr>
              <w:t>P</w:t>
            </w:r>
          </w:p>
        </w:tc>
      </w:tr>
      <w:tr w:rsidR="001B7E28" w:rsidRPr="001B7E28" w14:paraId="4E5BBDA6" w14:textId="77777777" w:rsidTr="006D4451">
        <w:tc>
          <w:tcPr>
            <w:tcW w:w="2405" w:type="dxa"/>
            <w:shd w:val="clear" w:color="auto" w:fill="F2F2F2" w:themeFill="background1" w:themeFillShade="F2"/>
          </w:tcPr>
          <w:p w14:paraId="145A008D" w14:textId="1377ECB1" w:rsidR="001B7E28" w:rsidRPr="001B7E28" w:rsidRDefault="001B7E28" w:rsidP="006C05B1">
            <w:pPr>
              <w:keepLines/>
              <w:spacing w:before="60" w:after="120" w:line="240" w:lineRule="auto"/>
              <w:jc w:val="left"/>
              <w:rPr>
                <w:rFonts w:eastAsia="Verdana"/>
                <w:b/>
                <w:bCs/>
                <w:lang w:val="en-NZ"/>
              </w:rPr>
            </w:pPr>
            <w:r w:rsidRPr="001B7E28">
              <w:rPr>
                <w:rFonts w:eastAsia="Verdana"/>
                <w:b/>
                <w:bCs/>
                <w:lang w:val="en-NZ"/>
              </w:rPr>
              <w:lastRenderedPageBreak/>
              <w:t xml:space="preserve">Alignment with broader </w:t>
            </w:r>
            <w:r w:rsidR="00E07416">
              <w:rPr>
                <w:rFonts w:eastAsia="Verdana"/>
                <w:b/>
                <w:bCs/>
                <w:lang w:val="en-NZ"/>
              </w:rPr>
              <w:t>g</w:t>
            </w:r>
            <w:r w:rsidR="00E07416" w:rsidRPr="001B7E28">
              <w:rPr>
                <w:rFonts w:eastAsia="Verdana"/>
                <w:b/>
                <w:bCs/>
                <w:lang w:val="en-NZ"/>
              </w:rPr>
              <w:t xml:space="preserve">overnment </w:t>
            </w:r>
            <w:r w:rsidRPr="001B7E28">
              <w:rPr>
                <w:rFonts w:eastAsia="Verdana"/>
                <w:b/>
                <w:bCs/>
                <w:lang w:val="en-NZ"/>
              </w:rPr>
              <w:t>changes</w:t>
            </w:r>
          </w:p>
        </w:tc>
        <w:tc>
          <w:tcPr>
            <w:tcW w:w="5528" w:type="dxa"/>
          </w:tcPr>
          <w:p w14:paraId="3A84EFAF" w14:textId="3BE9F286" w:rsidR="001B7E28" w:rsidRDefault="00310A6B" w:rsidP="006C05B1">
            <w:pPr>
              <w:keepLines/>
              <w:spacing w:before="60" w:after="120" w:line="240" w:lineRule="auto"/>
              <w:jc w:val="left"/>
              <w:rPr>
                <w:rFonts w:eastAsia="Verdana"/>
                <w:bCs/>
                <w:lang w:val="en-NZ"/>
              </w:rPr>
            </w:pPr>
            <w:r w:rsidDel="00E36EB9">
              <w:rPr>
                <w:rFonts w:eastAsia="Verdana"/>
                <w:bCs/>
                <w:lang w:val="en-NZ"/>
              </w:rPr>
              <w:t>Option A</w:t>
            </w:r>
            <w:r>
              <w:rPr>
                <w:rFonts w:eastAsia="Verdana"/>
                <w:bCs/>
                <w:lang w:val="en-NZ"/>
              </w:rPr>
              <w:t xml:space="preserve"> </w:t>
            </w:r>
            <w:r w:rsidR="00E52573">
              <w:rPr>
                <w:rFonts w:eastAsia="Verdana"/>
                <w:bCs/>
                <w:lang w:val="en-NZ"/>
              </w:rPr>
              <w:t xml:space="preserve">does not align with </w:t>
            </w:r>
            <w:r w:rsidR="001975D8">
              <w:rPr>
                <w:rFonts w:eastAsia="Verdana"/>
                <w:bCs/>
                <w:lang w:val="en-NZ"/>
              </w:rPr>
              <w:t>the</w:t>
            </w:r>
            <w:r w:rsidR="00E52573">
              <w:rPr>
                <w:rFonts w:eastAsia="Verdana"/>
                <w:bCs/>
                <w:lang w:val="en-NZ"/>
              </w:rPr>
              <w:t xml:space="preserve"> Government</w:t>
            </w:r>
            <w:r w:rsidR="001975D8">
              <w:rPr>
                <w:rFonts w:eastAsia="Verdana"/>
                <w:bCs/>
                <w:lang w:val="en-NZ"/>
              </w:rPr>
              <w:t xml:space="preserve">’s </w:t>
            </w:r>
            <w:r w:rsidR="004B43AB">
              <w:rPr>
                <w:rFonts w:eastAsia="Verdana"/>
                <w:bCs/>
                <w:lang w:val="en-NZ"/>
              </w:rPr>
              <w:t>broad aim of realising</w:t>
            </w:r>
            <w:r w:rsidR="002B300B">
              <w:rPr>
                <w:rFonts w:eastAsia="Verdana"/>
                <w:bCs/>
                <w:lang w:val="en-NZ"/>
              </w:rPr>
              <w:t xml:space="preserve"> </w:t>
            </w:r>
            <w:r w:rsidR="00DF11A7">
              <w:rPr>
                <w:rFonts w:eastAsia="Verdana"/>
                <w:bCs/>
                <w:lang w:val="en-NZ"/>
              </w:rPr>
              <w:t>savings</w:t>
            </w:r>
            <w:r w:rsidR="00293AA6">
              <w:rPr>
                <w:rFonts w:eastAsia="Verdana"/>
                <w:bCs/>
                <w:lang w:val="en-NZ"/>
              </w:rPr>
              <w:t xml:space="preserve">. Current settings can result in </w:t>
            </w:r>
            <w:r w:rsidR="00EE426C">
              <w:rPr>
                <w:rFonts w:eastAsia="Verdana"/>
                <w:bCs/>
                <w:lang w:val="en-NZ"/>
              </w:rPr>
              <w:t>housing subsidies being paid more than once for the same housing costs.</w:t>
            </w:r>
          </w:p>
          <w:p w14:paraId="6C341EED" w14:textId="46D71D7B" w:rsidR="001B7E28" w:rsidRPr="00D14C68" w:rsidRDefault="00F219A0" w:rsidP="006C05B1">
            <w:pPr>
              <w:keepLines/>
              <w:spacing w:before="60" w:after="120" w:line="240" w:lineRule="auto"/>
              <w:jc w:val="left"/>
              <w:rPr>
                <w:rFonts w:eastAsia="Verdana"/>
                <w:b/>
                <w:lang w:val="en-NZ"/>
              </w:rPr>
            </w:pPr>
            <w:r>
              <w:rPr>
                <w:rFonts w:eastAsia="Verdana"/>
                <w:b/>
                <w:lang w:val="en-NZ"/>
              </w:rPr>
              <w:t>0</w:t>
            </w:r>
          </w:p>
        </w:tc>
        <w:tc>
          <w:tcPr>
            <w:tcW w:w="6946" w:type="dxa"/>
          </w:tcPr>
          <w:p w14:paraId="09892293" w14:textId="7BF840D3" w:rsidR="001B7E28" w:rsidRDefault="00EE426C" w:rsidP="006C05B1">
            <w:pPr>
              <w:keepLines/>
              <w:spacing w:before="60" w:after="120" w:line="240" w:lineRule="auto"/>
              <w:jc w:val="left"/>
              <w:rPr>
                <w:rFonts w:eastAsia="Verdana"/>
                <w:bCs/>
                <w:lang w:val="en-NZ"/>
              </w:rPr>
            </w:pPr>
            <w:r>
              <w:rPr>
                <w:rFonts w:eastAsia="Verdana"/>
                <w:bCs/>
                <w:lang w:val="en-NZ"/>
              </w:rPr>
              <w:t xml:space="preserve">Option B aligns with the </w:t>
            </w:r>
            <w:r w:rsidRPr="00EE426C">
              <w:rPr>
                <w:rFonts w:eastAsia="Verdana"/>
                <w:bCs/>
                <w:lang w:val="en-NZ"/>
              </w:rPr>
              <w:t xml:space="preserve">Government’s </w:t>
            </w:r>
            <w:r w:rsidR="004B43AB" w:rsidRPr="004B43AB">
              <w:rPr>
                <w:rFonts w:eastAsia="Verdana"/>
                <w:bCs/>
                <w:lang w:val="en-NZ"/>
              </w:rPr>
              <w:t xml:space="preserve">broad aim of realising </w:t>
            </w:r>
            <w:r w:rsidRPr="00EE426C">
              <w:rPr>
                <w:rFonts w:eastAsia="Verdana"/>
                <w:bCs/>
                <w:lang w:val="en-NZ"/>
              </w:rPr>
              <w:t>savings</w:t>
            </w:r>
            <w:r w:rsidR="00B93EA7">
              <w:rPr>
                <w:rFonts w:eastAsia="Verdana"/>
                <w:bCs/>
                <w:lang w:val="en-NZ"/>
              </w:rPr>
              <w:t xml:space="preserve">. </w:t>
            </w:r>
            <w:r w:rsidR="00B93EA7" w:rsidRPr="00B93EA7">
              <w:rPr>
                <w:rFonts w:eastAsia="Verdana"/>
                <w:bCs/>
                <w:lang w:val="en-NZ"/>
              </w:rPr>
              <w:t xml:space="preserve">Modelling suggests this could result in </w:t>
            </w:r>
            <w:r w:rsidR="003E1E67">
              <w:rPr>
                <w:rFonts w:eastAsia="Verdana"/>
                <w:bCs/>
                <w:lang w:val="en-NZ"/>
              </w:rPr>
              <w:t>an</w:t>
            </w:r>
            <w:r w:rsidR="00B93EA7" w:rsidRPr="00B93EA7">
              <w:rPr>
                <w:rFonts w:eastAsia="Verdana"/>
                <w:bCs/>
                <w:lang w:val="en-NZ"/>
              </w:rPr>
              <w:t xml:space="preserve"> estimated savings of $</w:t>
            </w:r>
            <w:r w:rsidR="003E1E67">
              <w:rPr>
                <w:rFonts w:eastAsia="Verdana"/>
                <w:bCs/>
                <w:lang w:val="en-NZ"/>
              </w:rPr>
              <w:t>150</w:t>
            </w:r>
            <w:r w:rsidR="00194C9F">
              <w:rPr>
                <w:rFonts w:eastAsia="Verdana"/>
                <w:bCs/>
                <w:lang w:val="en-NZ"/>
              </w:rPr>
              <w:t>.96</w:t>
            </w:r>
            <w:r w:rsidR="00B93EA7" w:rsidRPr="00B93EA7">
              <w:rPr>
                <w:rFonts w:eastAsia="Verdana"/>
                <w:bCs/>
                <w:lang w:val="en-NZ"/>
              </w:rPr>
              <w:t xml:space="preserve"> million over the </w:t>
            </w:r>
            <w:r w:rsidR="00B93EA7">
              <w:rPr>
                <w:rFonts w:eastAsia="Verdana"/>
                <w:bCs/>
                <w:lang w:val="en-NZ"/>
              </w:rPr>
              <w:t xml:space="preserve">four-year </w:t>
            </w:r>
            <w:r w:rsidR="00B93EA7" w:rsidRPr="00B93EA7">
              <w:rPr>
                <w:rFonts w:eastAsia="Verdana"/>
                <w:bCs/>
                <w:lang w:val="en-NZ"/>
              </w:rPr>
              <w:t>forecast period</w:t>
            </w:r>
            <w:r w:rsidR="00B93EA7">
              <w:rPr>
                <w:rFonts w:eastAsia="Verdana"/>
                <w:bCs/>
                <w:lang w:val="en-NZ"/>
              </w:rPr>
              <w:t>.</w:t>
            </w:r>
          </w:p>
          <w:p w14:paraId="67A8B605" w14:textId="76738FFC" w:rsidR="001B7E28" w:rsidRPr="001B7E28" w:rsidRDefault="00D0482F" w:rsidP="006C05B1">
            <w:pPr>
              <w:keepLines/>
              <w:spacing w:before="60" w:after="120" w:line="240" w:lineRule="auto"/>
              <w:jc w:val="left"/>
              <w:rPr>
                <w:rFonts w:eastAsia="Verdana"/>
                <w:bCs/>
                <w:lang w:val="en-NZ"/>
              </w:rPr>
            </w:pPr>
            <w:r w:rsidRPr="004F25F7">
              <w:rPr>
                <w:rFonts w:ascii="Wingdings 2" w:eastAsia="Wingdings 2" w:hAnsi="Wingdings 2" w:cs="Wingdings 2"/>
                <w:b/>
                <w:color w:val="00B050"/>
                <w:lang w:val="en-NZ"/>
              </w:rPr>
              <w:t>PP</w:t>
            </w:r>
          </w:p>
        </w:tc>
      </w:tr>
      <w:tr w:rsidR="001B7E28" w:rsidRPr="001B7E28" w14:paraId="24DAA7BE" w14:textId="77777777" w:rsidTr="006D4451">
        <w:tc>
          <w:tcPr>
            <w:tcW w:w="2405" w:type="dxa"/>
            <w:shd w:val="clear" w:color="auto" w:fill="F2F2F2" w:themeFill="background1" w:themeFillShade="F2"/>
          </w:tcPr>
          <w:p w14:paraId="30876F5C" w14:textId="77777777" w:rsidR="001B7E28" w:rsidRPr="001B7E28" w:rsidRDefault="001B7E28" w:rsidP="006C05B1">
            <w:pPr>
              <w:keepLines/>
              <w:spacing w:before="60" w:after="120" w:line="240" w:lineRule="auto"/>
              <w:jc w:val="left"/>
              <w:rPr>
                <w:rFonts w:eastAsia="Verdana" w:cs="Arial"/>
                <w:b/>
                <w:bCs/>
                <w:lang w:val="en-NZ"/>
              </w:rPr>
            </w:pPr>
            <w:r w:rsidRPr="001B7E28">
              <w:rPr>
                <w:rFonts w:eastAsia="Verdana" w:cs="Arial"/>
                <w:b/>
                <w:bCs/>
                <w:lang w:val="en-NZ"/>
              </w:rPr>
              <w:t>Alignment with Te Tiriti</w:t>
            </w:r>
          </w:p>
        </w:tc>
        <w:tc>
          <w:tcPr>
            <w:tcW w:w="5528" w:type="dxa"/>
          </w:tcPr>
          <w:p w14:paraId="704D0BC4" w14:textId="7B7BAB47" w:rsidR="001B7E28" w:rsidRDefault="00AA3D81" w:rsidP="006C05B1">
            <w:pPr>
              <w:keepLines/>
              <w:spacing w:before="60" w:after="120" w:line="240" w:lineRule="auto"/>
              <w:jc w:val="left"/>
              <w:rPr>
                <w:rFonts w:eastAsia="Verdana" w:cs="Arial"/>
                <w:bCs/>
                <w:lang w:val="en-NZ"/>
              </w:rPr>
            </w:pPr>
            <w:r>
              <w:rPr>
                <w:rFonts w:eastAsia="Verdana" w:cs="Arial"/>
                <w:bCs/>
                <w:lang w:val="en-NZ"/>
              </w:rPr>
              <w:t xml:space="preserve">There </w:t>
            </w:r>
            <w:r w:rsidR="00CF2EA7">
              <w:rPr>
                <w:rFonts w:eastAsia="Verdana" w:cs="Arial"/>
                <w:bCs/>
                <w:lang w:val="en-NZ"/>
              </w:rPr>
              <w:t xml:space="preserve">is no record of </w:t>
            </w:r>
            <w:r w:rsidR="00842E4A" w:rsidRPr="00842E4A">
              <w:rPr>
                <w:rFonts w:eastAsia="Verdana" w:cs="Arial"/>
                <w:bCs/>
                <w:lang w:val="en-NZ"/>
              </w:rPr>
              <w:t xml:space="preserve">targeted consultation with Māori </w:t>
            </w:r>
            <w:r w:rsidR="007E231B">
              <w:rPr>
                <w:rFonts w:eastAsia="Verdana" w:cs="Arial"/>
                <w:bCs/>
                <w:lang w:val="en-NZ"/>
              </w:rPr>
              <w:t xml:space="preserve">or </w:t>
            </w:r>
            <w:r w:rsidR="007E231B" w:rsidRPr="007E231B">
              <w:rPr>
                <w:rFonts w:eastAsia="Verdana" w:cs="Arial"/>
                <w:bCs/>
                <w:lang w:val="en-NZ"/>
              </w:rPr>
              <w:t xml:space="preserve">the Waitangi Tribunal </w:t>
            </w:r>
            <w:r w:rsidR="00842E4A" w:rsidRPr="00842E4A">
              <w:rPr>
                <w:rFonts w:eastAsia="Verdana" w:cs="Arial"/>
                <w:bCs/>
                <w:lang w:val="en-NZ"/>
              </w:rPr>
              <w:t xml:space="preserve">in the original development of </w:t>
            </w:r>
            <w:r w:rsidR="00842E4A">
              <w:rPr>
                <w:rFonts w:eastAsia="Verdana" w:cs="Arial"/>
                <w:bCs/>
                <w:lang w:val="en-NZ"/>
              </w:rPr>
              <w:t>the existing boarder contributions setting</w:t>
            </w:r>
            <w:r w:rsidR="007136F0">
              <w:rPr>
                <w:rFonts w:eastAsia="Verdana" w:cs="Arial"/>
                <w:bCs/>
                <w:lang w:val="en-NZ"/>
              </w:rPr>
              <w:t>s.</w:t>
            </w:r>
          </w:p>
          <w:p w14:paraId="1B5D2460" w14:textId="4E51BCB9" w:rsidR="001B7E28" w:rsidRPr="00F219A0" w:rsidRDefault="00000B18" w:rsidP="006C05B1">
            <w:pPr>
              <w:keepLines/>
              <w:spacing w:before="60" w:after="120" w:line="240" w:lineRule="auto"/>
              <w:jc w:val="left"/>
              <w:rPr>
                <w:rFonts w:eastAsia="Verdana" w:cs="Arial"/>
                <w:b/>
                <w:lang w:val="en-NZ"/>
              </w:rPr>
            </w:pPr>
            <w:r w:rsidRPr="00F219A0">
              <w:rPr>
                <w:rFonts w:eastAsia="Verdana" w:cs="Arial"/>
                <w:b/>
                <w:lang w:val="en-NZ"/>
              </w:rPr>
              <w:t>0</w:t>
            </w:r>
          </w:p>
        </w:tc>
        <w:tc>
          <w:tcPr>
            <w:tcW w:w="6946" w:type="dxa"/>
          </w:tcPr>
          <w:p w14:paraId="5E564FDE" w14:textId="3EA4B0A0" w:rsidR="00752CAE" w:rsidRPr="00752CAE" w:rsidRDefault="00752CAE" w:rsidP="006C05B1">
            <w:pPr>
              <w:keepLines/>
              <w:spacing w:before="60" w:after="120" w:line="240" w:lineRule="auto"/>
              <w:jc w:val="left"/>
              <w:rPr>
                <w:rFonts w:eastAsia="Verdana" w:cs="Arial"/>
                <w:bCs/>
                <w:lang w:val="en-NZ"/>
              </w:rPr>
            </w:pPr>
            <w:r w:rsidRPr="00752CAE">
              <w:rPr>
                <w:rFonts w:eastAsia="Verdana" w:cs="Arial"/>
                <w:bCs/>
                <w:lang w:val="en-NZ"/>
              </w:rPr>
              <w:t xml:space="preserve">As Māori have not been consulted on </w:t>
            </w:r>
            <w:r>
              <w:rPr>
                <w:rFonts w:eastAsia="Verdana" w:cs="Arial"/>
                <w:bCs/>
                <w:lang w:val="en-NZ"/>
              </w:rPr>
              <w:t>Option B settings</w:t>
            </w:r>
            <w:r w:rsidRPr="00752CAE">
              <w:rPr>
                <w:rFonts w:eastAsia="Verdana" w:cs="Arial"/>
                <w:bCs/>
                <w:lang w:val="en-NZ"/>
              </w:rPr>
              <w:t>, this initiative risks breaching the Crown’s obligation under Article One of the Treaty of Waitangi to act in good faith, including consulting with Māori where there are Māori interests involved.</w:t>
            </w:r>
            <w:r w:rsidR="0055259F">
              <w:rPr>
                <w:rFonts w:eastAsia="Verdana" w:cs="Arial"/>
                <w:bCs/>
                <w:lang w:val="en-NZ"/>
              </w:rPr>
              <w:t xml:space="preserve"> </w:t>
            </w:r>
            <w:r w:rsidR="0092295E">
              <w:rPr>
                <w:rFonts w:eastAsia="Verdana" w:cs="Arial"/>
                <w:bCs/>
                <w:lang w:val="en-NZ"/>
              </w:rPr>
              <w:t>Option B may have a disproportionate impact</w:t>
            </w:r>
            <w:r w:rsidRPr="00752CAE">
              <w:rPr>
                <w:rFonts w:eastAsia="Verdana" w:cs="Arial"/>
                <w:bCs/>
                <w:lang w:val="en-NZ"/>
              </w:rPr>
              <w:t xml:space="preserve"> </w:t>
            </w:r>
            <w:r w:rsidR="0047752C">
              <w:rPr>
                <w:rFonts w:eastAsia="Verdana" w:cs="Arial"/>
                <w:bCs/>
                <w:lang w:val="en-NZ"/>
              </w:rPr>
              <w:t>on Māori.</w:t>
            </w:r>
          </w:p>
          <w:p w14:paraId="21011186" w14:textId="56D42651" w:rsidR="00000B18" w:rsidRPr="00752CAE" w:rsidRDefault="0066330F" w:rsidP="006C05B1">
            <w:pPr>
              <w:keepLines/>
              <w:spacing w:before="60" w:after="120" w:line="240" w:lineRule="auto"/>
              <w:jc w:val="left"/>
              <w:rPr>
                <w:rFonts w:eastAsia="Verdana" w:cs="Arial"/>
                <w:b/>
                <w:lang w:val="en-NZ"/>
              </w:rPr>
            </w:pPr>
            <w:r w:rsidRPr="000F2542">
              <w:rPr>
                <w:rFonts w:ascii="Wingdings 2" w:eastAsia="Wingdings 2" w:hAnsi="Wingdings 2" w:cs="Wingdings 2"/>
                <w:color w:val="FF0000"/>
                <w:szCs w:val="22"/>
                <w:lang w:val="en-NZ"/>
              </w:rPr>
              <w:t>O</w:t>
            </w:r>
          </w:p>
          <w:p w14:paraId="671ED4E8" w14:textId="26B764DB" w:rsidR="001B7E28" w:rsidRPr="001B7E28" w:rsidRDefault="001B7E28" w:rsidP="006C05B1">
            <w:pPr>
              <w:keepLines/>
              <w:spacing w:before="60" w:after="120" w:line="240" w:lineRule="auto"/>
              <w:jc w:val="left"/>
              <w:rPr>
                <w:rFonts w:eastAsia="Verdana" w:cs="Arial"/>
                <w:bCs/>
                <w:lang w:val="en-NZ"/>
              </w:rPr>
            </w:pPr>
          </w:p>
        </w:tc>
      </w:tr>
      <w:tr w:rsidR="001B7E28" w:rsidRPr="001B7E28" w14:paraId="5A8C3BAE" w14:textId="77777777" w:rsidTr="006D4451">
        <w:tc>
          <w:tcPr>
            <w:tcW w:w="2405" w:type="dxa"/>
            <w:shd w:val="clear" w:color="auto" w:fill="F2F2F2" w:themeFill="background1" w:themeFillShade="F2"/>
          </w:tcPr>
          <w:p w14:paraId="7361E73B" w14:textId="77777777" w:rsidR="001B7E28" w:rsidRPr="001B7E28" w:rsidRDefault="001B7E28" w:rsidP="006C05B1">
            <w:pPr>
              <w:keepLines/>
              <w:spacing w:before="60" w:after="120" w:line="240" w:lineRule="auto"/>
              <w:jc w:val="left"/>
              <w:rPr>
                <w:rFonts w:eastAsia="Verdana"/>
                <w:b/>
                <w:bCs/>
                <w:lang w:val="en-NZ"/>
              </w:rPr>
            </w:pPr>
            <w:r w:rsidRPr="001B7E28">
              <w:rPr>
                <w:rFonts w:eastAsia="Verdana"/>
                <w:b/>
                <w:bCs/>
                <w:lang w:val="en-NZ"/>
              </w:rPr>
              <w:t xml:space="preserve">Overall assessment </w:t>
            </w:r>
          </w:p>
        </w:tc>
        <w:tc>
          <w:tcPr>
            <w:tcW w:w="5528" w:type="dxa"/>
          </w:tcPr>
          <w:p w14:paraId="0DF0C004" w14:textId="13FA81BB" w:rsidR="001B7E28" w:rsidRPr="00D0482F" w:rsidRDefault="00D0482F" w:rsidP="006C05B1">
            <w:pPr>
              <w:keepLines/>
              <w:spacing w:before="60" w:after="120" w:line="240" w:lineRule="auto"/>
              <w:jc w:val="left"/>
              <w:rPr>
                <w:rFonts w:eastAsia="Verdana"/>
                <w:b/>
                <w:lang w:val="en-NZ"/>
              </w:rPr>
            </w:pPr>
            <w:r>
              <w:rPr>
                <w:rFonts w:eastAsia="Verdana"/>
                <w:b/>
                <w:lang w:val="en-NZ"/>
              </w:rPr>
              <w:t>0</w:t>
            </w:r>
          </w:p>
        </w:tc>
        <w:tc>
          <w:tcPr>
            <w:tcW w:w="6946" w:type="dxa"/>
          </w:tcPr>
          <w:p w14:paraId="68031D69" w14:textId="68FBBCFC" w:rsidR="001B7E28" w:rsidRPr="001B7E28" w:rsidRDefault="00D0482F" w:rsidP="006C05B1">
            <w:pPr>
              <w:keepLines/>
              <w:spacing w:before="60" w:after="120" w:line="240" w:lineRule="auto"/>
              <w:jc w:val="left"/>
              <w:rPr>
                <w:rFonts w:eastAsia="Verdana"/>
                <w:bCs/>
                <w:lang w:val="en-NZ"/>
              </w:rPr>
            </w:pPr>
            <w:r w:rsidRPr="004F25F7">
              <w:rPr>
                <w:rFonts w:ascii="Wingdings 2" w:eastAsia="Wingdings 2" w:hAnsi="Wingdings 2" w:cs="Wingdings 2"/>
                <w:b/>
                <w:color w:val="00B050"/>
                <w:lang w:val="en-NZ"/>
              </w:rPr>
              <w:t>P</w:t>
            </w:r>
          </w:p>
        </w:tc>
      </w:tr>
    </w:tbl>
    <w:p w14:paraId="78B3EA14" w14:textId="0D6CC901" w:rsidR="00224336" w:rsidRDefault="00224336" w:rsidP="006C05B1">
      <w:pPr>
        <w:spacing w:after="0" w:line="240" w:lineRule="auto"/>
        <w:rPr>
          <w:rFonts w:ascii="Verdana" w:hAnsi="Verdana" w:cs="Arial"/>
          <w:color w:val="000000"/>
          <w:szCs w:val="22"/>
          <w:shd w:val="clear" w:color="auto" w:fill="FFFFFF"/>
        </w:rPr>
      </w:pPr>
    </w:p>
    <w:p w14:paraId="307F0164" w14:textId="07FCEEDD" w:rsidR="00F73E45" w:rsidRDefault="00F73E45" w:rsidP="006C05B1">
      <w:pPr>
        <w:spacing w:after="0" w:line="240" w:lineRule="auto"/>
        <w:rPr>
          <w:rFonts w:ascii="Verdana" w:hAnsi="Verdana" w:cs="Arial"/>
          <w:color w:val="000000"/>
          <w:szCs w:val="22"/>
          <w:shd w:val="clear" w:color="auto" w:fill="FFFFFF"/>
        </w:rPr>
      </w:pPr>
      <w:r w:rsidRPr="001B7E28">
        <w:rPr>
          <w:rFonts w:eastAsia="Verdana" w:cs="Arial"/>
          <w:b/>
          <w:bCs/>
          <w:noProof/>
          <w:lang w:val="en-NZ"/>
        </w:rPr>
        <mc:AlternateContent>
          <mc:Choice Requires="wps">
            <w:drawing>
              <wp:anchor distT="45720" distB="45720" distL="114300" distR="114300" simplePos="0" relativeHeight="251658240" behindDoc="0" locked="0" layoutInCell="1" allowOverlap="1" wp14:anchorId="42CF6804" wp14:editId="5A4E20C7">
                <wp:simplePos x="0" y="0"/>
                <wp:positionH relativeFrom="margin">
                  <wp:align>left</wp:align>
                </wp:positionH>
                <wp:positionV relativeFrom="paragraph">
                  <wp:posOffset>39857</wp:posOffset>
                </wp:positionV>
                <wp:extent cx="8877300" cy="138112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0" cy="1381125"/>
                        </a:xfrm>
                        <a:prstGeom prst="rect">
                          <a:avLst/>
                        </a:prstGeom>
                        <a:solidFill>
                          <a:srgbClr val="FFFFFF"/>
                        </a:solidFill>
                        <a:ln w="9525">
                          <a:solidFill>
                            <a:srgbClr val="000000"/>
                          </a:solidFill>
                          <a:miter lim="800000"/>
                          <a:headEnd/>
                          <a:tailEnd/>
                        </a:ln>
                      </wps:spPr>
                      <wps:txbx>
                        <w:txbxContent>
                          <w:p w14:paraId="27387CF0" w14:textId="77777777" w:rsidR="008D082D" w:rsidRPr="00E046DD" w:rsidRDefault="008D082D" w:rsidP="008D082D">
                            <w:pPr>
                              <w:spacing w:before="60" w:after="60" w:line="276" w:lineRule="auto"/>
                              <w:ind w:left="709" w:hanging="709"/>
                              <w:rPr>
                                <w:b/>
                              </w:rPr>
                            </w:pPr>
                            <w:r w:rsidRPr="00E046DD">
                              <w:rPr>
                                <w:b/>
                              </w:rPr>
                              <w:t>Key</w:t>
                            </w:r>
                            <w:r>
                              <w:rPr>
                                <w:b/>
                              </w:rPr>
                              <w:t xml:space="preserve"> for qualitative assessment</w:t>
                            </w:r>
                          </w:p>
                          <w:p w14:paraId="3D1DD190" w14:textId="77777777" w:rsidR="008D082D" w:rsidRPr="00927135" w:rsidRDefault="008D082D" w:rsidP="008D082D">
                            <w:pPr>
                              <w:spacing w:before="60" w:after="60" w:line="276" w:lineRule="auto"/>
                              <w:ind w:left="709" w:hanging="709"/>
                              <w:rPr>
                                <w:sz w:val="18"/>
                                <w:szCs w:val="18"/>
                              </w:rPr>
                            </w:pPr>
                            <w:r w:rsidRPr="004F25F7">
                              <w:rPr>
                                <w:rFonts w:ascii="Wingdings 2" w:eastAsia="Wingdings 2" w:hAnsi="Wingdings 2" w:cs="Wingdings 2"/>
                                <w:b/>
                                <w:color w:val="00B050"/>
                                <w:lang w:val="en-NZ"/>
                              </w:rPr>
                              <w:t>PP</w:t>
                            </w:r>
                            <w:r w:rsidRPr="00927135">
                              <w:tab/>
                            </w:r>
                            <w:r w:rsidRPr="00927135">
                              <w:rPr>
                                <w:sz w:val="18"/>
                                <w:szCs w:val="18"/>
                              </w:rPr>
                              <w:t>much better than doing nothing/the status quo/counterfactual</w:t>
                            </w:r>
                          </w:p>
                          <w:p w14:paraId="3BFD5B01" w14:textId="77777777" w:rsidR="008D082D" w:rsidRPr="00927135" w:rsidRDefault="008D082D" w:rsidP="008D082D">
                            <w:pPr>
                              <w:spacing w:before="60" w:after="60" w:line="276" w:lineRule="auto"/>
                              <w:ind w:left="709" w:hanging="709"/>
                              <w:rPr>
                                <w:sz w:val="18"/>
                                <w:szCs w:val="18"/>
                              </w:rPr>
                            </w:pPr>
                            <w:r w:rsidRPr="004F25F7">
                              <w:rPr>
                                <w:rFonts w:ascii="Wingdings 2" w:eastAsia="Wingdings 2" w:hAnsi="Wingdings 2" w:cs="Wingdings 2"/>
                                <w:b/>
                                <w:color w:val="00B050"/>
                                <w:lang w:val="en-NZ"/>
                              </w:rPr>
                              <w:t>P</w:t>
                            </w:r>
                            <w:r w:rsidRPr="00927135">
                              <w:rPr>
                                <w:color w:val="00B050"/>
                              </w:rPr>
                              <w:tab/>
                            </w:r>
                            <w:r w:rsidRPr="00927135">
                              <w:rPr>
                                <w:sz w:val="18"/>
                                <w:szCs w:val="18"/>
                              </w:rPr>
                              <w:t>better than doing nothing/the status quo/counterfactual</w:t>
                            </w:r>
                          </w:p>
                          <w:p w14:paraId="0198F91A" w14:textId="77777777" w:rsidR="008D082D" w:rsidRPr="00927135" w:rsidRDefault="008D082D" w:rsidP="008D082D">
                            <w:pPr>
                              <w:spacing w:before="60" w:after="60" w:line="276" w:lineRule="auto"/>
                              <w:ind w:left="709" w:hanging="709"/>
                              <w:rPr>
                                <w:sz w:val="18"/>
                                <w:szCs w:val="18"/>
                              </w:rPr>
                            </w:pPr>
                            <w:r w:rsidRPr="00927135">
                              <w:rPr>
                                <w:b/>
                              </w:rPr>
                              <w:t>0</w:t>
                            </w:r>
                            <w:r w:rsidRPr="00927135">
                              <w:tab/>
                            </w:r>
                            <w:r w:rsidRPr="00927135">
                              <w:rPr>
                                <w:sz w:val="18"/>
                                <w:szCs w:val="18"/>
                              </w:rPr>
                              <w:t>about the same as doing nothing/the status quo/counterfactual</w:t>
                            </w:r>
                          </w:p>
                          <w:p w14:paraId="649915B6" w14:textId="77777777" w:rsidR="008D082D" w:rsidRPr="00927135" w:rsidRDefault="008D082D" w:rsidP="008D082D">
                            <w:pPr>
                              <w:spacing w:before="60" w:after="60" w:line="276" w:lineRule="auto"/>
                              <w:ind w:left="709" w:hanging="709"/>
                              <w:rPr>
                                <w:sz w:val="18"/>
                                <w:szCs w:val="18"/>
                              </w:rPr>
                            </w:pPr>
                            <w:r w:rsidRPr="000F2542">
                              <w:rPr>
                                <w:rFonts w:ascii="Wingdings 2" w:eastAsia="Wingdings 2" w:hAnsi="Wingdings 2" w:cs="Wingdings 2"/>
                                <w:color w:val="FF0000"/>
                                <w:szCs w:val="22"/>
                                <w:lang w:val="en-NZ"/>
                              </w:rPr>
                              <w:t>O</w:t>
                            </w:r>
                            <w:r w:rsidRPr="00927135">
                              <w:tab/>
                            </w:r>
                            <w:r w:rsidRPr="00927135">
                              <w:rPr>
                                <w:sz w:val="18"/>
                                <w:szCs w:val="18"/>
                              </w:rPr>
                              <w:t>worse than doing nothing/the status quo/counterfactual</w:t>
                            </w:r>
                          </w:p>
                          <w:p w14:paraId="5FE2DAF5" w14:textId="77777777" w:rsidR="008D082D" w:rsidRPr="00927135" w:rsidRDefault="008D082D" w:rsidP="008D082D">
                            <w:pPr>
                              <w:spacing w:line="276" w:lineRule="auto"/>
                              <w:ind w:left="709" w:hanging="709"/>
                              <w:rPr>
                                <w:sz w:val="18"/>
                                <w:szCs w:val="18"/>
                              </w:rPr>
                            </w:pPr>
                            <w:r w:rsidRPr="000F2542">
                              <w:rPr>
                                <w:rFonts w:ascii="Wingdings 2" w:eastAsia="Wingdings 2" w:hAnsi="Wingdings 2" w:cs="Wingdings 2"/>
                                <w:color w:val="FF0000"/>
                                <w:szCs w:val="22"/>
                                <w:lang w:val="en-NZ"/>
                              </w:rPr>
                              <w:t>OO</w:t>
                            </w:r>
                            <w:r w:rsidRPr="00927135">
                              <w:rPr>
                                <w:color w:val="FF0000"/>
                              </w:rPr>
                              <w:tab/>
                            </w:r>
                            <w:r w:rsidRPr="00927135">
                              <w:rPr>
                                <w:sz w:val="18"/>
                                <w:szCs w:val="18"/>
                              </w:rPr>
                              <w:t>much worse than doing nothing/the status quo/counterfactual</w:t>
                            </w:r>
                          </w:p>
                          <w:p w14:paraId="1CF6C744" w14:textId="77777777" w:rsidR="008D082D" w:rsidRDefault="008D082D" w:rsidP="008D08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CF6804" id="_x0000_t202" coordsize="21600,21600" o:spt="202" path="m,l,21600r21600,l21600,xe">
                <v:stroke joinstyle="miter"/>
                <v:path gradientshapeok="t" o:connecttype="rect"/>
              </v:shapetype>
              <v:shape id="Text Box 217" o:spid="_x0000_s1026" type="#_x0000_t202" style="position:absolute;margin-left:0;margin-top:3.15pt;width:699pt;height:108.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">
                <v:textbox>
                  <w:txbxContent>
                    <w:p w14:paraId="27387CF0" w14:textId="77777777" w:rsidR="008D082D" w:rsidRPr="00E046DD" w:rsidRDefault="008D082D" w:rsidP="008D082D">
                      <w:pPr>
                        <w:spacing w:before="60" w:after="60" w:line="276" w:lineRule="auto"/>
                        <w:ind w:left="709" w:hanging="709"/>
                        <w:rPr>
                          <w:b/>
                        </w:rPr>
                      </w:pPr>
                      <w:r w:rsidRPr="00E046DD">
                        <w:rPr>
                          <w:b/>
                        </w:rPr>
                        <w:t>Key</w:t>
                      </w:r>
                      <w:r>
                        <w:rPr>
                          <w:b/>
                        </w:rPr>
                        <w:t xml:space="preserve"> for qualitative assessment</w:t>
                      </w:r>
                    </w:p>
                    <w:p w14:paraId="3D1DD190" w14:textId="77777777" w:rsidR="008D082D" w:rsidRPr="00927135" w:rsidRDefault="008D082D" w:rsidP="008D082D">
                      <w:pPr>
                        <w:spacing w:before="60" w:after="60" w:line="276" w:lineRule="auto"/>
                        <w:ind w:left="709" w:hanging="709"/>
                        <w:rPr>
                          <w:sz w:val="18"/>
                          <w:szCs w:val="18"/>
                        </w:rPr>
                      </w:pPr>
                      <w:r w:rsidRPr="004F25F7">
                        <w:rPr>
                          <w:rFonts w:ascii="Wingdings 2" w:eastAsia="Wingdings 2" w:hAnsi="Wingdings 2" w:cs="Wingdings 2"/>
                          <w:b/>
                          <w:color w:val="00B050"/>
                          <w:lang w:val="en-NZ"/>
                        </w:rPr>
                        <w:t>PP</w:t>
                      </w:r>
                      <w:r w:rsidRPr="00927135">
                        <w:tab/>
                      </w:r>
                      <w:r w:rsidRPr="00927135">
                        <w:rPr>
                          <w:sz w:val="18"/>
                          <w:szCs w:val="18"/>
                        </w:rPr>
                        <w:t>much better than doing nothing/the status quo/counterfactual</w:t>
                      </w:r>
                    </w:p>
                    <w:p w14:paraId="3BFD5B01" w14:textId="77777777" w:rsidR="008D082D" w:rsidRPr="00927135" w:rsidRDefault="008D082D" w:rsidP="008D082D">
                      <w:pPr>
                        <w:spacing w:before="60" w:after="60" w:line="276" w:lineRule="auto"/>
                        <w:ind w:left="709" w:hanging="709"/>
                        <w:rPr>
                          <w:sz w:val="18"/>
                          <w:szCs w:val="18"/>
                        </w:rPr>
                      </w:pPr>
                      <w:r w:rsidRPr="004F25F7">
                        <w:rPr>
                          <w:rFonts w:ascii="Wingdings 2" w:eastAsia="Wingdings 2" w:hAnsi="Wingdings 2" w:cs="Wingdings 2"/>
                          <w:b/>
                          <w:color w:val="00B050"/>
                          <w:lang w:val="en-NZ"/>
                        </w:rPr>
                        <w:t>P</w:t>
                      </w:r>
                      <w:r w:rsidRPr="00927135">
                        <w:rPr>
                          <w:color w:val="00B050"/>
                        </w:rPr>
                        <w:tab/>
                      </w:r>
                      <w:r w:rsidRPr="00927135">
                        <w:rPr>
                          <w:sz w:val="18"/>
                          <w:szCs w:val="18"/>
                        </w:rPr>
                        <w:t>better than doing nothing/the status quo/counterfactual</w:t>
                      </w:r>
                    </w:p>
                    <w:p w14:paraId="0198F91A" w14:textId="77777777" w:rsidR="008D082D" w:rsidRPr="00927135" w:rsidRDefault="008D082D" w:rsidP="008D082D">
                      <w:pPr>
                        <w:spacing w:before="60" w:after="60" w:line="276" w:lineRule="auto"/>
                        <w:ind w:left="709" w:hanging="709"/>
                        <w:rPr>
                          <w:sz w:val="18"/>
                          <w:szCs w:val="18"/>
                        </w:rPr>
                      </w:pPr>
                      <w:r w:rsidRPr="00927135">
                        <w:rPr>
                          <w:b/>
                        </w:rPr>
                        <w:t>0</w:t>
                      </w:r>
                      <w:r w:rsidRPr="00927135">
                        <w:tab/>
                      </w:r>
                      <w:r w:rsidRPr="00927135">
                        <w:rPr>
                          <w:sz w:val="18"/>
                          <w:szCs w:val="18"/>
                        </w:rPr>
                        <w:t>about the same as doing nothing/the status quo/counterfactual</w:t>
                      </w:r>
                    </w:p>
                    <w:p w14:paraId="649915B6" w14:textId="77777777" w:rsidR="008D082D" w:rsidRPr="00927135" w:rsidRDefault="008D082D" w:rsidP="008D082D">
                      <w:pPr>
                        <w:spacing w:before="60" w:after="60" w:line="276" w:lineRule="auto"/>
                        <w:ind w:left="709" w:hanging="709"/>
                        <w:rPr>
                          <w:sz w:val="18"/>
                          <w:szCs w:val="18"/>
                        </w:rPr>
                      </w:pPr>
                      <w:r w:rsidRPr="000F2542">
                        <w:rPr>
                          <w:rFonts w:ascii="Wingdings 2" w:eastAsia="Wingdings 2" w:hAnsi="Wingdings 2" w:cs="Wingdings 2"/>
                          <w:color w:val="FF0000"/>
                          <w:szCs w:val="22"/>
                          <w:lang w:val="en-NZ"/>
                        </w:rPr>
                        <w:t>O</w:t>
                      </w:r>
                      <w:r w:rsidRPr="00927135">
                        <w:tab/>
                      </w:r>
                      <w:r w:rsidRPr="00927135">
                        <w:rPr>
                          <w:sz w:val="18"/>
                          <w:szCs w:val="18"/>
                        </w:rPr>
                        <w:t>worse than doing nothing/the status quo/counterfactual</w:t>
                      </w:r>
                    </w:p>
                    <w:p w14:paraId="5FE2DAF5" w14:textId="77777777" w:rsidR="008D082D" w:rsidRPr="00927135" w:rsidRDefault="008D082D" w:rsidP="008D082D">
                      <w:pPr>
                        <w:spacing w:line="276" w:lineRule="auto"/>
                        <w:ind w:left="709" w:hanging="709"/>
                        <w:rPr>
                          <w:sz w:val="18"/>
                          <w:szCs w:val="18"/>
                        </w:rPr>
                      </w:pPr>
                      <w:r w:rsidRPr="000F2542">
                        <w:rPr>
                          <w:rFonts w:ascii="Wingdings 2" w:eastAsia="Wingdings 2" w:hAnsi="Wingdings 2" w:cs="Wingdings 2"/>
                          <w:color w:val="FF0000"/>
                          <w:szCs w:val="22"/>
                          <w:lang w:val="en-NZ"/>
                        </w:rPr>
                        <w:t>OO</w:t>
                      </w:r>
                      <w:r w:rsidRPr="00927135">
                        <w:rPr>
                          <w:color w:val="FF0000"/>
                        </w:rPr>
                        <w:tab/>
                      </w:r>
                      <w:r w:rsidRPr="00927135">
                        <w:rPr>
                          <w:sz w:val="18"/>
                          <w:szCs w:val="18"/>
                        </w:rPr>
                        <w:t>much worse than doing nothing/the status quo/counterfactual</w:t>
                      </w:r>
                    </w:p>
                    <w:p w14:paraId="1CF6C744" w14:textId="77777777" w:rsidR="008D082D" w:rsidRDefault="008D082D" w:rsidP="008D082D"/>
                  </w:txbxContent>
                </v:textbox>
                <w10:wrap type="square" anchorx="margin"/>
              </v:shape>
            </w:pict>
          </mc:Fallback>
        </mc:AlternateContent>
      </w:r>
    </w:p>
    <w:p w14:paraId="12692866" w14:textId="2193573F" w:rsidR="00F73E45" w:rsidRDefault="00F73E45" w:rsidP="006C05B1">
      <w:pPr>
        <w:spacing w:after="0" w:line="240" w:lineRule="auto"/>
        <w:rPr>
          <w:rFonts w:ascii="Verdana" w:hAnsi="Verdana" w:cs="Arial"/>
          <w:color w:val="000000"/>
          <w:szCs w:val="22"/>
          <w:shd w:val="clear" w:color="auto" w:fill="FFFFFF"/>
        </w:rPr>
      </w:pPr>
    </w:p>
    <w:p w14:paraId="767D98B4" w14:textId="593826AA" w:rsidR="00F73E45" w:rsidRDefault="00F73E45" w:rsidP="006C05B1">
      <w:pPr>
        <w:spacing w:after="0" w:line="240" w:lineRule="auto"/>
        <w:rPr>
          <w:rFonts w:ascii="Verdana" w:hAnsi="Verdana" w:cs="Arial"/>
          <w:color w:val="000000"/>
          <w:szCs w:val="22"/>
          <w:shd w:val="clear" w:color="auto" w:fill="FFFFFF"/>
        </w:rPr>
      </w:pPr>
    </w:p>
    <w:p w14:paraId="749B5224" w14:textId="77777777" w:rsidR="00F73E45" w:rsidRDefault="00F73E45" w:rsidP="006C05B1">
      <w:pPr>
        <w:spacing w:after="0" w:line="240" w:lineRule="auto"/>
        <w:rPr>
          <w:rFonts w:ascii="Verdana" w:hAnsi="Verdana" w:cs="Arial"/>
          <w:color w:val="000000"/>
          <w:szCs w:val="22"/>
          <w:shd w:val="clear" w:color="auto" w:fill="FFFFFF"/>
        </w:rPr>
      </w:pPr>
    </w:p>
    <w:p w14:paraId="73853382" w14:textId="77777777" w:rsidR="00F73E45" w:rsidRDefault="00F73E45" w:rsidP="006C05B1">
      <w:pPr>
        <w:spacing w:after="0" w:line="240" w:lineRule="auto"/>
        <w:rPr>
          <w:rFonts w:ascii="Verdana" w:hAnsi="Verdana" w:cs="Arial"/>
          <w:color w:val="000000"/>
          <w:szCs w:val="22"/>
          <w:shd w:val="clear" w:color="auto" w:fill="FFFFFF"/>
        </w:rPr>
      </w:pPr>
    </w:p>
    <w:p w14:paraId="107E090B" w14:textId="553EA5B4" w:rsidR="00F73E45" w:rsidRDefault="00F73E45" w:rsidP="006C05B1">
      <w:pPr>
        <w:spacing w:after="0" w:line="240" w:lineRule="auto"/>
        <w:rPr>
          <w:rFonts w:ascii="Verdana" w:hAnsi="Verdana" w:cs="Arial"/>
          <w:color w:val="000000"/>
          <w:szCs w:val="22"/>
          <w:shd w:val="clear" w:color="auto" w:fill="FFFFFF"/>
        </w:rPr>
      </w:pPr>
    </w:p>
    <w:p w14:paraId="2AB4F117" w14:textId="4B2A37A4" w:rsidR="00F73E45" w:rsidRDefault="00F73E45" w:rsidP="006C05B1">
      <w:pPr>
        <w:spacing w:after="0" w:line="240" w:lineRule="auto"/>
        <w:rPr>
          <w:rFonts w:ascii="Verdana" w:hAnsi="Verdana" w:cs="Arial"/>
          <w:color w:val="000000"/>
          <w:szCs w:val="22"/>
          <w:shd w:val="clear" w:color="auto" w:fill="FFFFFF"/>
        </w:rPr>
      </w:pPr>
    </w:p>
    <w:p w14:paraId="47207E2F" w14:textId="2ADFE457" w:rsidR="00F73E45" w:rsidRDefault="00F73E45" w:rsidP="006C05B1">
      <w:pPr>
        <w:spacing w:after="0" w:line="240" w:lineRule="auto"/>
        <w:rPr>
          <w:rFonts w:ascii="Verdana" w:hAnsi="Verdana" w:cs="Arial"/>
          <w:color w:val="000000"/>
          <w:szCs w:val="22"/>
          <w:shd w:val="clear" w:color="auto" w:fill="FFFFFF"/>
        </w:rPr>
      </w:pPr>
    </w:p>
    <w:p w14:paraId="45D2DEF7" w14:textId="5F447167" w:rsidR="00F73E45" w:rsidRDefault="00F73E45" w:rsidP="006C05B1">
      <w:pPr>
        <w:spacing w:after="0" w:line="240" w:lineRule="auto"/>
        <w:rPr>
          <w:rFonts w:ascii="Verdana" w:hAnsi="Verdana" w:cs="Arial"/>
          <w:color w:val="000000"/>
          <w:szCs w:val="22"/>
          <w:shd w:val="clear" w:color="auto" w:fill="FFFFFF"/>
        </w:rPr>
      </w:pPr>
    </w:p>
    <w:p w14:paraId="423FF417" w14:textId="23CC3E19" w:rsidR="00F73E45" w:rsidRDefault="00F73E45" w:rsidP="006C05B1">
      <w:pPr>
        <w:spacing w:after="0" w:line="240" w:lineRule="auto"/>
        <w:rPr>
          <w:rFonts w:ascii="Verdana" w:hAnsi="Verdana" w:cs="Arial"/>
          <w:color w:val="000000"/>
          <w:szCs w:val="22"/>
          <w:shd w:val="clear" w:color="auto" w:fill="FFFFFF"/>
        </w:rPr>
      </w:pPr>
    </w:p>
    <w:p w14:paraId="40A08AB1" w14:textId="77777777" w:rsidR="00F66AC1" w:rsidRDefault="00F66AC1" w:rsidP="006C05B1">
      <w:pPr>
        <w:spacing w:after="0" w:line="240" w:lineRule="auto"/>
        <w:rPr>
          <w:lang w:val="en-NZ"/>
        </w:rPr>
        <w:sectPr w:rsidR="00F66AC1" w:rsidSect="005D7F29">
          <w:pgSz w:w="16838" w:h="11906" w:orient="landscape" w:code="9"/>
          <w:pgMar w:top="1418" w:right="1134" w:bottom="1418" w:left="992" w:header="454" w:footer="454" w:gutter="0"/>
          <w:cols w:space="708"/>
          <w:docGrid w:linePitch="360"/>
        </w:sectPr>
      </w:pPr>
    </w:p>
    <w:p w14:paraId="4DC7C1B3" w14:textId="77777777" w:rsidR="00293C89" w:rsidRDefault="00293C89" w:rsidP="006C05B1">
      <w:pPr>
        <w:spacing w:after="0" w:line="240" w:lineRule="auto"/>
        <w:rPr>
          <w:lang w:val="en-NZ"/>
        </w:rPr>
      </w:pPr>
    </w:p>
    <w:p w14:paraId="192CAE2D" w14:textId="77777777" w:rsidR="00506549" w:rsidRDefault="00506549" w:rsidP="006C05B1">
      <w:pPr>
        <w:spacing w:after="0" w:line="240" w:lineRule="auto"/>
        <w:rPr>
          <w:lang w:val="en-NZ"/>
        </w:rPr>
      </w:pPr>
    </w:p>
    <w:p w14:paraId="74CDDCEA" w14:textId="0B284D44" w:rsidR="00126BF4" w:rsidRPr="00816541" w:rsidRDefault="00126BF4" w:rsidP="006C05B1">
      <w:pPr>
        <w:pStyle w:val="Heading2"/>
        <w:keepNext w:val="0"/>
      </w:pPr>
      <w:bookmarkStart w:id="77" w:name="_Toc196390915"/>
      <w:r w:rsidRPr="00126BF4">
        <w:t xml:space="preserve">Annex </w:t>
      </w:r>
      <w:r w:rsidR="008D6CAF" w:rsidRPr="00816541">
        <w:t>2</w:t>
      </w:r>
      <w:r w:rsidR="0013583F">
        <w:t xml:space="preserve"> - </w:t>
      </w:r>
      <w:r w:rsidR="0013583F" w:rsidRPr="0013583F">
        <w:t>Current treatment of renters</w:t>
      </w:r>
      <w:bookmarkEnd w:id="77"/>
    </w:p>
    <w:tbl>
      <w:tblPr>
        <w:tblStyle w:val="TableGrid"/>
        <w:tblW w:w="0" w:type="auto"/>
        <w:tblLook w:val="04A0" w:firstRow="1" w:lastRow="0" w:firstColumn="1" w:lastColumn="0" w:noHBand="0" w:noVBand="1"/>
      </w:tblPr>
      <w:tblGrid>
        <w:gridCol w:w="9016"/>
      </w:tblGrid>
      <w:tr w:rsidR="0013583F" w:rsidRPr="00C877CF" w14:paraId="7E9210B6" w14:textId="77777777">
        <w:tc>
          <w:tcPr>
            <w:tcW w:w="9016" w:type="dxa"/>
          </w:tcPr>
          <w:p w14:paraId="12ACDD43" w14:textId="77777777" w:rsidR="0013583F" w:rsidRPr="00C877CF" w:rsidRDefault="0013583F" w:rsidP="006C05B1">
            <w:pPr>
              <w:rPr>
                <w:i/>
                <w:lang w:val="en-NZ"/>
              </w:rPr>
            </w:pPr>
            <w:r w:rsidRPr="00C877CF">
              <w:rPr>
                <w:i/>
                <w:lang w:val="en-NZ"/>
              </w:rPr>
              <w:t>Rent received counts towards the accommodation costs for Accommodation Supplement</w:t>
            </w:r>
          </w:p>
          <w:p w14:paraId="0CB10459" w14:textId="77777777" w:rsidR="0013583F" w:rsidRPr="00C877CF" w:rsidRDefault="0013583F" w:rsidP="00C90863">
            <w:pPr>
              <w:numPr>
                <w:ilvl w:val="0"/>
                <w:numId w:val="13"/>
              </w:numPr>
              <w:spacing w:line="240" w:lineRule="auto"/>
              <w:jc w:val="left"/>
              <w:rPr>
                <w:lang w:val="en-NZ"/>
              </w:rPr>
            </w:pPr>
            <w:r w:rsidRPr="00C877CF">
              <w:rPr>
                <w:lang w:val="en-NZ"/>
              </w:rPr>
              <w:t xml:space="preserve">A person renting accommodation can rent out a room in that accommodation to another person. The accommodation costs of the person receiving the rent payment are calculated as the rental cost of the premises, less the rent they are receiving for the room. </w:t>
            </w:r>
          </w:p>
          <w:p w14:paraId="7E0075DD" w14:textId="77777777" w:rsidR="0013583F" w:rsidRPr="00C877CF" w:rsidRDefault="0013583F" w:rsidP="00C90863">
            <w:pPr>
              <w:numPr>
                <w:ilvl w:val="0"/>
                <w:numId w:val="13"/>
              </w:numPr>
              <w:spacing w:line="240" w:lineRule="auto"/>
              <w:jc w:val="left"/>
              <w:rPr>
                <w:lang w:val="en-NZ"/>
              </w:rPr>
            </w:pPr>
            <w:r w:rsidRPr="00C877CF">
              <w:rPr>
                <w:lang w:val="en-NZ"/>
              </w:rPr>
              <w:t>Where a homeowner is renting out a room in the house they live in to another person, to determine their eligibility for AS their accommodation costs are assessed on the total accommodation costs of the premises (including mortgage interest and principal repayments), less the rent they are receiving for the room.</w:t>
            </w:r>
          </w:p>
          <w:p w14:paraId="72B68D94" w14:textId="77777777" w:rsidR="0013583F" w:rsidRPr="00C877CF" w:rsidRDefault="0013583F" w:rsidP="00C90863">
            <w:pPr>
              <w:numPr>
                <w:ilvl w:val="0"/>
                <w:numId w:val="13"/>
              </w:numPr>
              <w:spacing w:line="240" w:lineRule="auto"/>
              <w:jc w:val="left"/>
              <w:rPr>
                <w:lang w:val="en-NZ"/>
              </w:rPr>
            </w:pPr>
            <w:r w:rsidRPr="00C877CF">
              <w:rPr>
                <w:lang w:val="en-NZ"/>
              </w:rPr>
              <w:t>This treatment of rent received prevents the double subsidisation of accommodation costs that can currently occur with board payments.</w:t>
            </w:r>
          </w:p>
          <w:p w14:paraId="60624EFD" w14:textId="77777777" w:rsidR="0013583F" w:rsidRPr="00C877CF" w:rsidRDefault="0013583F" w:rsidP="006C05B1">
            <w:pPr>
              <w:rPr>
                <w:i/>
                <w:lang w:val="en-NZ"/>
              </w:rPr>
            </w:pPr>
            <w:r w:rsidRPr="00C877CF">
              <w:rPr>
                <w:i/>
                <w:lang w:val="en-NZ"/>
              </w:rPr>
              <w:t xml:space="preserve">Rent received counts towards income if the rent received exceeds the total accommodation costs </w:t>
            </w:r>
          </w:p>
          <w:p w14:paraId="367D333A" w14:textId="77777777" w:rsidR="0013583F" w:rsidRPr="00C877CF" w:rsidRDefault="0013583F" w:rsidP="00C90863">
            <w:pPr>
              <w:numPr>
                <w:ilvl w:val="0"/>
                <w:numId w:val="13"/>
              </w:numPr>
              <w:spacing w:line="240" w:lineRule="auto"/>
              <w:jc w:val="left"/>
              <w:rPr>
                <w:lang w:val="en-NZ"/>
              </w:rPr>
            </w:pPr>
            <w:r w:rsidRPr="00C877CF">
              <w:rPr>
                <w:lang w:val="en-NZ"/>
              </w:rPr>
              <w:t>For renters, if the rent received exceeds the total rent for the property, the person receiving the rent payments will not have any accommodation costs and they will be ineligible for the AS. Any amount of rent received in excess of the total amount of rent for the property is charged as income to calculate assistance under the Social Security Act and/or other assistance that uses the Social Security Act definition.</w:t>
            </w:r>
          </w:p>
          <w:p w14:paraId="7C230073" w14:textId="77777777" w:rsidR="0013583F" w:rsidRPr="00C877CF" w:rsidRDefault="0013583F" w:rsidP="00C90863">
            <w:pPr>
              <w:numPr>
                <w:ilvl w:val="0"/>
                <w:numId w:val="13"/>
              </w:numPr>
              <w:spacing w:line="240" w:lineRule="auto"/>
              <w:jc w:val="left"/>
              <w:rPr>
                <w:lang w:val="en-NZ"/>
              </w:rPr>
            </w:pPr>
            <w:r w:rsidRPr="00C877CF">
              <w:rPr>
                <w:lang w:val="en-NZ"/>
              </w:rPr>
              <w:t>Similarly, for homeowners renting out a room in the house they live in, the rent received for the room rented out is not considered income unless it is more than the total accommodation costs for the property. If the rent received exceeds the total accommodation costs for the homeowner, they will not have any accommodation costs, and they would be ineligible for the AS. Any amount received that is in excess of the total accommodation costs for the homeowner is charged as income to calculate assistance under the Social Security Act and/or other assistance that uses the Social Security Act definition.</w:t>
            </w:r>
          </w:p>
          <w:p w14:paraId="65D52773" w14:textId="77777777" w:rsidR="0013583F" w:rsidRPr="00C877CF" w:rsidRDefault="0013583F" w:rsidP="006C05B1">
            <w:pPr>
              <w:rPr>
                <w:i/>
                <w:lang w:val="en-NZ"/>
              </w:rPr>
            </w:pPr>
            <w:r w:rsidRPr="00C877CF">
              <w:rPr>
                <w:i/>
                <w:lang w:val="en-NZ"/>
              </w:rPr>
              <w:t>Treatment of rent where part of the home is being rented out</w:t>
            </w:r>
          </w:p>
          <w:p w14:paraId="3D57415E" w14:textId="77777777" w:rsidR="0013583F" w:rsidRPr="00C877CF" w:rsidRDefault="0013583F" w:rsidP="00C90863">
            <w:pPr>
              <w:numPr>
                <w:ilvl w:val="0"/>
                <w:numId w:val="13"/>
              </w:numPr>
              <w:spacing w:line="240" w:lineRule="auto"/>
              <w:jc w:val="left"/>
              <w:rPr>
                <w:lang w:val="en-NZ"/>
              </w:rPr>
            </w:pPr>
            <w:r w:rsidRPr="00C877CF">
              <w:rPr>
                <w:lang w:val="en-NZ"/>
              </w:rPr>
              <w:t>Where a person who owns their own home is renting out part of a property (for example, another house on the same section or a self-contained flat that is a part of the home) the person's AS is assessed on the proportion of the property they live in.</w:t>
            </w:r>
          </w:p>
          <w:p w14:paraId="57737DC7" w14:textId="77777777" w:rsidR="0013583F" w:rsidRPr="00C877CF" w:rsidRDefault="0013583F" w:rsidP="00C90863">
            <w:pPr>
              <w:numPr>
                <w:ilvl w:val="0"/>
                <w:numId w:val="13"/>
              </w:numPr>
              <w:spacing w:line="240" w:lineRule="auto"/>
              <w:jc w:val="left"/>
              <w:rPr>
                <w:lang w:val="en-NZ"/>
              </w:rPr>
            </w:pPr>
            <w:r w:rsidRPr="00C877CF">
              <w:rPr>
                <w:lang w:val="en-NZ"/>
              </w:rPr>
              <w:t>In this case, accommodation costs are treated as the total costs for the property multiplied by the proportion of the floor area that the person receiving rent lives in. Income (if any) would then be calculated as rent received less total accommodation costs for property.</w:t>
            </w:r>
          </w:p>
          <w:p w14:paraId="04AD11D7" w14:textId="77777777" w:rsidR="0013583F" w:rsidRPr="00C877CF" w:rsidRDefault="0013583F" w:rsidP="00C90863">
            <w:pPr>
              <w:spacing w:line="240" w:lineRule="auto"/>
              <w:rPr>
                <w:lang w:val="en-NZ"/>
              </w:rPr>
            </w:pPr>
            <w:r w:rsidRPr="00C877CF">
              <w:rPr>
                <w:b/>
                <w:lang w:val="en-NZ"/>
              </w:rPr>
              <w:t>Note:</w:t>
            </w:r>
            <w:r w:rsidRPr="00C877CF">
              <w:rPr>
                <w:lang w:val="en-NZ"/>
              </w:rPr>
              <w:t xml:space="preserve"> Rent received by a social housing tenant is treated as a board payment for the purposes of calculating IRR. When calculating IRR for social housing tenants who have an additional resident paying a contribution towards accommodation costs, those contributions are considered board payments. </w:t>
            </w:r>
          </w:p>
        </w:tc>
      </w:tr>
    </w:tbl>
    <w:p w14:paraId="0A56301B" w14:textId="77777777" w:rsidR="00301384" w:rsidRDefault="00301384" w:rsidP="006C05B1">
      <w:pPr>
        <w:spacing w:after="0" w:line="240" w:lineRule="auto"/>
        <w:rPr>
          <w:rFonts w:eastAsia="Verdana"/>
        </w:rPr>
      </w:pPr>
    </w:p>
    <w:p w14:paraId="7BDF3279" w14:textId="77777777" w:rsidR="00301384" w:rsidRDefault="00301384" w:rsidP="006C05B1">
      <w:pPr>
        <w:spacing w:after="0" w:line="240" w:lineRule="auto"/>
        <w:rPr>
          <w:rFonts w:eastAsia="Verdana"/>
        </w:rPr>
      </w:pPr>
      <w:r>
        <w:rPr>
          <w:rFonts w:eastAsia="Verdana"/>
        </w:rPr>
        <w:br w:type="page"/>
      </w:r>
    </w:p>
    <w:p w14:paraId="2AC2EE21" w14:textId="5288D526" w:rsidR="00086588" w:rsidRPr="00086588" w:rsidRDefault="00124570" w:rsidP="006C05B1">
      <w:pPr>
        <w:pStyle w:val="Heading2"/>
        <w:keepNext w:val="0"/>
        <w:rPr>
          <w:rFonts w:eastAsia="Verdana"/>
        </w:rPr>
      </w:pPr>
      <w:bookmarkStart w:id="78" w:name="_Toc196390916"/>
      <w:r w:rsidRPr="0000134E">
        <w:rPr>
          <w:rFonts w:eastAsia="Verdana"/>
        </w:rPr>
        <w:lastRenderedPageBreak/>
        <w:t>Annex 3</w:t>
      </w:r>
      <w:r w:rsidR="00C82BC7">
        <w:rPr>
          <w:rFonts w:eastAsia="Verdana"/>
        </w:rPr>
        <w:t xml:space="preserve"> - </w:t>
      </w:r>
      <w:r w:rsidR="006E4D74">
        <w:rPr>
          <w:rFonts w:eastAsia="Verdana"/>
        </w:rPr>
        <w:t xml:space="preserve">Three step process for </w:t>
      </w:r>
      <w:r w:rsidR="00086588">
        <w:rPr>
          <w:rFonts w:eastAsia="Verdana"/>
        </w:rPr>
        <w:t xml:space="preserve">resolving </w:t>
      </w:r>
      <w:r w:rsidR="00086588" w:rsidRPr="00086588">
        <w:rPr>
          <w:rFonts w:eastAsia="Verdana"/>
        </w:rPr>
        <w:t>a mismatch between information provided about the rate of board or rent paid, and the rate of board or rent received</w:t>
      </w:r>
      <w:bookmarkEnd w:id="78"/>
    </w:p>
    <w:p w14:paraId="44944C2E" w14:textId="4EEF2873" w:rsidR="00CB4071" w:rsidRPr="00CB4071" w:rsidRDefault="00CB4071" w:rsidP="0005071C">
      <w:pPr>
        <w:spacing w:line="240" w:lineRule="auto"/>
        <w:rPr>
          <w:rStyle w:val="normaltextrun"/>
          <w:rFonts w:cs="Arial"/>
        </w:rPr>
      </w:pPr>
      <w:r w:rsidRPr="6DB6A01A">
        <w:rPr>
          <w:rStyle w:val="normaltextrun"/>
          <w:rFonts w:cs="Arial"/>
          <w:b/>
        </w:rPr>
        <w:t>Step one</w:t>
      </w:r>
      <w:r w:rsidRPr="6DB6A01A">
        <w:rPr>
          <w:rStyle w:val="normaltextrun"/>
          <w:rFonts w:cs="Arial"/>
        </w:rPr>
        <w:t>: MSD will attempt to contact both clients</w:t>
      </w:r>
      <w:r w:rsidR="005469FC" w:rsidRPr="6DB6A01A">
        <w:rPr>
          <w:rStyle w:val="normaltextrun"/>
          <w:rFonts w:cs="Arial"/>
        </w:rPr>
        <w:t xml:space="preserve"> to confirm the accuracy of the information.</w:t>
      </w:r>
      <w:r w:rsidRPr="6DB6A01A">
        <w:rPr>
          <w:rStyle w:val="normaltextrun"/>
          <w:rFonts w:cs="Arial"/>
        </w:rPr>
        <w:t xml:space="preserve"> If the two clients continue to claim different </w:t>
      </w:r>
      <w:r w:rsidR="00FC6BC5" w:rsidRPr="6DB6A01A">
        <w:rPr>
          <w:rStyle w:val="normaltextrun"/>
          <w:rFonts w:cs="Arial"/>
        </w:rPr>
        <w:t>rent/board payment amounts</w:t>
      </w:r>
      <w:r w:rsidRPr="6DB6A01A">
        <w:rPr>
          <w:rStyle w:val="normaltextrun"/>
          <w:rFonts w:cs="Arial"/>
        </w:rPr>
        <w:t xml:space="preserve">, or one client does not respond, then MSD cannot be certain of the correct rate to pay either client. </w:t>
      </w:r>
      <w:r w:rsidR="002A0376" w:rsidRPr="6DB6A01A">
        <w:rPr>
          <w:rStyle w:val="normaltextrun"/>
          <w:rFonts w:cs="Arial"/>
        </w:rPr>
        <w:t>Both clients will be given 10</w:t>
      </w:r>
      <w:r w:rsidR="006757F8" w:rsidRPr="6DB6A01A">
        <w:rPr>
          <w:rStyle w:val="normaltextrun"/>
          <w:rFonts w:cs="Arial"/>
        </w:rPr>
        <w:t xml:space="preserve"> working days</w:t>
      </w:r>
      <w:r w:rsidR="00DB755A" w:rsidRPr="6DB6A01A">
        <w:rPr>
          <w:rStyle w:val="normaltextrun"/>
          <w:rFonts w:cs="Arial"/>
        </w:rPr>
        <w:t xml:space="preserve"> </w:t>
      </w:r>
      <w:r w:rsidR="00936209" w:rsidRPr="6DB6A01A">
        <w:rPr>
          <w:rStyle w:val="normaltextrun"/>
          <w:rFonts w:cs="Arial"/>
        </w:rPr>
        <w:t xml:space="preserve">from the date of notification </w:t>
      </w:r>
      <w:r w:rsidR="00DB755A" w:rsidRPr="6DB6A01A">
        <w:rPr>
          <w:rStyle w:val="normaltextrun"/>
          <w:rFonts w:cs="Arial"/>
        </w:rPr>
        <w:t xml:space="preserve">for both </w:t>
      </w:r>
      <w:r w:rsidRPr="6DB6A01A">
        <w:rPr>
          <w:rStyle w:val="normaltextrun"/>
          <w:rFonts w:cs="Arial"/>
        </w:rPr>
        <w:t xml:space="preserve">to confirm </w:t>
      </w:r>
      <w:r w:rsidR="00DB755A" w:rsidRPr="6DB6A01A">
        <w:rPr>
          <w:rStyle w:val="normaltextrun"/>
          <w:rFonts w:cs="Arial"/>
        </w:rPr>
        <w:t>a consistent rent or board amount</w:t>
      </w:r>
      <w:r w:rsidRPr="6DB6A01A">
        <w:rPr>
          <w:rStyle w:val="normaltextrun"/>
          <w:rFonts w:cs="Arial"/>
        </w:rPr>
        <w:t xml:space="preserve">. </w:t>
      </w:r>
    </w:p>
    <w:p w14:paraId="083B4B32" w14:textId="2E898B18" w:rsidR="00CB4071" w:rsidRPr="00CB4071" w:rsidRDefault="00CB4071" w:rsidP="0005071C">
      <w:pPr>
        <w:spacing w:line="240" w:lineRule="auto"/>
        <w:rPr>
          <w:rStyle w:val="normaltextrun"/>
          <w:rFonts w:cs="Arial"/>
          <w:szCs w:val="22"/>
        </w:rPr>
      </w:pPr>
      <w:r w:rsidRPr="00776538">
        <w:rPr>
          <w:rStyle w:val="normaltextrun"/>
          <w:rFonts w:cs="Arial"/>
          <w:b/>
          <w:szCs w:val="22"/>
        </w:rPr>
        <w:t>Step</w:t>
      </w:r>
      <w:r w:rsidRPr="00CB4071">
        <w:rPr>
          <w:rStyle w:val="normaltextrun"/>
          <w:rFonts w:cs="Arial"/>
          <w:szCs w:val="22"/>
        </w:rPr>
        <w:t xml:space="preserve"> </w:t>
      </w:r>
      <w:r w:rsidRPr="00776538">
        <w:rPr>
          <w:rStyle w:val="normaltextrun"/>
          <w:rFonts w:cs="Arial"/>
          <w:b/>
          <w:szCs w:val="22"/>
        </w:rPr>
        <w:t>two</w:t>
      </w:r>
      <w:r w:rsidRPr="00CB4071">
        <w:rPr>
          <w:rStyle w:val="normaltextrun"/>
          <w:rFonts w:cs="Arial"/>
          <w:szCs w:val="22"/>
        </w:rPr>
        <w:t xml:space="preserve">: If the information is not provided within 10 working days, or continues to be inconsistent, both clients’ AS payments will be suspended, or for social housing tenants, </w:t>
      </w:r>
      <w:r w:rsidR="00D45363">
        <w:rPr>
          <w:rStyle w:val="normaltextrun"/>
          <w:rFonts w:cs="Arial"/>
          <w:szCs w:val="22"/>
        </w:rPr>
        <w:t>they</w:t>
      </w:r>
      <w:r w:rsidRPr="00CB4071">
        <w:rPr>
          <w:rStyle w:val="normaltextrun"/>
          <w:rFonts w:cs="Arial"/>
          <w:szCs w:val="22"/>
        </w:rPr>
        <w:t xml:space="preserve"> will be </w:t>
      </w:r>
      <w:r w:rsidR="00D45363">
        <w:rPr>
          <w:rStyle w:val="normaltextrun"/>
          <w:rFonts w:cs="Arial"/>
          <w:szCs w:val="22"/>
        </w:rPr>
        <w:t xml:space="preserve">notified that </w:t>
      </w:r>
      <w:r w:rsidRPr="00CB4071">
        <w:rPr>
          <w:rStyle w:val="normaltextrun"/>
          <w:rFonts w:cs="Arial"/>
          <w:szCs w:val="22"/>
        </w:rPr>
        <w:t xml:space="preserve">their IRR will </w:t>
      </w:r>
      <w:r w:rsidR="00D45363">
        <w:rPr>
          <w:rStyle w:val="normaltextrun"/>
          <w:rFonts w:cs="Arial"/>
          <w:szCs w:val="22"/>
        </w:rPr>
        <w:t>move to</w:t>
      </w:r>
      <w:r w:rsidRPr="00CB4071">
        <w:rPr>
          <w:rStyle w:val="normaltextrun"/>
          <w:rFonts w:cs="Arial"/>
          <w:szCs w:val="22"/>
        </w:rPr>
        <w:t xml:space="preserve"> market rent </w:t>
      </w:r>
      <w:r w:rsidR="006570B2">
        <w:rPr>
          <w:rStyle w:val="normaltextrun"/>
          <w:rFonts w:cs="Arial"/>
          <w:szCs w:val="22"/>
        </w:rPr>
        <w:t xml:space="preserve">after 60 days </w:t>
      </w:r>
      <w:r w:rsidRPr="00CB4071">
        <w:rPr>
          <w:rStyle w:val="normaltextrun"/>
          <w:rFonts w:cs="Arial"/>
          <w:szCs w:val="22"/>
        </w:rPr>
        <w:t>(while the other client has their AS suspended). This suspension/</w:t>
      </w:r>
      <w:r w:rsidR="00EA200D">
        <w:rPr>
          <w:rStyle w:val="normaltextrun"/>
          <w:rFonts w:cs="Arial"/>
          <w:szCs w:val="22"/>
        </w:rPr>
        <w:t xml:space="preserve">notice of shift to </w:t>
      </w:r>
      <w:r w:rsidRPr="00CB4071">
        <w:rPr>
          <w:rStyle w:val="normaltextrun"/>
          <w:rFonts w:cs="Arial"/>
          <w:szCs w:val="22"/>
        </w:rPr>
        <w:t>market rent will apply even if one person has complied with MSD’s request for further information</w:t>
      </w:r>
      <w:r w:rsidR="00EA200D">
        <w:rPr>
          <w:rStyle w:val="normaltextrun"/>
          <w:rFonts w:cs="Arial"/>
          <w:szCs w:val="22"/>
        </w:rPr>
        <w:t>,</w:t>
      </w:r>
      <w:r w:rsidRPr="00CB4071">
        <w:rPr>
          <w:rStyle w:val="normaltextrun"/>
          <w:rFonts w:cs="Arial"/>
          <w:szCs w:val="22"/>
        </w:rPr>
        <w:t xml:space="preserve"> and the other person has been non-contactable or has refused to provide evidence.</w:t>
      </w:r>
    </w:p>
    <w:p w14:paraId="7F48D52B" w14:textId="41FEE131" w:rsidR="00506549" w:rsidRDefault="00CB4071" w:rsidP="0005071C">
      <w:pPr>
        <w:spacing w:line="240" w:lineRule="auto"/>
        <w:rPr>
          <w:lang w:val="en-NZ"/>
        </w:rPr>
      </w:pPr>
      <w:r w:rsidRPr="00776538">
        <w:rPr>
          <w:rStyle w:val="normaltextrun"/>
          <w:rFonts w:cs="Arial"/>
          <w:b/>
          <w:szCs w:val="22"/>
        </w:rPr>
        <w:t>Step three</w:t>
      </w:r>
      <w:r w:rsidRPr="00CB4071">
        <w:rPr>
          <w:rStyle w:val="normaltextrun"/>
          <w:rFonts w:cs="Arial"/>
          <w:szCs w:val="22"/>
        </w:rPr>
        <w:t>: After a client’s AS</w:t>
      </w:r>
      <w:r w:rsidR="00681C1E">
        <w:rPr>
          <w:rStyle w:val="normaltextrun"/>
          <w:rFonts w:cs="Arial"/>
          <w:szCs w:val="22"/>
        </w:rPr>
        <w:t xml:space="preserve"> </w:t>
      </w:r>
      <w:r w:rsidRPr="00CB4071">
        <w:rPr>
          <w:rStyle w:val="normaltextrun"/>
          <w:rFonts w:cs="Arial"/>
          <w:szCs w:val="22"/>
        </w:rPr>
        <w:t xml:space="preserve">has been suspended for eight weeks, MSD’s system will automatically cancel their AS payment. Each client will need to reapply for AS </w:t>
      </w:r>
      <w:r w:rsidR="00061124">
        <w:rPr>
          <w:rStyle w:val="normaltextrun"/>
          <w:rFonts w:cs="Arial"/>
          <w:szCs w:val="22"/>
        </w:rPr>
        <w:t xml:space="preserve">(or other housing support) </w:t>
      </w:r>
      <w:r w:rsidRPr="00CB4071">
        <w:rPr>
          <w:rStyle w:val="normaltextrun"/>
          <w:rFonts w:cs="Arial"/>
          <w:szCs w:val="22"/>
        </w:rPr>
        <w:t xml:space="preserve">after this if they wish to receive it again. For social housing tenants, their payment will remain at market rent, but will be reassessed at the </w:t>
      </w:r>
      <w:r w:rsidR="00194FA0" w:rsidRPr="00CB4071">
        <w:rPr>
          <w:rStyle w:val="normaltextrun"/>
          <w:rFonts w:cs="Arial"/>
          <w:szCs w:val="22"/>
        </w:rPr>
        <w:t>eight-week</w:t>
      </w:r>
      <w:r w:rsidRPr="00CB4071">
        <w:rPr>
          <w:rStyle w:val="normaltextrun"/>
          <w:rFonts w:cs="Arial"/>
          <w:szCs w:val="22"/>
        </w:rPr>
        <w:t xml:space="preserve"> mark. At this point, either the boarder or renter’s AS will have been cancelled, removing the </w:t>
      </w:r>
      <w:r w:rsidR="00796A0F">
        <w:rPr>
          <w:rStyle w:val="normaltextrun"/>
          <w:rFonts w:cs="Arial"/>
          <w:szCs w:val="22"/>
        </w:rPr>
        <w:t>mismatch between information provided</w:t>
      </w:r>
      <w:r w:rsidRPr="00CB4071">
        <w:rPr>
          <w:rStyle w:val="normaltextrun"/>
          <w:rFonts w:cs="Arial"/>
          <w:szCs w:val="22"/>
        </w:rPr>
        <w:t xml:space="preserve">, or the boarder/renter has reapplied for housing assistance and the process of reconfirming the rate of payment recommences. </w:t>
      </w:r>
    </w:p>
    <w:sectPr w:rsidR="00506549" w:rsidSect="00E831BD">
      <w:pgSz w:w="11906" w:h="16838" w:code="9"/>
      <w:pgMar w:top="1134" w:right="1418" w:bottom="992"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6E89" w14:textId="77777777" w:rsidR="00865EA9" w:rsidRDefault="00865EA9">
      <w:pPr>
        <w:spacing w:after="0" w:line="240" w:lineRule="auto"/>
      </w:pPr>
      <w:r>
        <w:separator/>
      </w:r>
    </w:p>
    <w:p w14:paraId="6ACC2CAC" w14:textId="77777777" w:rsidR="00865EA9" w:rsidRDefault="00865EA9"/>
  </w:endnote>
  <w:endnote w:type="continuationSeparator" w:id="0">
    <w:p w14:paraId="22BC7F16" w14:textId="77777777" w:rsidR="00865EA9" w:rsidRDefault="00865EA9">
      <w:pPr>
        <w:spacing w:after="0" w:line="240" w:lineRule="auto"/>
      </w:pPr>
      <w:r>
        <w:continuationSeparator/>
      </w:r>
    </w:p>
    <w:p w14:paraId="34642D55" w14:textId="77777777" w:rsidR="00865EA9" w:rsidRDefault="00865EA9"/>
  </w:endnote>
  <w:endnote w:type="continuationNotice" w:id="1">
    <w:p w14:paraId="6B502F3D" w14:textId="77777777" w:rsidR="00865EA9" w:rsidRDefault="00865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Sans">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erdana Pro">
    <w:charset w:val="00"/>
    <w:family w:val="swiss"/>
    <w:pitch w:val="variable"/>
    <w:sig w:usb0="80000287" w:usb1="0000004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F6F5" w14:textId="2A9D8E31" w:rsidR="0006321A" w:rsidRDefault="0006321A">
    <w:pPr>
      <w:pStyle w:val="Footer"/>
    </w:pPr>
    <w:r>
      <mc:AlternateContent>
        <mc:Choice Requires="wps">
          <w:drawing>
            <wp:anchor distT="0" distB="0" distL="0" distR="0" simplePos="0" relativeHeight="251658247" behindDoc="0" locked="0" layoutInCell="1" allowOverlap="1" wp14:anchorId="7964BEB8" wp14:editId="5D149992">
              <wp:simplePos x="635" y="635"/>
              <wp:positionH relativeFrom="page">
                <wp:align>center</wp:align>
              </wp:positionH>
              <wp:positionV relativeFrom="page">
                <wp:align>bottom</wp:align>
              </wp:positionV>
              <wp:extent cx="815340" cy="368300"/>
              <wp:effectExtent l="0" t="0" r="3810" b="0"/>
              <wp:wrapNone/>
              <wp:docPr id="879254598" name="Text Box 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68300"/>
                      </a:xfrm>
                      <a:prstGeom prst="rect">
                        <a:avLst/>
                      </a:prstGeom>
                      <a:noFill/>
                      <a:ln>
                        <a:noFill/>
                      </a:ln>
                    </wps:spPr>
                    <wps:txbx>
                      <w:txbxContent>
                        <w:p w14:paraId="24D2D98C" w14:textId="47F094B8" w:rsidR="0006321A" w:rsidRPr="0006321A" w:rsidRDefault="0006321A" w:rsidP="0006321A">
                          <w:pPr>
                            <w:spacing w:after="0"/>
                            <w:rPr>
                              <w:rFonts w:ascii="Calibri" w:eastAsia="Calibri" w:hAnsi="Calibri" w:cs="Calibri"/>
                              <w:noProof/>
                              <w:color w:val="000000"/>
                              <w:sz w:val="20"/>
                            </w:rPr>
                          </w:pPr>
                          <w:r w:rsidRPr="0006321A">
                            <w:rPr>
                              <w:rFonts w:ascii="Calibri" w:eastAsia="Calibri" w:hAnsi="Calibri" w:cs="Calibri"/>
                              <w:noProof/>
                              <w:color w:val="000000"/>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64BEB8" id="_x0000_t202" coordsize="21600,21600" o:spt="202" path="m,l,21600r21600,l21600,xe">
              <v:stroke joinstyle="miter"/>
              <v:path gradientshapeok="t" o:connecttype="rect"/>
            </v:shapetype>
            <v:shape id="Text Box 2" o:spid="_x0000_s1029" type="#_x0000_t202" alt="[UNCLASSIFIED]" style="position:absolute;margin-left:0;margin-top:0;width:64.2pt;height:29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" filled="f" stroked="f">
              <v:textbox style="mso-fit-shape-to-text:t" inset="0,0,0,15pt">
                <w:txbxContent>
                  <w:p w14:paraId="24D2D98C" w14:textId="47F094B8" w:rsidR="0006321A" w:rsidRPr="0006321A" w:rsidRDefault="0006321A" w:rsidP="0006321A">
                    <w:pPr>
                      <w:spacing w:after="0"/>
                      <w:rPr>
                        <w:rFonts w:ascii="Calibri" w:eastAsia="Calibri" w:hAnsi="Calibri" w:cs="Calibri"/>
                        <w:noProof/>
                        <w:color w:val="000000"/>
                        <w:sz w:val="20"/>
                      </w:rPr>
                    </w:pPr>
                    <w:r w:rsidRPr="0006321A">
                      <w:rPr>
                        <w:rFonts w:ascii="Calibri" w:eastAsia="Calibri" w:hAnsi="Calibri" w:cs="Calibri"/>
                        <w:noProof/>
                        <w:color w:val="000000"/>
                        <w:sz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4C01" w14:textId="4E684A9C" w:rsidR="00502F66" w:rsidRPr="00743278" w:rsidRDefault="00502F66">
    <w:pPr>
      <w:pStyle w:val="Footer"/>
    </w:pPr>
    <w:r>
      <w:rPr>
        <w:sz w:val="14"/>
      </w:rPr>
      <w:tab/>
    </w:r>
    <w:r>
      <w:t xml:space="preserve">Supplementary Analysis Report </w:t>
    </w:r>
    <w:r w:rsidRPr="009435C4">
      <w:t>|</w:t>
    </w:r>
    <w:r>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A74A" w14:textId="23D064F6" w:rsidR="0006321A" w:rsidRDefault="0006321A">
    <w:pPr>
      <w:pStyle w:val="Footer"/>
    </w:pPr>
    <w:r>
      <mc:AlternateContent>
        <mc:Choice Requires="wps">
          <w:drawing>
            <wp:anchor distT="0" distB="0" distL="0" distR="0" simplePos="0" relativeHeight="251658246" behindDoc="0" locked="0" layoutInCell="1" allowOverlap="1" wp14:anchorId="0CBE055E" wp14:editId="67722FE9">
              <wp:simplePos x="635" y="635"/>
              <wp:positionH relativeFrom="page">
                <wp:align>center</wp:align>
              </wp:positionH>
              <wp:positionV relativeFrom="page">
                <wp:align>bottom</wp:align>
              </wp:positionV>
              <wp:extent cx="815340" cy="368300"/>
              <wp:effectExtent l="0" t="0" r="3810" b="0"/>
              <wp:wrapNone/>
              <wp:docPr id="1060927413" name="Text Box 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68300"/>
                      </a:xfrm>
                      <a:prstGeom prst="rect">
                        <a:avLst/>
                      </a:prstGeom>
                      <a:noFill/>
                      <a:ln>
                        <a:noFill/>
                      </a:ln>
                    </wps:spPr>
                    <wps:txbx>
                      <w:txbxContent>
                        <w:p w14:paraId="46136BE5" w14:textId="721F0921" w:rsidR="0006321A" w:rsidRPr="0006321A" w:rsidRDefault="0006321A" w:rsidP="0006321A">
                          <w:pPr>
                            <w:spacing w:after="0"/>
                            <w:rPr>
                              <w:rFonts w:ascii="Calibri" w:eastAsia="Calibri" w:hAnsi="Calibri" w:cs="Calibri"/>
                              <w:noProof/>
                              <w:color w:val="000000"/>
                              <w:sz w:val="20"/>
                            </w:rPr>
                          </w:pPr>
                          <w:r w:rsidRPr="0006321A">
                            <w:rPr>
                              <w:rFonts w:ascii="Calibri" w:eastAsia="Calibri" w:hAnsi="Calibri" w:cs="Calibri"/>
                              <w:noProof/>
                              <w:color w:val="000000"/>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BE055E" id="_x0000_t202" coordsize="21600,21600" o:spt="202" path="m,l,21600r21600,l21600,xe">
              <v:stroke joinstyle="miter"/>
              <v:path gradientshapeok="t" o:connecttype="rect"/>
            </v:shapetype>
            <v:shape id="Text Box 1" o:spid="_x0000_s1031" type="#_x0000_t202" alt="[UNCLASSIFIED]" style="position:absolute;margin-left:0;margin-top:0;width:64.2pt;height:29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" filled="f" stroked="f">
              <v:textbox style="mso-fit-shape-to-text:t" inset="0,0,0,15pt">
                <w:txbxContent>
                  <w:p w14:paraId="46136BE5" w14:textId="721F0921" w:rsidR="0006321A" w:rsidRPr="0006321A" w:rsidRDefault="0006321A" w:rsidP="0006321A">
                    <w:pPr>
                      <w:spacing w:after="0"/>
                      <w:rPr>
                        <w:rFonts w:ascii="Calibri" w:eastAsia="Calibri" w:hAnsi="Calibri" w:cs="Calibri"/>
                        <w:noProof/>
                        <w:color w:val="000000"/>
                        <w:sz w:val="20"/>
                      </w:rPr>
                    </w:pPr>
                    <w:r w:rsidRPr="0006321A">
                      <w:rPr>
                        <w:rFonts w:ascii="Calibri" w:eastAsia="Calibri" w:hAnsi="Calibri" w:cs="Calibri"/>
                        <w:noProof/>
                        <w:color w:val="000000"/>
                        <w:sz w:val="20"/>
                      </w:rPr>
                      <w:t>[UNCLASSIFIED]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543D" w14:textId="6059ED7F" w:rsidR="0006321A" w:rsidRDefault="0006321A">
    <w:pPr>
      <w:pStyle w:val="Footer"/>
    </w:pPr>
    <w:r>
      <mc:AlternateContent>
        <mc:Choice Requires="wps">
          <w:drawing>
            <wp:anchor distT="0" distB="0" distL="0" distR="0" simplePos="0" relativeHeight="251658249" behindDoc="0" locked="0" layoutInCell="1" allowOverlap="1" wp14:anchorId="74F91499" wp14:editId="4971A086">
              <wp:simplePos x="635" y="635"/>
              <wp:positionH relativeFrom="page">
                <wp:align>center</wp:align>
              </wp:positionH>
              <wp:positionV relativeFrom="page">
                <wp:align>bottom</wp:align>
              </wp:positionV>
              <wp:extent cx="815340" cy="368300"/>
              <wp:effectExtent l="0" t="0" r="3810" b="0"/>
              <wp:wrapNone/>
              <wp:docPr id="1640118911"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68300"/>
                      </a:xfrm>
                      <a:prstGeom prst="rect">
                        <a:avLst/>
                      </a:prstGeom>
                      <a:noFill/>
                      <a:ln>
                        <a:noFill/>
                      </a:ln>
                    </wps:spPr>
                    <wps:txbx>
                      <w:txbxContent>
                        <w:p w14:paraId="1F1E97D5" w14:textId="73B38325" w:rsidR="0006321A" w:rsidRPr="0006321A" w:rsidRDefault="0006321A" w:rsidP="0006321A">
                          <w:pPr>
                            <w:spacing w:after="0"/>
                            <w:rPr>
                              <w:rFonts w:ascii="Calibri" w:eastAsia="Calibri" w:hAnsi="Calibri" w:cs="Calibri"/>
                              <w:noProof/>
                              <w:color w:val="000000"/>
                              <w:sz w:val="20"/>
                            </w:rPr>
                          </w:pPr>
                          <w:r w:rsidRPr="0006321A">
                            <w:rPr>
                              <w:rFonts w:ascii="Calibri" w:eastAsia="Calibri" w:hAnsi="Calibri" w:cs="Calibri"/>
                              <w:noProof/>
                              <w:color w:val="000000"/>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F91499" id="_x0000_t202" coordsize="21600,21600" o:spt="202" path="m,l,21600r21600,l21600,xe">
              <v:stroke joinstyle="miter"/>
              <v:path gradientshapeok="t" o:connecttype="rect"/>
            </v:shapetype>
            <v:shape id="Text Box 5" o:spid="_x0000_s1034" type="#_x0000_t202" alt="[UNCLASSIFIED]" style="position:absolute;margin-left:0;margin-top:0;width:64.2pt;height:29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" filled="f" stroked="f">
              <v:textbox style="mso-fit-shape-to-text:t" inset="0,0,0,15pt">
                <w:txbxContent>
                  <w:p w14:paraId="1F1E97D5" w14:textId="73B38325" w:rsidR="0006321A" w:rsidRPr="0006321A" w:rsidRDefault="0006321A" w:rsidP="0006321A">
                    <w:pPr>
                      <w:spacing w:after="0"/>
                      <w:rPr>
                        <w:rFonts w:ascii="Calibri" w:eastAsia="Calibri" w:hAnsi="Calibri" w:cs="Calibri"/>
                        <w:noProof/>
                        <w:color w:val="000000"/>
                        <w:sz w:val="20"/>
                      </w:rPr>
                    </w:pPr>
                    <w:r w:rsidRPr="0006321A">
                      <w:rPr>
                        <w:rFonts w:ascii="Calibri" w:eastAsia="Calibri" w:hAnsi="Calibri" w:cs="Calibri"/>
                        <w:noProof/>
                        <w:color w:val="000000"/>
                        <w:sz w:val="20"/>
                      </w:rPr>
                      <w:t>[UNCLASSIFIED]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F65B" w14:textId="47DBBFF1" w:rsidR="006448CF" w:rsidRPr="00743278" w:rsidRDefault="006448CF" w:rsidP="006448CF">
    <w:pPr>
      <w:pStyle w:val="Footer"/>
    </w:pPr>
    <w:r>
      <w:rPr>
        <w:sz w:val="14"/>
      </w:rPr>
      <w:tab/>
    </w:r>
    <w:r w:rsidR="00567E40">
      <w:t>Supplementary Analysis Report</w:t>
    </w:r>
    <w:r w:rsidR="00150D58">
      <w:t xml:space="preserve"> </w:t>
    </w:r>
    <w:r>
      <w:t xml:space="preserve"> </w:t>
    </w:r>
    <w:r w:rsidRPr="009435C4">
      <w:t>|</w:t>
    </w:r>
    <w:r w:rsidR="00150D58">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235D" w14:textId="791E31D1" w:rsidR="0006321A" w:rsidRDefault="0006321A">
    <w:pPr>
      <w:pStyle w:val="Footer"/>
    </w:pPr>
    <w:r>
      <mc:AlternateContent>
        <mc:Choice Requires="wps">
          <w:drawing>
            <wp:anchor distT="0" distB="0" distL="0" distR="0" simplePos="0" relativeHeight="251658248" behindDoc="0" locked="0" layoutInCell="1" allowOverlap="1" wp14:anchorId="166A0EA6" wp14:editId="7D966885">
              <wp:simplePos x="635" y="635"/>
              <wp:positionH relativeFrom="page">
                <wp:align>center</wp:align>
              </wp:positionH>
              <wp:positionV relativeFrom="page">
                <wp:align>bottom</wp:align>
              </wp:positionV>
              <wp:extent cx="815340" cy="368300"/>
              <wp:effectExtent l="0" t="0" r="3810" b="0"/>
              <wp:wrapNone/>
              <wp:docPr id="12144579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68300"/>
                      </a:xfrm>
                      <a:prstGeom prst="rect">
                        <a:avLst/>
                      </a:prstGeom>
                      <a:noFill/>
                      <a:ln>
                        <a:noFill/>
                      </a:ln>
                    </wps:spPr>
                    <wps:txbx>
                      <w:txbxContent>
                        <w:p w14:paraId="7B761CAC" w14:textId="7D36FA67" w:rsidR="0006321A" w:rsidRPr="0006321A" w:rsidRDefault="0006321A" w:rsidP="0006321A">
                          <w:pPr>
                            <w:spacing w:after="0"/>
                            <w:rPr>
                              <w:rFonts w:ascii="Calibri" w:eastAsia="Calibri" w:hAnsi="Calibri" w:cs="Calibri"/>
                              <w:noProof/>
                              <w:color w:val="000000"/>
                              <w:sz w:val="20"/>
                            </w:rPr>
                          </w:pPr>
                          <w:r w:rsidRPr="0006321A">
                            <w:rPr>
                              <w:rFonts w:ascii="Calibri" w:eastAsia="Calibri" w:hAnsi="Calibri" w:cs="Calibri"/>
                              <w:noProof/>
                              <w:color w:val="000000"/>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6A0EA6" id="_x0000_t202" coordsize="21600,21600" o:spt="202" path="m,l,21600r21600,l21600,xe">
              <v:stroke joinstyle="miter"/>
              <v:path gradientshapeok="t" o:connecttype="rect"/>
            </v:shapetype>
            <v:shape id="Text Box 4" o:spid="_x0000_s1036" type="#_x0000_t202" alt="[UNCLASSIFIED]" style="position:absolute;margin-left:0;margin-top:0;width:64.2pt;height:29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" filled="f" stroked="f">
              <v:textbox style="mso-fit-shape-to-text:t" inset="0,0,0,15pt">
                <w:txbxContent>
                  <w:p w14:paraId="7B761CAC" w14:textId="7D36FA67" w:rsidR="0006321A" w:rsidRPr="0006321A" w:rsidRDefault="0006321A" w:rsidP="0006321A">
                    <w:pPr>
                      <w:spacing w:after="0"/>
                      <w:rPr>
                        <w:rFonts w:ascii="Calibri" w:eastAsia="Calibri" w:hAnsi="Calibri" w:cs="Calibri"/>
                        <w:noProof/>
                        <w:color w:val="000000"/>
                        <w:sz w:val="20"/>
                      </w:rPr>
                    </w:pPr>
                    <w:r w:rsidRPr="0006321A">
                      <w:rPr>
                        <w:rFonts w:ascii="Calibri" w:eastAsia="Calibri" w:hAnsi="Calibri" w:cs="Calibri"/>
                        <w:noProof/>
                        <w:color w:val="000000"/>
                        <w:sz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13A6" w14:textId="77777777" w:rsidR="00865EA9" w:rsidRDefault="00865EA9" w:rsidP="00816541">
      <w:pPr>
        <w:spacing w:after="0" w:line="240" w:lineRule="auto"/>
      </w:pPr>
      <w:r>
        <w:separator/>
      </w:r>
    </w:p>
  </w:footnote>
  <w:footnote w:type="continuationSeparator" w:id="0">
    <w:p w14:paraId="5BCBC34B" w14:textId="77777777" w:rsidR="00865EA9" w:rsidRDefault="00865EA9">
      <w:r>
        <w:continuationSeparator/>
      </w:r>
      <w:r>
        <w:continuationSeparator/>
      </w:r>
    </w:p>
    <w:p w14:paraId="331005B0" w14:textId="77777777" w:rsidR="00865EA9" w:rsidRDefault="00865EA9"/>
    <w:p w14:paraId="08B70AEE" w14:textId="77777777" w:rsidR="00865EA9" w:rsidRDefault="00865EA9"/>
    <w:p w14:paraId="712B05B4" w14:textId="77777777" w:rsidR="00865EA9" w:rsidRDefault="00865EA9">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p>
    <w:p w14:paraId="1A86C1E7" w14:textId="77777777" w:rsidR="00865EA9" w:rsidRDefault="00865EA9"/>
    <w:p w14:paraId="3EC989F8" w14:textId="77777777" w:rsidR="00865EA9" w:rsidRDefault="00865EA9">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p>
    <w:p w14:paraId="54BEBAC5" w14:textId="77777777" w:rsidR="00865EA9" w:rsidRDefault="00865EA9"/>
    <w:p w14:paraId="341002F1" w14:textId="77777777" w:rsidR="00865EA9" w:rsidRDefault="00865EA9"/>
    <w:p w14:paraId="654D9630" w14:textId="77777777" w:rsidR="00865EA9" w:rsidRDefault="00865EA9"/>
    <w:p w14:paraId="6C87A9F1" w14:textId="77777777" w:rsidR="00865EA9" w:rsidRDefault="00865EA9">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p>
    <w:p w14:paraId="2B8F8215" w14:textId="77777777" w:rsidR="00865EA9" w:rsidRDefault="00865EA9"/>
    <w:p w14:paraId="3B7E1919" w14:textId="77777777" w:rsidR="00865EA9" w:rsidRDefault="00865EA9">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p>
    <w:p w14:paraId="6F95BA22" w14:textId="77777777" w:rsidR="00865EA9" w:rsidRDefault="00865EA9"/>
    <w:p w14:paraId="5E129353" w14:textId="77777777" w:rsidR="00865EA9" w:rsidRDefault="00865EA9"/>
    <w:p w14:paraId="09AAC36D" w14:textId="77777777" w:rsidR="00865EA9" w:rsidRDefault="00865EA9">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p>
    <w:p w14:paraId="7717F221" w14:textId="77777777" w:rsidR="00865EA9" w:rsidRDefault="00865EA9">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p>
    <w:p w14:paraId="6CB0CB67" w14:textId="77777777" w:rsidR="00865EA9" w:rsidRDefault="00865EA9">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p>
    <w:p w14:paraId="55783284" w14:textId="77777777" w:rsidR="00865EA9" w:rsidRDefault="00865EA9">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p>
    <w:p w14:paraId="7F36D4C8" w14:textId="77777777" w:rsidR="00865EA9" w:rsidRDefault="00865EA9"/>
    <w:p w14:paraId="758DECE5" w14:textId="77777777" w:rsidR="00865EA9" w:rsidRDefault="00865EA9">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p>
    <w:p w14:paraId="60C6114A" w14:textId="77777777" w:rsidR="00865EA9" w:rsidRDefault="00865EA9"/>
    <w:p w14:paraId="299226B7" w14:textId="77777777" w:rsidR="00865EA9" w:rsidRDefault="00865EA9"/>
    <w:p w14:paraId="66E4045C" w14:textId="77777777" w:rsidR="00865EA9" w:rsidRDefault="00865EA9">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p>
    <w:p w14:paraId="54881B02" w14:textId="77777777" w:rsidR="00865EA9" w:rsidRDefault="00865EA9"/>
    <w:p w14:paraId="0480F08D" w14:textId="77777777" w:rsidR="00865EA9" w:rsidRDefault="00865EA9"/>
    <w:p w14:paraId="6198F603" w14:textId="77777777" w:rsidR="00865EA9" w:rsidRDefault="00865EA9">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p>
    <w:p w14:paraId="4422B20C" w14:textId="77777777" w:rsidR="00865EA9" w:rsidRDefault="00865EA9">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p>
    <w:p w14:paraId="021551DA" w14:textId="77777777" w:rsidR="00865EA9" w:rsidRDefault="00865EA9"/>
    <w:p w14:paraId="06F1C35C" w14:textId="77777777" w:rsidR="00865EA9" w:rsidRDefault="00865EA9">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p>
    <w:p w14:paraId="03E04585" w14:textId="77777777" w:rsidR="00865EA9" w:rsidRDefault="00865EA9"/>
    <w:p w14:paraId="4DD7A00D" w14:textId="77777777" w:rsidR="00865EA9" w:rsidRDefault="00865EA9">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p>
    <w:p w14:paraId="6423EBC4" w14:textId="77777777" w:rsidR="00865EA9" w:rsidRDefault="00865EA9"/>
    <w:p w14:paraId="5118975E" w14:textId="77777777" w:rsidR="00865EA9" w:rsidRDefault="00865EA9">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p>
    <w:p w14:paraId="3773D0D5" w14:textId="77777777" w:rsidR="00865EA9" w:rsidRDefault="00865EA9">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p>
    <w:p w14:paraId="711F537E" w14:textId="77777777" w:rsidR="00865EA9" w:rsidRDefault="00865EA9"/>
    <w:p w14:paraId="59D2F9FD" w14:textId="77777777" w:rsidR="00865EA9" w:rsidRDefault="00865EA9"/>
    <w:p w14:paraId="0DCD4A70" w14:textId="77777777" w:rsidR="00865EA9" w:rsidRDefault="00865EA9">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r>
        <w:continuationSeparator/>
      </w:r>
    </w:p>
  </w:footnote>
  <w:footnote w:type="continuationNotice" w:id="1">
    <w:p w14:paraId="6F0579D1" w14:textId="77777777" w:rsidR="00865EA9" w:rsidRDefault="00865EA9">
      <w:pPr>
        <w:spacing w:after="0" w:line="240" w:lineRule="auto"/>
      </w:pPr>
    </w:p>
  </w:footnote>
  <w:footnote w:id="2">
    <w:p w14:paraId="28739C2B" w14:textId="20C55343" w:rsidR="00A37542" w:rsidRPr="00E615F4" w:rsidRDefault="00A37542" w:rsidP="00E615F4">
      <w:pPr>
        <w:pStyle w:val="FootnoteText"/>
        <w:tabs>
          <w:tab w:val="clear" w:pos="425"/>
          <w:tab w:val="left" w:pos="142"/>
        </w:tabs>
        <w:ind w:left="142" w:hanging="142"/>
        <w:rPr>
          <w:lang w:val="en-NZ"/>
        </w:rPr>
      </w:pPr>
      <w:r>
        <w:rPr>
          <w:rStyle w:val="FootnoteReference"/>
        </w:rPr>
        <w:footnoteRef/>
      </w:r>
      <w:r>
        <w:t xml:space="preserve"> </w:t>
      </w:r>
      <w:r>
        <w:rPr>
          <w:lang w:val="en-NZ"/>
        </w:rPr>
        <w:t xml:space="preserve">Housing subsidies </w:t>
      </w:r>
      <w:r w:rsidR="002B35F5">
        <w:rPr>
          <w:lang w:val="en-NZ"/>
        </w:rPr>
        <w:t>refer to</w:t>
      </w:r>
      <w:r>
        <w:rPr>
          <w:lang w:val="en-NZ"/>
        </w:rPr>
        <w:t xml:space="preserve"> the Accommodation Supplement</w:t>
      </w:r>
      <w:r w:rsidR="005E4838">
        <w:rPr>
          <w:lang w:val="en-NZ"/>
        </w:rPr>
        <w:t>,</w:t>
      </w:r>
      <w:r>
        <w:rPr>
          <w:lang w:val="en-NZ"/>
        </w:rPr>
        <w:t xml:space="preserve"> </w:t>
      </w:r>
      <w:r w:rsidR="009211EE">
        <w:rPr>
          <w:lang w:val="en-NZ"/>
        </w:rPr>
        <w:t>In</w:t>
      </w:r>
      <w:r w:rsidR="00174039">
        <w:rPr>
          <w:lang w:val="en-NZ"/>
        </w:rPr>
        <w:t>come</w:t>
      </w:r>
      <w:r w:rsidR="008A6E1A">
        <w:rPr>
          <w:lang w:val="en-NZ"/>
        </w:rPr>
        <w:t>-</w:t>
      </w:r>
      <w:r w:rsidR="00174039">
        <w:rPr>
          <w:lang w:val="en-NZ"/>
        </w:rPr>
        <w:t>Related Rent Subsidy</w:t>
      </w:r>
      <w:r w:rsidR="009211EE">
        <w:rPr>
          <w:lang w:val="en-NZ"/>
        </w:rPr>
        <w:t>, Temporary Additional Suppor</w:t>
      </w:r>
      <w:r w:rsidR="002B35F5">
        <w:rPr>
          <w:lang w:val="en-NZ"/>
        </w:rPr>
        <w:t xml:space="preserve">t, </w:t>
      </w:r>
      <w:r w:rsidR="00543A0C" w:rsidRPr="00543A0C">
        <w:rPr>
          <w:lang w:val="en-NZ"/>
        </w:rPr>
        <w:t xml:space="preserve">grandparented </w:t>
      </w:r>
      <w:r w:rsidR="002B35F5">
        <w:rPr>
          <w:lang w:val="en-NZ"/>
        </w:rPr>
        <w:t xml:space="preserve">Special Benefit, Away from Home Allowance and the Student Allowance Accommodation Benefit at a sole parent rate. </w:t>
      </w:r>
    </w:p>
  </w:footnote>
  <w:footnote w:id="3">
    <w:p w14:paraId="2802A7EC" w14:textId="77777777" w:rsidR="00271D06" w:rsidRPr="007069D8" w:rsidRDefault="00271D06" w:rsidP="00271D06">
      <w:pPr>
        <w:pStyle w:val="FootnoteText"/>
        <w:tabs>
          <w:tab w:val="clear" w:pos="425"/>
          <w:tab w:val="left" w:pos="142"/>
        </w:tabs>
        <w:ind w:left="142" w:hanging="142"/>
        <w:rPr>
          <w:lang w:val="en-NZ"/>
        </w:rPr>
      </w:pPr>
      <w:r>
        <w:rPr>
          <w:rStyle w:val="FootnoteReference"/>
        </w:rPr>
        <w:footnoteRef/>
      </w:r>
      <w:r>
        <w:t xml:space="preserve"> </w:t>
      </w:r>
      <w:r>
        <w:rPr>
          <w:lang w:val="en-NZ"/>
        </w:rPr>
        <w:t xml:space="preserve">Joint Ministers are the Minister of Housing, the Minister for Social Development and Employment, and the </w:t>
      </w:r>
      <w:r w:rsidRPr="007069D8">
        <w:t>Associate</w:t>
      </w:r>
      <w:r>
        <w:rPr>
          <w:lang w:val="en-NZ"/>
        </w:rPr>
        <w:t xml:space="preserve"> Minister of Housing. </w:t>
      </w:r>
    </w:p>
  </w:footnote>
  <w:footnote w:id="4">
    <w:p w14:paraId="5765D772" w14:textId="0B964E60" w:rsidR="00E717B9" w:rsidRPr="00E717B9" w:rsidRDefault="00E717B9" w:rsidP="00FC0CF5">
      <w:pPr>
        <w:pStyle w:val="FootnoteText"/>
        <w:tabs>
          <w:tab w:val="clear" w:pos="425"/>
          <w:tab w:val="left" w:pos="142"/>
        </w:tabs>
        <w:ind w:left="142" w:hanging="142"/>
      </w:pPr>
      <w:r>
        <w:rPr>
          <w:rStyle w:val="FootnoteReference"/>
        </w:rPr>
        <w:footnoteRef/>
      </w:r>
      <w:r>
        <w:t xml:space="preserve"> </w:t>
      </w:r>
      <w:r w:rsidR="00AE7D71" w:rsidRPr="00E717B9">
        <w:t>62</w:t>
      </w:r>
      <w:r w:rsidR="00C820F5">
        <w:t xml:space="preserve"> percent</w:t>
      </w:r>
      <w:r w:rsidR="00AE7D71" w:rsidRPr="00E717B9">
        <w:t xml:space="preserve"> of their total payment is considered to be </w:t>
      </w:r>
      <w:r w:rsidR="00F83369">
        <w:t>the boarder’s</w:t>
      </w:r>
      <w:r w:rsidR="00AE7D71" w:rsidRPr="00E717B9">
        <w:t xml:space="preserve"> </w:t>
      </w:r>
      <w:r w:rsidR="00A02852">
        <w:t>housing contribution,</w:t>
      </w:r>
      <w:r w:rsidR="00F83369">
        <w:t xml:space="preserve"> </w:t>
      </w:r>
      <w:r w:rsidR="00EA677E">
        <w:t xml:space="preserve">and the remaining 38 percent </w:t>
      </w:r>
      <w:r w:rsidR="00936A38">
        <w:t xml:space="preserve">is considered to cover costs incurred as part of the board arrangement </w:t>
      </w:r>
      <w:r w:rsidR="005F2D32">
        <w:t>(</w:t>
      </w:r>
      <w:r w:rsidRPr="00E717B9">
        <w:t>food and possibly other service costs</w:t>
      </w:r>
      <w:r w:rsidR="00F83369">
        <w:t>)</w:t>
      </w:r>
      <w:r w:rsidRPr="00E717B9">
        <w:t>.</w:t>
      </w:r>
      <w:r w:rsidR="00A5094B">
        <w:t xml:space="preserve"> </w:t>
      </w:r>
      <w:r w:rsidR="00A74400" w:rsidRPr="00A74400">
        <w:t>The figure of 62</w:t>
      </w:r>
      <w:r w:rsidR="00316629">
        <w:t xml:space="preserve"> percent</w:t>
      </w:r>
      <w:r w:rsidR="00A74400" w:rsidRPr="00A74400">
        <w:t xml:space="preserve"> has been used for calculating the rate of AS for a boarder since July 1997. </w:t>
      </w:r>
      <w:r w:rsidR="007A6489">
        <w:t xml:space="preserve">Note that </w:t>
      </w:r>
      <w:r w:rsidR="002461E5">
        <w:t xml:space="preserve">housing </w:t>
      </w:r>
      <w:r w:rsidR="007A6489">
        <w:t>contributions from boarders include contributions paid on behalf of the boarder</w:t>
      </w:r>
      <w:r w:rsidR="00D55A64">
        <w:t>(s)</w:t>
      </w:r>
      <w:r w:rsidR="007A6489">
        <w:t xml:space="preserve">. </w:t>
      </w:r>
    </w:p>
  </w:footnote>
  <w:footnote w:id="5">
    <w:p w14:paraId="0656A460" w14:textId="7947C1F2" w:rsidR="007639D2" w:rsidRPr="00816541" w:rsidRDefault="007639D2" w:rsidP="00816541">
      <w:pPr>
        <w:pStyle w:val="FootnoteText"/>
        <w:tabs>
          <w:tab w:val="clear" w:pos="425"/>
          <w:tab w:val="left" w:pos="142"/>
        </w:tabs>
        <w:ind w:left="142" w:hanging="142"/>
        <w:rPr>
          <w:lang w:val="en-NZ"/>
        </w:rPr>
      </w:pPr>
      <w:r>
        <w:rPr>
          <w:rStyle w:val="FootnoteReference"/>
        </w:rPr>
        <w:footnoteRef/>
      </w:r>
      <w:r>
        <w:t xml:space="preserve"> </w:t>
      </w:r>
      <w:r w:rsidR="00ED538E">
        <w:rPr>
          <w:lang w:val="en-NZ"/>
        </w:rPr>
        <w:t>For clarity within this document</w:t>
      </w:r>
      <w:r w:rsidR="00850B7B">
        <w:rPr>
          <w:lang w:val="en-NZ"/>
        </w:rPr>
        <w:t>,</w:t>
      </w:r>
      <w:r w:rsidR="00ED538E">
        <w:rPr>
          <w:lang w:val="en-NZ"/>
        </w:rPr>
        <w:t xml:space="preserve"> the term “excess income” will be used to refer </w:t>
      </w:r>
      <w:r w:rsidR="00D85AE5">
        <w:rPr>
          <w:lang w:val="en-NZ"/>
        </w:rPr>
        <w:t xml:space="preserve">to </w:t>
      </w:r>
      <w:r w:rsidR="00E209AB" w:rsidRPr="00E209AB">
        <w:rPr>
          <w:lang w:val="en-NZ"/>
        </w:rPr>
        <w:t>housing contributions from boarders</w:t>
      </w:r>
      <w:r w:rsidR="000B313D">
        <w:rPr>
          <w:lang w:val="en-NZ"/>
        </w:rPr>
        <w:t xml:space="preserve"> that</w:t>
      </w:r>
      <w:r w:rsidR="00E209AB" w:rsidRPr="00E209AB">
        <w:rPr>
          <w:lang w:val="en-NZ"/>
        </w:rPr>
        <w:t xml:space="preserve"> exceed the total allowable accommodation </w:t>
      </w:r>
      <w:r w:rsidR="00D85AE5" w:rsidRPr="00E209AB">
        <w:rPr>
          <w:lang w:val="en-NZ"/>
        </w:rPr>
        <w:t>costs,</w:t>
      </w:r>
      <w:r w:rsidR="00E209AB" w:rsidRPr="00E209AB">
        <w:rPr>
          <w:lang w:val="en-NZ"/>
        </w:rPr>
        <w:t xml:space="preserve"> or the market rent applicable for the social housing property of the person receiving board payments</w:t>
      </w:r>
      <w:r w:rsidR="000B313D">
        <w:rPr>
          <w:lang w:val="en-NZ"/>
        </w:rPr>
        <w:t>.</w:t>
      </w:r>
    </w:p>
  </w:footnote>
  <w:footnote w:id="6">
    <w:p w14:paraId="5F177FAE" w14:textId="358DD487" w:rsidR="00E717B9" w:rsidRPr="00E717B9" w:rsidRDefault="00E717B9">
      <w:pPr>
        <w:pStyle w:val="FootnoteText"/>
        <w:rPr>
          <w:lang w:val="en-NZ"/>
        </w:rPr>
      </w:pPr>
      <w:r>
        <w:rPr>
          <w:rStyle w:val="FootnoteReference"/>
        </w:rPr>
        <w:footnoteRef/>
      </w:r>
      <w:r>
        <w:t xml:space="preserve"> </w:t>
      </w:r>
      <w:r w:rsidR="00B32F86">
        <w:t xml:space="preserve">Section </w:t>
      </w:r>
      <w:r w:rsidRPr="00E717B9">
        <w:t>65 of the Social Security Act</w:t>
      </w:r>
      <w:r w:rsidR="00C820F5">
        <w:t>.</w:t>
      </w:r>
    </w:p>
  </w:footnote>
  <w:footnote w:id="7">
    <w:p w14:paraId="24EF25DB" w14:textId="241F0B0E" w:rsidR="00E717B9" w:rsidRPr="00E717B9" w:rsidRDefault="00E717B9" w:rsidP="00816541">
      <w:pPr>
        <w:pStyle w:val="FootnoteText"/>
        <w:tabs>
          <w:tab w:val="clear" w:pos="425"/>
          <w:tab w:val="left" w:pos="142"/>
        </w:tabs>
        <w:ind w:left="142" w:hanging="142"/>
        <w:rPr>
          <w:lang w:val="en-NZ"/>
        </w:rPr>
      </w:pPr>
      <w:r>
        <w:rPr>
          <w:rStyle w:val="FootnoteReference"/>
        </w:rPr>
        <w:footnoteRef/>
      </w:r>
      <w:r>
        <w:t xml:space="preserve"> </w:t>
      </w:r>
      <w:r w:rsidRPr="00E717B9">
        <w:t xml:space="preserve">Other MSD assistance under the </w:t>
      </w:r>
      <w:r w:rsidR="00B91CA5" w:rsidRPr="00B91CA5">
        <w:t xml:space="preserve">Social Security Act </w:t>
      </w:r>
      <w:r w:rsidRPr="00E717B9">
        <w:t>could change at 2 March 2026 (i.e.</w:t>
      </w:r>
      <w:r w:rsidR="009C56C7">
        <w:t xml:space="preserve"> </w:t>
      </w:r>
      <w:r w:rsidRPr="00E717B9">
        <w:t>if a</w:t>
      </w:r>
      <w:r w:rsidR="00C413C5">
        <w:t xml:space="preserve"> social housing</w:t>
      </w:r>
      <w:r w:rsidRPr="00E717B9">
        <w:t xml:space="preserve"> tenant also has </w:t>
      </w:r>
      <w:r w:rsidR="00C413C5" w:rsidRPr="00C413C5">
        <w:t>Temporary Additional Support</w:t>
      </w:r>
      <w:r w:rsidR="00500E92">
        <w:t>,</w:t>
      </w:r>
      <w:r w:rsidRPr="00E717B9">
        <w:t xml:space="preserve"> then we would change the accommodation cost in the </w:t>
      </w:r>
      <w:r w:rsidR="00C413C5" w:rsidRPr="00C413C5">
        <w:t>Temporary Additional Support</w:t>
      </w:r>
      <w:r w:rsidRPr="00E717B9">
        <w:t xml:space="preserve"> calculation).</w:t>
      </w:r>
    </w:p>
  </w:footnote>
  <w:footnote w:id="8">
    <w:p w14:paraId="78251113" w14:textId="1A4EA624" w:rsidR="001326E0" w:rsidRPr="00816541" w:rsidRDefault="001326E0" w:rsidP="000E7E51">
      <w:pPr>
        <w:pStyle w:val="FootnoteText"/>
        <w:ind w:left="284" w:hanging="284"/>
      </w:pPr>
      <w:r>
        <w:rPr>
          <w:rStyle w:val="FootnoteReference"/>
        </w:rPr>
        <w:footnoteRef/>
      </w:r>
      <w:r>
        <w:t xml:space="preserve"> </w:t>
      </w:r>
      <w:r w:rsidR="000E7E51">
        <w:tab/>
      </w:r>
      <w:r w:rsidRPr="001326E0">
        <w:t xml:space="preserve">IRR and </w:t>
      </w:r>
      <w:r w:rsidR="00044D5E">
        <w:t xml:space="preserve">the </w:t>
      </w:r>
      <w:r w:rsidRPr="001326E0">
        <w:t>Accommodation Benefit were the two main housing subsidies available at the time. The AS</w:t>
      </w:r>
      <w:r w:rsidR="0044164D">
        <w:t>,</w:t>
      </w:r>
      <w:r w:rsidRPr="001326E0">
        <w:t xml:space="preserve"> </w:t>
      </w:r>
      <w:r w:rsidR="0044164D" w:rsidRPr="00755948">
        <w:t>a non-taxable weekly payment which helps people with their rent, board, or the cost of owning a home</w:t>
      </w:r>
      <w:r w:rsidR="0044164D">
        <w:t>,</w:t>
      </w:r>
      <w:r w:rsidR="0044164D" w:rsidRPr="001326E0">
        <w:t xml:space="preserve"> </w:t>
      </w:r>
      <w:r w:rsidRPr="001326E0">
        <w:t>was introduced in 1993</w:t>
      </w:r>
      <w:r w:rsidR="0044164D">
        <w:t xml:space="preserve">. It </w:t>
      </w:r>
      <w:r w:rsidRPr="001326E0">
        <w:t>replac</w:t>
      </w:r>
      <w:r w:rsidR="0044164D">
        <w:t>ed</w:t>
      </w:r>
      <w:r w:rsidRPr="001326E0">
        <w:t xml:space="preserve"> both IRR </w:t>
      </w:r>
      <w:r w:rsidR="003D0D10" w:rsidRPr="001326E0">
        <w:t xml:space="preserve">and the </w:t>
      </w:r>
      <w:r w:rsidRPr="001326E0">
        <w:t>Accommodation Benefit as the primary housing subsidy for state housing tenants, private sector renters, boarders, and homeowners. IRR was reintroduced for state housing tenants in 2000.</w:t>
      </w:r>
    </w:p>
  </w:footnote>
  <w:footnote w:id="9">
    <w:p w14:paraId="63E81A72" w14:textId="43FC92B4" w:rsidR="000A4906" w:rsidRPr="00706DFC" w:rsidRDefault="000A4906" w:rsidP="000E7E51">
      <w:pPr>
        <w:pStyle w:val="FootnoteText"/>
        <w:tabs>
          <w:tab w:val="clear" w:pos="425"/>
          <w:tab w:val="left" w:pos="426"/>
        </w:tabs>
        <w:ind w:left="284" w:hanging="284"/>
        <w:rPr>
          <w:lang w:val="en-NZ"/>
        </w:rPr>
      </w:pPr>
      <w:r>
        <w:rPr>
          <w:rStyle w:val="FootnoteReference"/>
        </w:rPr>
        <w:footnoteRef/>
      </w:r>
      <w:r>
        <w:t xml:space="preserve"> </w:t>
      </w:r>
      <w:r w:rsidR="005F045F">
        <w:rPr>
          <w:lang w:val="en-NZ"/>
        </w:rPr>
        <w:t xml:space="preserve">The ADM Regulatory Impact Statement will be available </w:t>
      </w:r>
      <w:r w:rsidR="004F6725">
        <w:rPr>
          <w:lang w:val="en-NZ"/>
        </w:rPr>
        <w:t>on the MSD website from 22 May 2025</w:t>
      </w:r>
      <w:r w:rsidR="00706DFC">
        <w:rPr>
          <w:lang w:val="en-NZ"/>
        </w:rPr>
        <w:t>.</w:t>
      </w:r>
      <w:r w:rsidR="005F045F">
        <w:rPr>
          <w:lang w:val="en-NZ"/>
        </w:rPr>
        <w:t xml:space="preserve"> </w:t>
      </w:r>
    </w:p>
  </w:footnote>
  <w:footnote w:id="10">
    <w:p w14:paraId="3A22613B" w14:textId="0B6C4E0A" w:rsidR="00FA4A64" w:rsidRPr="00776538" w:rsidRDefault="00FA4A64" w:rsidP="00C24A0A">
      <w:pPr>
        <w:pStyle w:val="FootnoteText"/>
        <w:tabs>
          <w:tab w:val="clear" w:pos="425"/>
          <w:tab w:val="left" w:pos="426"/>
        </w:tabs>
        <w:ind w:left="284" w:hanging="284"/>
        <w:rPr>
          <w:lang w:val="en-NZ"/>
        </w:rPr>
      </w:pPr>
      <w:r>
        <w:rPr>
          <w:rStyle w:val="FootnoteReference"/>
        </w:rPr>
        <w:footnoteRef/>
      </w:r>
      <w:r>
        <w:t xml:space="preserve"> A</w:t>
      </w:r>
      <w:r w:rsidRPr="00FA4A64">
        <w:t>nd/or any income-tested assistance that uses the Social Security Act definition of income</w:t>
      </w:r>
      <w:r>
        <w:t>.</w:t>
      </w:r>
    </w:p>
  </w:footnote>
  <w:footnote w:id="11">
    <w:p w14:paraId="1380B24C" w14:textId="77777777" w:rsidR="00A76057" w:rsidRDefault="00A76057" w:rsidP="00C24A0A">
      <w:pPr>
        <w:pStyle w:val="FootnoteText"/>
        <w:tabs>
          <w:tab w:val="clear" w:pos="425"/>
          <w:tab w:val="left" w:pos="426"/>
        </w:tabs>
        <w:ind w:left="284" w:hanging="284"/>
      </w:pPr>
      <w:r>
        <w:rPr>
          <w:rStyle w:val="FootnoteReference"/>
        </w:rPr>
        <w:footnoteRef/>
      </w:r>
      <w:r>
        <w:t xml:space="preserve"> </w:t>
      </w:r>
      <w:r w:rsidRPr="007F649B">
        <w:t>T</w:t>
      </w:r>
      <w:r>
        <w:t>emporary Additional Support</w:t>
      </w:r>
      <w:r w:rsidRPr="007F649B">
        <w:t xml:space="preserve"> replaced the Sp</w:t>
      </w:r>
      <w:r>
        <w:t xml:space="preserve">ecial </w:t>
      </w:r>
      <w:r w:rsidRPr="007F649B">
        <w:t>B</w:t>
      </w:r>
      <w:r>
        <w:t>enefit</w:t>
      </w:r>
      <w:r w:rsidRPr="007F649B">
        <w:t xml:space="preserve"> from 1 April 2006 and is not open to new applicants.</w:t>
      </w:r>
    </w:p>
  </w:footnote>
  <w:footnote w:id="12">
    <w:p w14:paraId="4B44C475" w14:textId="2E01A456" w:rsidR="00A76057" w:rsidRDefault="00A76057" w:rsidP="00C24A0A">
      <w:pPr>
        <w:pStyle w:val="FootnoteText"/>
        <w:tabs>
          <w:tab w:val="clear" w:pos="425"/>
          <w:tab w:val="left" w:pos="426"/>
        </w:tabs>
        <w:ind w:left="284" w:hanging="284"/>
      </w:pPr>
      <w:r>
        <w:rPr>
          <w:rStyle w:val="FootnoteReference"/>
        </w:rPr>
        <w:footnoteRef/>
      </w:r>
      <w:r>
        <w:t xml:space="preserve"> As at </w:t>
      </w:r>
      <w:r w:rsidR="002B1DFE" w:rsidRPr="002B1DFE">
        <w:t>the end of February 2025</w:t>
      </w:r>
      <w:r>
        <w:t xml:space="preserve">, there were </w:t>
      </w:r>
      <w:r w:rsidR="00C42CEA">
        <w:t xml:space="preserve">417 </w:t>
      </w:r>
      <w:r>
        <w:t>people remaining on the grandparented Special Benefit.</w:t>
      </w:r>
    </w:p>
  </w:footnote>
  <w:footnote w:id="13">
    <w:p w14:paraId="283194D9" w14:textId="054F8535" w:rsidR="00A76057" w:rsidRDefault="00A76057" w:rsidP="00C24A0A">
      <w:pPr>
        <w:pStyle w:val="FootnoteText"/>
        <w:ind w:left="284" w:hanging="284"/>
      </w:pPr>
      <w:r w:rsidRPr="00BB1096">
        <w:rPr>
          <w:rStyle w:val="FootnoteReference"/>
          <w:szCs w:val="16"/>
        </w:rPr>
        <w:footnoteRef/>
      </w:r>
      <w:r w:rsidRPr="00BB1096">
        <w:rPr>
          <w:sz w:val="16"/>
          <w:szCs w:val="16"/>
        </w:rPr>
        <w:t xml:space="preserve"> </w:t>
      </w:r>
      <w:r>
        <w:t>There were nine recipients (or fewer) of the Away from Home Allowance at the end of each month in 2024.</w:t>
      </w:r>
    </w:p>
  </w:footnote>
  <w:footnote w:id="14">
    <w:p w14:paraId="6094B82C" w14:textId="77777777" w:rsidR="598EEE1A" w:rsidRDefault="598EEE1A" w:rsidP="00C24A0A">
      <w:pPr>
        <w:pStyle w:val="FootnoteText"/>
        <w:ind w:left="284" w:hanging="284"/>
      </w:pPr>
      <w:r w:rsidRPr="598EEE1A">
        <w:rPr>
          <w:rStyle w:val="FootnoteReference"/>
        </w:rPr>
        <w:footnoteRef/>
      </w:r>
      <w:r>
        <w:t xml:space="preserve"> The specified payments for automated annual reviews include:</w:t>
      </w:r>
    </w:p>
    <w:p w14:paraId="697F5B3C" w14:textId="77777777" w:rsidR="598EEE1A" w:rsidRDefault="598EEE1A" w:rsidP="598EEE1A">
      <w:pPr>
        <w:pStyle w:val="FootnoteText"/>
        <w:numPr>
          <w:ilvl w:val="0"/>
          <w:numId w:val="46"/>
        </w:numPr>
        <w:tabs>
          <w:tab w:val="clear" w:pos="425"/>
        </w:tabs>
        <w:spacing w:after="0"/>
        <w:ind w:left="567" w:hanging="283"/>
        <w:contextualSpacing/>
      </w:pPr>
      <w:r>
        <w:t xml:space="preserve">Supported Living Payment (including for carers) </w:t>
      </w:r>
    </w:p>
    <w:p w14:paraId="534E5EAC" w14:textId="77777777" w:rsidR="598EEE1A" w:rsidRDefault="598EEE1A" w:rsidP="598EEE1A">
      <w:pPr>
        <w:pStyle w:val="FootnoteText"/>
        <w:numPr>
          <w:ilvl w:val="0"/>
          <w:numId w:val="46"/>
        </w:numPr>
        <w:tabs>
          <w:tab w:val="clear" w:pos="425"/>
        </w:tabs>
        <w:spacing w:after="0"/>
        <w:ind w:left="567" w:hanging="283"/>
        <w:contextualSpacing/>
      </w:pPr>
      <w:r>
        <w:t xml:space="preserve">Emergency Benefit and Emergency Maintenance Allowance with a review date of longer than 52 weeks </w:t>
      </w:r>
    </w:p>
    <w:p w14:paraId="565262B5" w14:textId="77777777" w:rsidR="598EEE1A" w:rsidRDefault="598EEE1A" w:rsidP="598EEE1A">
      <w:pPr>
        <w:pStyle w:val="FootnoteText"/>
        <w:numPr>
          <w:ilvl w:val="0"/>
          <w:numId w:val="46"/>
        </w:numPr>
        <w:tabs>
          <w:tab w:val="clear" w:pos="425"/>
        </w:tabs>
        <w:spacing w:after="0"/>
        <w:ind w:left="567" w:hanging="283"/>
        <w:contextualSpacing/>
      </w:pPr>
      <w:r>
        <w:t xml:space="preserve">All AS recipients, including those not on a benefit or receiving NZ Superannuation/Veteran’s Pension </w:t>
      </w:r>
    </w:p>
    <w:p w14:paraId="72F77BB2" w14:textId="77777777" w:rsidR="008F557F" w:rsidRDefault="598EEE1A" w:rsidP="598EEE1A">
      <w:pPr>
        <w:pStyle w:val="FootnoteText"/>
        <w:numPr>
          <w:ilvl w:val="0"/>
          <w:numId w:val="46"/>
        </w:numPr>
        <w:tabs>
          <w:tab w:val="clear" w:pos="425"/>
        </w:tabs>
        <w:spacing w:after="0"/>
        <w:ind w:left="567" w:hanging="283"/>
        <w:contextualSpacing/>
      </w:pPr>
      <w:r>
        <w:t>All Disability Allowance recipients, including those not on a benefit or receiving NZ Superannuation/Veteran’s Pension</w:t>
      </w:r>
    </w:p>
    <w:p w14:paraId="41637571" w14:textId="77777777" w:rsidR="598EEE1A" w:rsidRDefault="598EEE1A" w:rsidP="00063B51">
      <w:pPr>
        <w:pStyle w:val="FootnoteText"/>
        <w:numPr>
          <w:ilvl w:val="0"/>
          <w:numId w:val="46"/>
        </w:numPr>
        <w:tabs>
          <w:tab w:val="clear" w:pos="425"/>
        </w:tabs>
        <w:spacing w:after="0"/>
        <w:ind w:left="567" w:hanging="283"/>
        <w:contextualSpacing/>
      </w:pPr>
      <w:r>
        <w:t xml:space="preserve">NZ Superannuation/Veteran’s Pension with a Non-Qualified Spouse.  </w:t>
      </w:r>
    </w:p>
  </w:footnote>
  <w:footnote w:id="15">
    <w:p w14:paraId="7BC703B4" w14:textId="0D87648A" w:rsidR="008A5BD7" w:rsidRDefault="008A5BD7" w:rsidP="00C24A0A">
      <w:pPr>
        <w:pStyle w:val="FootnoteText"/>
        <w:tabs>
          <w:tab w:val="clear" w:pos="425"/>
          <w:tab w:val="left" w:pos="426"/>
        </w:tabs>
        <w:ind w:left="284" w:hanging="284"/>
      </w:pPr>
      <w:r>
        <w:rPr>
          <w:rStyle w:val="FootnoteReference"/>
        </w:rPr>
        <w:footnoteRef/>
      </w:r>
      <w:r>
        <w:t xml:space="preserve"> </w:t>
      </w:r>
      <w:r w:rsidR="004361F0">
        <w:tab/>
      </w:r>
      <w:r>
        <w:t xml:space="preserve">ADM introduces </w:t>
      </w:r>
      <w:r w:rsidRPr="00E2218A">
        <w:t xml:space="preserve">an automated review every 52 weeks </w:t>
      </w:r>
      <w:r w:rsidRPr="00254A64">
        <w:t>for all ongoing income</w:t>
      </w:r>
      <w:r>
        <w:t>-</w:t>
      </w:r>
      <w:r w:rsidRPr="00254A64">
        <w:t xml:space="preserve">tested benefits which do not expire (specified benefits). </w:t>
      </w:r>
      <w:r w:rsidRPr="002C1FF2">
        <w:t>By initiating a review that a client must respond to, MSD is able to collect and update information on boarders in a household to ensure MSD clients in that household are paid the correct rate.</w:t>
      </w:r>
      <w:r>
        <w:t xml:space="preserve"> </w:t>
      </w:r>
      <w:r w:rsidRPr="000A64FF">
        <w:t>The policy intent is to introduce regular checks to ensure ongoing correct entitlement</w:t>
      </w:r>
      <w:r>
        <w:t>.</w:t>
      </w:r>
    </w:p>
  </w:footnote>
  <w:footnote w:id="16">
    <w:p w14:paraId="658AD054" w14:textId="545DCEE7" w:rsidR="00585183" w:rsidRPr="00776538" w:rsidRDefault="00585183" w:rsidP="00C24A0A">
      <w:pPr>
        <w:pStyle w:val="FootnoteText"/>
        <w:tabs>
          <w:tab w:val="clear" w:pos="425"/>
          <w:tab w:val="left" w:pos="426"/>
        </w:tabs>
        <w:ind w:left="284" w:hanging="284"/>
        <w:rPr>
          <w:lang w:val="en-NZ"/>
        </w:rPr>
      </w:pPr>
      <w:r>
        <w:rPr>
          <w:rStyle w:val="FootnoteReference"/>
        </w:rPr>
        <w:footnoteRef/>
      </w:r>
      <w:r>
        <w:t xml:space="preserve"> </w:t>
      </w:r>
      <w:r w:rsidR="00C24A0A">
        <w:tab/>
      </w:r>
      <w:r>
        <w:t xml:space="preserve">Or </w:t>
      </w:r>
      <w:r w:rsidRPr="00585183">
        <w:t>other support that relies on the definition of accommodation costs in s 65</w:t>
      </w:r>
      <w:r>
        <w:t xml:space="preserve"> of the Social Security Act.</w:t>
      </w:r>
    </w:p>
  </w:footnote>
  <w:footnote w:id="17">
    <w:p w14:paraId="01AD8EA9" w14:textId="769BDC42" w:rsidR="004E0E76" w:rsidRPr="004E0E76" w:rsidRDefault="004E0E76" w:rsidP="00295456">
      <w:pPr>
        <w:pStyle w:val="FootnoteText"/>
        <w:tabs>
          <w:tab w:val="clear" w:pos="425"/>
          <w:tab w:val="left" w:pos="426"/>
        </w:tabs>
        <w:ind w:left="284" w:hanging="284"/>
        <w:rPr>
          <w:lang w:val="en-NZ"/>
        </w:rPr>
      </w:pPr>
      <w:r>
        <w:rPr>
          <w:rStyle w:val="FootnoteReference"/>
        </w:rPr>
        <w:footnoteRef/>
      </w:r>
      <w:r>
        <w:t xml:space="preserve"> </w:t>
      </w:r>
      <w:r w:rsidR="00C24A0A">
        <w:t xml:space="preserve"> </w:t>
      </w:r>
      <w:r w:rsidRPr="004E0E76">
        <w:t xml:space="preserve">For </w:t>
      </w:r>
      <w:r w:rsidRPr="00C24A0A">
        <w:rPr>
          <w:lang w:val="en-NZ"/>
        </w:rPr>
        <w:t>social</w:t>
      </w:r>
      <w:r w:rsidRPr="004E0E76">
        <w:t xml:space="preserve"> housing clients, at step two they will be notified at the end of the 10-day period that their IRR will be</w:t>
      </w:r>
      <w:r w:rsidR="00295456">
        <w:t xml:space="preserve">  </w:t>
      </w:r>
      <w:r w:rsidRPr="004E0E76">
        <w:t>set at market rent (after 6</w:t>
      </w:r>
      <w:r w:rsidR="00A61948">
        <w:t>0</w:t>
      </w:r>
      <w:r w:rsidRPr="004E0E76">
        <w:t xml:space="preserve"> days), while the other client has their AS suspended.</w:t>
      </w:r>
    </w:p>
  </w:footnote>
  <w:footnote w:id="18">
    <w:p w14:paraId="0CE59758" w14:textId="3D2D39C0" w:rsidR="00B56D56" w:rsidRPr="00776538" w:rsidRDefault="00B56D56" w:rsidP="00C24A0A">
      <w:pPr>
        <w:pStyle w:val="FootnoteText"/>
        <w:tabs>
          <w:tab w:val="clear" w:pos="425"/>
          <w:tab w:val="left" w:pos="426"/>
        </w:tabs>
        <w:ind w:left="284" w:hanging="284"/>
        <w:rPr>
          <w:lang w:val="en-NZ"/>
        </w:rPr>
      </w:pPr>
      <w:r>
        <w:rPr>
          <w:rStyle w:val="FootnoteReference"/>
        </w:rPr>
        <w:footnoteRef/>
      </w:r>
      <w:r>
        <w:t xml:space="preserve"> </w:t>
      </w:r>
      <w:r w:rsidR="00295456">
        <w:t xml:space="preserve"> </w:t>
      </w:r>
      <w:r w:rsidRPr="00776538">
        <w:rPr>
          <w:lang w:val="en-NZ"/>
        </w:rPr>
        <w:t>At this point, either the boarder or renter’s AS will have been cancelled (meaning the board/rent recipient can</w:t>
      </w:r>
      <w:r w:rsidR="00295456">
        <w:rPr>
          <w:lang w:val="en-NZ"/>
        </w:rPr>
        <w:t xml:space="preserve"> </w:t>
      </w:r>
      <w:r w:rsidRPr="00776538">
        <w:rPr>
          <w:lang w:val="en-NZ"/>
        </w:rPr>
        <w:t>reapply for assistance). If the boarder/renter reapplies for housing assistance the process of reconfirming the rate of payment recommences</w:t>
      </w:r>
    </w:p>
  </w:footnote>
  <w:footnote w:id="19">
    <w:p w14:paraId="3555C3CD" w14:textId="075A6FA1" w:rsidR="00936D12" w:rsidRPr="00B0360A" w:rsidRDefault="00936D12" w:rsidP="00C24A0A">
      <w:pPr>
        <w:pStyle w:val="FootnoteText"/>
        <w:tabs>
          <w:tab w:val="clear" w:pos="425"/>
          <w:tab w:val="left" w:pos="426"/>
        </w:tabs>
        <w:ind w:left="284" w:hanging="284"/>
      </w:pPr>
      <w:r>
        <w:rPr>
          <w:rStyle w:val="FootnoteReference"/>
        </w:rPr>
        <w:footnoteRef/>
      </w:r>
      <w:r>
        <w:t xml:space="preserve"> </w:t>
      </w:r>
      <w:r w:rsidR="007E348F">
        <w:t xml:space="preserve"> </w:t>
      </w:r>
      <w:r>
        <w:t xml:space="preserve">An additional resident in social housing means a person who is aged 16 or over, is financially independent (as </w:t>
      </w:r>
      <w:r w:rsidR="007E348F">
        <w:t xml:space="preserve">   </w:t>
      </w:r>
      <w:r>
        <w:t xml:space="preserve">defined in Schedule 2 of the Social Security Act), resides or is to reside in the housing, but is not a person to whom the </w:t>
      </w:r>
      <w:r w:rsidRPr="00782B5D">
        <w:t>social housing</w:t>
      </w:r>
      <w:r>
        <w:t xml:space="preserve"> is or is to be let, nor their spouse or partner.</w:t>
      </w:r>
    </w:p>
  </w:footnote>
  <w:footnote w:id="20">
    <w:p w14:paraId="36456D6F" w14:textId="33792C96" w:rsidR="00936D12" w:rsidRDefault="00936D12" w:rsidP="007E348F">
      <w:pPr>
        <w:pStyle w:val="FootnoteText"/>
        <w:tabs>
          <w:tab w:val="clear" w:pos="425"/>
        </w:tabs>
        <w:ind w:left="284" w:hanging="284"/>
      </w:pPr>
      <w:r>
        <w:rPr>
          <w:rStyle w:val="FootnoteReference"/>
        </w:rPr>
        <w:footnoteRef/>
      </w:r>
      <w:r>
        <w:t xml:space="preserve"> </w:t>
      </w:r>
      <w:r w:rsidR="007E348F">
        <w:t xml:space="preserve"> </w:t>
      </w:r>
      <w:r>
        <w:t>Social housing tenancies that have been held for three years, or more and are paying market rent are subject to periodic tenancy reviews. Certain tenancies are exempt from periodic review (such as where the tenant or their partner receive a supported living payment, have dependent children, or are aged 65 or older).</w:t>
      </w:r>
    </w:p>
  </w:footnote>
  <w:footnote w:id="21">
    <w:p w14:paraId="20840CA0" w14:textId="320DFB45" w:rsidR="00936D12" w:rsidRPr="005611AD" w:rsidRDefault="00936D12" w:rsidP="00C24A0A">
      <w:pPr>
        <w:pStyle w:val="FootnoteText"/>
        <w:tabs>
          <w:tab w:val="clear" w:pos="425"/>
          <w:tab w:val="left" w:pos="426"/>
        </w:tabs>
        <w:ind w:left="284" w:hanging="284"/>
      </w:pPr>
      <w:r>
        <w:rPr>
          <w:rStyle w:val="FootnoteReference"/>
        </w:rPr>
        <w:footnoteRef/>
      </w:r>
      <w:r>
        <w:t xml:space="preserve"> T</w:t>
      </w:r>
      <w:r w:rsidRPr="005611AD">
        <w:t xml:space="preserve">his </w:t>
      </w:r>
      <w:r>
        <w:t xml:space="preserve">policy </w:t>
      </w:r>
      <w:r w:rsidRPr="005611AD">
        <w:t xml:space="preserve">change will impact households with additional residents </w:t>
      </w:r>
      <w:r w:rsidR="00455D84">
        <w:t>who</w:t>
      </w:r>
      <w:r w:rsidR="00455D84" w:rsidRPr="005611AD">
        <w:t xml:space="preserve"> </w:t>
      </w:r>
      <w:r w:rsidRPr="005611AD">
        <w:t>are carers or receiving care</w:t>
      </w:r>
      <w:r>
        <w:t xml:space="preserve"> when those additional residents are paying board.</w:t>
      </w:r>
    </w:p>
  </w:footnote>
  <w:footnote w:id="22">
    <w:p w14:paraId="041E536F" w14:textId="771FE0DB" w:rsidR="0091158D" w:rsidRDefault="0091158D" w:rsidP="000E7E51">
      <w:pPr>
        <w:pStyle w:val="FootnoteText"/>
        <w:tabs>
          <w:tab w:val="clear" w:pos="425"/>
          <w:tab w:val="left" w:pos="426"/>
        </w:tabs>
        <w:ind w:left="284" w:hanging="284"/>
      </w:pPr>
      <w:r>
        <w:rPr>
          <w:rStyle w:val="FootnoteReference"/>
        </w:rPr>
        <w:footnoteRef/>
      </w:r>
      <w:r>
        <w:t xml:space="preserve"> </w:t>
      </w:r>
      <w:r w:rsidR="000E7E51">
        <w:t xml:space="preserve"> </w:t>
      </w:r>
      <w:r w:rsidRPr="001633DA">
        <w:t xml:space="preserve">See the Limitations and Constraints analysis section </w:t>
      </w:r>
      <w:r w:rsidRPr="00776538">
        <w:t xml:space="preserve">on page </w:t>
      </w:r>
      <w:r w:rsidR="000C4896" w:rsidRPr="00776538">
        <w:t>6</w:t>
      </w:r>
      <w:r>
        <w:t xml:space="preserve"> </w:t>
      </w:r>
      <w:r w:rsidRPr="001633DA">
        <w:t>for</w:t>
      </w:r>
      <w:r>
        <w:t xml:space="preserve"> how we estimated that 8,200 households</w:t>
      </w:r>
      <w:r w:rsidR="000E7E51">
        <w:t xml:space="preserve"> </w:t>
      </w:r>
      <w:r>
        <w:t xml:space="preserve">who </w:t>
      </w:r>
      <w:r w:rsidRPr="00CD6892">
        <w:t>receive the AS have boarders</w:t>
      </w:r>
      <w:r>
        <w:t>.</w:t>
      </w:r>
    </w:p>
  </w:footnote>
  <w:footnote w:id="23">
    <w:p w14:paraId="1A73898A" w14:textId="1663361E" w:rsidR="0091158D" w:rsidRDefault="0091158D" w:rsidP="000E7E51">
      <w:pPr>
        <w:pStyle w:val="FootnoteText"/>
        <w:tabs>
          <w:tab w:val="clear" w:pos="425"/>
        </w:tabs>
        <w:ind w:left="284" w:hanging="284"/>
      </w:pPr>
      <w:r>
        <w:rPr>
          <w:rStyle w:val="FootnoteReference"/>
        </w:rPr>
        <w:footnoteRef/>
      </w:r>
      <w:r>
        <w:t xml:space="preserve"> </w:t>
      </w:r>
      <w:r w:rsidR="000E7E51">
        <w:t xml:space="preserve"> </w:t>
      </w:r>
      <w:r>
        <w:t>This calculation includes the impact on the AS, Temporary Additional Support and main benefits. We have assumed for the calculations that these households will be affected from April 2026 – following the go-live date of 2 March 2026.</w:t>
      </w:r>
    </w:p>
  </w:footnote>
  <w:footnote w:id="24">
    <w:p w14:paraId="5D704028" w14:textId="70916F2E" w:rsidR="0091158D" w:rsidRDefault="0091158D" w:rsidP="00C24A0A">
      <w:pPr>
        <w:pStyle w:val="FootnoteText"/>
        <w:tabs>
          <w:tab w:val="clear" w:pos="425"/>
          <w:tab w:val="left" w:pos="426"/>
        </w:tabs>
        <w:ind w:left="284" w:hanging="284"/>
      </w:pPr>
      <w:r>
        <w:rPr>
          <w:rStyle w:val="FootnoteReference"/>
        </w:rPr>
        <w:footnoteRef/>
      </w:r>
      <w:r>
        <w:t xml:space="preserve"> </w:t>
      </w:r>
      <w:r w:rsidR="000E7E51">
        <w:t xml:space="preserve"> </w:t>
      </w:r>
      <w:r w:rsidRPr="00CD6892">
        <w:t>We have assumed for the calculations that these households will be affected from April 2027 – to reflect that rents can only be increased once a year. In practice social housing tenants’ rents will change between 2 May 2026 and 2 May 2027.</w:t>
      </w:r>
    </w:p>
  </w:footnote>
  <w:footnote w:id="25">
    <w:p w14:paraId="365A343F" w14:textId="0B6C792F" w:rsidR="0091158D" w:rsidRDefault="0091158D" w:rsidP="00C24A0A">
      <w:pPr>
        <w:pStyle w:val="FootnoteText"/>
        <w:tabs>
          <w:tab w:val="clear" w:pos="425"/>
          <w:tab w:val="left" w:pos="426"/>
        </w:tabs>
        <w:ind w:left="284" w:hanging="284"/>
      </w:pPr>
      <w:r>
        <w:rPr>
          <w:rStyle w:val="FootnoteReference"/>
        </w:rPr>
        <w:footnoteRef/>
      </w:r>
      <w:r>
        <w:t xml:space="preserve"> </w:t>
      </w:r>
      <w:r w:rsidR="000E7E51">
        <w:t xml:space="preserve"> </w:t>
      </w:r>
      <w:r w:rsidRPr="004E3C4D">
        <w:t xml:space="preserve">Note: there are 100 </w:t>
      </w:r>
      <w:r>
        <w:t>fewer</w:t>
      </w:r>
      <w:r w:rsidRPr="004E3C4D">
        <w:t xml:space="preserve"> households affected</w:t>
      </w:r>
      <w:r>
        <w:t xml:space="preserve"> when the </w:t>
      </w:r>
      <w:r w:rsidRPr="00E803B5">
        <w:t>alternative IRR calculation option</w:t>
      </w:r>
      <w:r>
        <w:t xml:space="preserve"> is applied</w:t>
      </w:r>
      <w:r w:rsidRPr="004E3C4D">
        <w:t xml:space="preserve"> compared to the</w:t>
      </w:r>
      <w:r>
        <w:t xml:space="preserve"> agreed modified</w:t>
      </w:r>
      <w:r w:rsidRPr="004E3C4D">
        <w:t xml:space="preserve"> </w:t>
      </w:r>
      <w:r>
        <w:t xml:space="preserve">IRR </w:t>
      </w:r>
      <w:r w:rsidRPr="004E3C4D">
        <w:t>calculation</w:t>
      </w:r>
      <w:r>
        <w:t xml:space="preserve"> because there is a </w:t>
      </w:r>
      <w:r w:rsidRPr="00BE0061">
        <w:t xml:space="preserve">minimum </w:t>
      </w:r>
      <w:r>
        <w:t xml:space="preserve">IRR </w:t>
      </w:r>
      <w:r w:rsidRPr="00BE0061">
        <w:t xml:space="preserve">amount </w:t>
      </w:r>
      <w:r>
        <w:t>to pay and</w:t>
      </w:r>
      <w:r w:rsidRPr="004E3C4D">
        <w:t xml:space="preserve"> </w:t>
      </w:r>
      <w:r w:rsidRPr="00A0643E">
        <w:t>under the agreed modified IRR calculation</w:t>
      </w:r>
      <w:r>
        <w:t xml:space="preserve"> 100 more households will have their IRR increased above that minimum, and therefore be impacted.</w:t>
      </w:r>
    </w:p>
  </w:footnote>
  <w:footnote w:id="26">
    <w:p w14:paraId="3D931613" w14:textId="5B71B4AC" w:rsidR="0091158D" w:rsidRDefault="0091158D" w:rsidP="000E7E51">
      <w:pPr>
        <w:pStyle w:val="FootnoteText"/>
        <w:ind w:left="284" w:hanging="284"/>
      </w:pPr>
      <w:r>
        <w:rPr>
          <w:rStyle w:val="FootnoteReference"/>
        </w:rPr>
        <w:footnoteRef/>
      </w:r>
      <w:r>
        <w:t xml:space="preserve"> </w:t>
      </w:r>
      <w:r w:rsidR="000E7E51">
        <w:t xml:space="preserve"> </w:t>
      </w:r>
      <w:r w:rsidRPr="00A843ED">
        <w:t>We have assumed for the calculations that these households would be affected from April 2027 – to reflect that rents can only be increased once a year. In practice social housing tenants’ rents will change between 2 May 2026 and 2 May 2027</w:t>
      </w:r>
    </w:p>
  </w:footnote>
  <w:footnote w:id="27">
    <w:p w14:paraId="4EC2B1CA" w14:textId="37EF475E" w:rsidR="0091158D" w:rsidRDefault="0091158D" w:rsidP="00C24A0A">
      <w:pPr>
        <w:pStyle w:val="FootnoteText"/>
        <w:tabs>
          <w:tab w:val="clear" w:pos="425"/>
          <w:tab w:val="left" w:pos="426"/>
        </w:tabs>
        <w:ind w:left="284" w:hanging="284"/>
      </w:pPr>
      <w:r w:rsidRPr="0092098A">
        <w:rPr>
          <w:rStyle w:val="FootnoteReference"/>
          <w:szCs w:val="16"/>
        </w:rPr>
        <w:footnoteRef/>
      </w:r>
      <w:r>
        <w:t xml:space="preserve"> </w:t>
      </w:r>
      <w:r w:rsidR="00C24A0A">
        <w:t xml:space="preserve"> </w:t>
      </w:r>
      <w:r>
        <w:t>For a tenancy agreement with a 16 or 17-year-old to be legally binding the tenants must be married, or in a civil union, or</w:t>
      </w:r>
      <w:r w:rsidRPr="001D1723">
        <w:t xml:space="preserve"> </w:t>
      </w:r>
      <w:r>
        <w:t>be approved by the</w:t>
      </w:r>
      <w:r w:rsidRPr="001D1723">
        <w:t xml:space="preserve"> Tenancy Tribunal or a District Court</w:t>
      </w:r>
      <w:r>
        <w:t>.</w:t>
      </w:r>
    </w:p>
  </w:footnote>
  <w:footnote w:id="28">
    <w:p w14:paraId="25324BC9" w14:textId="7191AE06" w:rsidR="004B5364" w:rsidRDefault="004B5364" w:rsidP="004B5364">
      <w:pPr>
        <w:pStyle w:val="FootnoteText"/>
        <w:tabs>
          <w:tab w:val="left" w:pos="284"/>
        </w:tabs>
        <w:ind w:left="284" w:hanging="284"/>
      </w:pPr>
      <w:r>
        <w:rPr>
          <w:rStyle w:val="FootnoteReference"/>
        </w:rPr>
        <w:footnoteRef/>
      </w:r>
      <w:r>
        <w:t xml:space="preserve"> </w:t>
      </w:r>
      <w:r w:rsidR="00C24A0A">
        <w:t xml:space="preserve"> </w:t>
      </w:r>
      <w:r w:rsidRPr="0072779E">
        <w:t>This resulted in 75</w:t>
      </w:r>
      <w:r>
        <w:t xml:space="preserve"> percent</w:t>
      </w:r>
      <w:r w:rsidRPr="0072779E">
        <w:t xml:space="preserve"> of the sample of 4</w:t>
      </w:r>
      <w:r>
        <w:t>0</w:t>
      </w:r>
      <w:r w:rsidRPr="0072779E">
        <w:t xml:space="preserve"> clients appearing to be boarding arrangements.</w:t>
      </w:r>
      <w:r>
        <w:t xml:space="preserve"> </w:t>
      </w:r>
      <w:r w:rsidRPr="0072779E">
        <w:t>We therefore took 75</w:t>
      </w:r>
      <w:r>
        <w:t xml:space="preserve"> percent</w:t>
      </w:r>
      <w:r w:rsidRPr="0072779E">
        <w:t xml:space="preserve"> of our final estimated figure.</w:t>
      </w:r>
    </w:p>
  </w:footnote>
  <w:footnote w:id="29">
    <w:p w14:paraId="4FB9A01F" w14:textId="76CB1472" w:rsidR="00963B0B" w:rsidRPr="003A3B53" w:rsidRDefault="00963B0B" w:rsidP="00963B0B">
      <w:pPr>
        <w:pStyle w:val="FootnoteText"/>
        <w:rPr>
          <w:lang w:val="en-NZ"/>
        </w:rPr>
      </w:pPr>
      <w:r>
        <w:rPr>
          <w:rStyle w:val="FootnoteReference"/>
        </w:rPr>
        <w:footnoteRef/>
      </w:r>
      <w:r w:rsidRPr="00EF7363">
        <w:rPr>
          <w:lang w:val="fr-FR"/>
        </w:rPr>
        <w:t xml:space="preserve"> </w:t>
      </w:r>
      <w:r w:rsidR="00C24A0A">
        <w:rPr>
          <w:lang w:val="fr-FR"/>
        </w:rPr>
        <w:t xml:space="preserve"> </w:t>
      </w:r>
      <w:hyperlink r:id="rId1" w:anchor=":~:text=New%20Zealand%27s%20estimated%20M%C4%81ori%20ethnic,459%2C200%20females%20identified%20as%20M%C4%81ori" w:history="1">
        <w:r w:rsidRPr="003A3B53">
          <w:rPr>
            <w:rStyle w:val="Hyperlink"/>
            <w:lang w:val="en-NZ"/>
          </w:rPr>
          <w:t>Māori population estimates: At 30 June 2024 | Stats NZ</w:t>
        </w:r>
      </w:hyperlink>
    </w:p>
  </w:footnote>
  <w:footnote w:id="30">
    <w:p w14:paraId="1F4099EF" w14:textId="280F876C" w:rsidR="00963B0B" w:rsidRPr="005B68A3" w:rsidRDefault="00963B0B" w:rsidP="00C24A0A">
      <w:pPr>
        <w:pStyle w:val="FootnoteText"/>
        <w:tabs>
          <w:tab w:val="clear" w:pos="425"/>
          <w:tab w:val="left" w:pos="426"/>
        </w:tabs>
        <w:ind w:left="284" w:hanging="284"/>
      </w:pPr>
      <w:r w:rsidRPr="003A3B53">
        <w:rPr>
          <w:rStyle w:val="FootnoteReference"/>
          <w:lang w:val="en-NZ"/>
        </w:rPr>
        <w:footnoteRef/>
      </w:r>
      <w:r w:rsidRPr="003A3B53">
        <w:rPr>
          <w:lang w:val="en-NZ"/>
        </w:rPr>
        <w:t xml:space="preserve"> </w:t>
      </w:r>
      <w:r w:rsidR="00C24A0A">
        <w:rPr>
          <w:lang w:val="en-NZ"/>
        </w:rPr>
        <w:t xml:space="preserve"> </w:t>
      </w:r>
      <w:r w:rsidRPr="003A3B53">
        <w:rPr>
          <w:lang w:val="en-NZ"/>
        </w:rPr>
        <w:t>The AS, Temporary Additional Support and the total number of Māori households in social housing is at the end of November 2024.</w:t>
      </w:r>
    </w:p>
  </w:footnote>
  <w:footnote w:id="31">
    <w:p w14:paraId="38895DC9" w14:textId="77777777" w:rsidR="00532F5C" w:rsidRDefault="00532F5C" w:rsidP="00C24A0A">
      <w:pPr>
        <w:pStyle w:val="FootnoteText"/>
        <w:tabs>
          <w:tab w:val="clear" w:pos="425"/>
          <w:tab w:val="left" w:pos="426"/>
        </w:tabs>
        <w:ind w:left="284" w:hanging="284"/>
      </w:pPr>
      <w:r>
        <w:rPr>
          <w:rStyle w:val="FootnoteReference"/>
        </w:rPr>
        <w:footnoteRef/>
      </w:r>
      <w:r>
        <w:t xml:space="preserve"> </w:t>
      </w:r>
      <w:r w:rsidRPr="00182888">
        <w:t>Household circumstances for boarders can frequently change, and will need to be kept up to date as new information is received.</w:t>
      </w:r>
    </w:p>
  </w:footnote>
  <w:footnote w:id="32">
    <w:p w14:paraId="08DFA83D" w14:textId="77777777" w:rsidR="00532F5C" w:rsidRDefault="00532F5C" w:rsidP="00C24A0A">
      <w:pPr>
        <w:pStyle w:val="FootnoteText"/>
        <w:tabs>
          <w:tab w:val="clear" w:pos="425"/>
          <w:tab w:val="left" w:pos="284"/>
          <w:tab w:val="left" w:pos="426"/>
        </w:tabs>
        <w:ind w:left="284" w:hanging="284"/>
      </w:pPr>
      <w:r>
        <w:rPr>
          <w:rStyle w:val="FootnoteReference"/>
        </w:rPr>
        <w:footnoteRef/>
      </w:r>
      <w:r>
        <w:t xml:space="preserve"> </w:t>
      </w:r>
      <w:r w:rsidRPr="00947D6B">
        <w:t>MSD will need to implement an approach that allows this change to be rolled out consistently and equitably across the AS, Temporary Additional Support, Special Benefit, Sole Parent Student Allowance, Accommodation Benefit and other affected assistance.</w:t>
      </w:r>
    </w:p>
  </w:footnote>
  <w:footnote w:id="33">
    <w:p w14:paraId="26F8E19F" w14:textId="77777777" w:rsidR="00387C0D" w:rsidRDefault="00387C0D" w:rsidP="00C24A0A">
      <w:pPr>
        <w:pStyle w:val="FootnoteText"/>
        <w:tabs>
          <w:tab w:val="clear" w:pos="425"/>
          <w:tab w:val="left" w:pos="284"/>
          <w:tab w:val="left" w:pos="426"/>
        </w:tabs>
        <w:ind w:left="284" w:hanging="284"/>
      </w:pPr>
      <w:r>
        <w:rPr>
          <w:rStyle w:val="FootnoteReference"/>
        </w:rPr>
        <w:footnoteRef/>
      </w:r>
      <w:r>
        <w:t xml:space="preserve"> </w:t>
      </w:r>
      <w:r w:rsidRPr="00226409">
        <w:t>The client’s record and assistance will only be updated based on the information confirmed by the client. Both the board recipient and the boarder need to be current clients in order for MSD to match this information.</w:t>
      </w:r>
    </w:p>
  </w:footnote>
  <w:footnote w:id="34">
    <w:p w14:paraId="34F445BD" w14:textId="77777777" w:rsidR="00387C0D" w:rsidRPr="00177DF3" w:rsidRDefault="00387C0D" w:rsidP="00C24A0A">
      <w:pPr>
        <w:pStyle w:val="FootnoteText"/>
        <w:tabs>
          <w:tab w:val="clear" w:pos="425"/>
          <w:tab w:val="left" w:pos="142"/>
          <w:tab w:val="left" w:pos="284"/>
          <w:tab w:val="left" w:pos="426"/>
        </w:tabs>
        <w:ind w:left="284" w:hanging="284"/>
      </w:pPr>
      <w:r>
        <w:rPr>
          <w:rStyle w:val="FootnoteReference"/>
        </w:rPr>
        <w:footnoteRef/>
      </w:r>
      <w:r>
        <w:t xml:space="preserve"> For the assessment of IRR, if the boarder arrangement is temporary and likely to last less that 8-weeks, a reassessment of assistance may not be required.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6715" w14:textId="77777777" w:rsidR="00502F66" w:rsidRDefault="00502F66">
    <w:pPr>
      <w:pStyle w:val="Header"/>
    </w:pPr>
    <w:r>
      <w:rPr>
        <w:noProof/>
      </w:rPr>
      <mc:AlternateContent>
        <mc:Choice Requires="wps">
          <w:drawing>
            <wp:anchor distT="0" distB="0" distL="0" distR="0" simplePos="0" relativeHeight="251658241" behindDoc="0" locked="0" layoutInCell="1" allowOverlap="1" wp14:anchorId="772A5035" wp14:editId="2D540B46">
              <wp:simplePos x="635" y="635"/>
              <wp:positionH relativeFrom="page">
                <wp:align>center</wp:align>
              </wp:positionH>
              <wp:positionV relativeFrom="page">
                <wp:align>top</wp:align>
              </wp:positionV>
              <wp:extent cx="790575" cy="371475"/>
              <wp:effectExtent l="0" t="0" r="9525" b="9525"/>
              <wp:wrapNone/>
              <wp:docPr id="472668342" name="Text Box 47266834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a:noFill/>
                      </a:ln>
                    </wps:spPr>
                    <wps:txbx>
                      <w:txbxContent>
                        <w:p w14:paraId="09005E1B" w14:textId="77777777" w:rsidR="00502F66" w:rsidRPr="006559DC" w:rsidRDefault="00502F66">
                          <w:pPr>
                            <w:spacing w:after="0"/>
                            <w:rPr>
                              <w:rFonts w:ascii="Calibri" w:hAnsi="Calibri" w:cs="Calibri"/>
                              <w:noProof/>
                              <w:color w:val="000000"/>
                            </w:rPr>
                          </w:pPr>
                          <w:r w:rsidRPr="006559DC">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2A5035" id="_x0000_t202" coordsize="21600,21600" o:spt="202" path="m,l,21600r21600,l21600,xe">
              <v:stroke joinstyle="miter"/>
              <v:path gradientshapeok="t" o:connecttype="rect"/>
            </v:shapetype>
            <v:shape id="Text Box 472668342" o:spid="_x0000_s1027" type="#_x0000_t202" alt="IN-CONFIDENCE" style="position:absolute;margin-left:0;margin-top:0;width:62.25pt;height:29.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" filled="f" stroked="f">
              <v:textbox style="mso-fit-shape-to-text:t" inset="0,15pt,0,0">
                <w:txbxContent>
                  <w:p w14:paraId="09005E1B" w14:textId="77777777" w:rsidR="00502F66" w:rsidRPr="006559DC" w:rsidRDefault="00502F66">
                    <w:pPr>
                      <w:spacing w:after="0"/>
                      <w:rPr>
                        <w:rFonts w:ascii="Calibri" w:hAnsi="Calibri" w:cs="Calibri"/>
                        <w:noProof/>
                        <w:color w:val="000000"/>
                      </w:rPr>
                    </w:pPr>
                    <w:r w:rsidRPr="006559DC">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FD6A" w14:textId="03644A3D" w:rsidR="00502F66" w:rsidRDefault="00502F66">
    <w:pPr>
      <w:pStyle w:val="Header"/>
    </w:pPr>
    <w:r>
      <w:rPr>
        <w:noProof/>
      </w:rPr>
      <mc:AlternateContent>
        <mc:Choice Requires="wps">
          <w:drawing>
            <wp:anchor distT="0" distB="0" distL="0" distR="0" simplePos="0" relativeHeight="251658242" behindDoc="0" locked="0" layoutInCell="1" allowOverlap="1" wp14:anchorId="15FD893B" wp14:editId="3A8667F6">
              <wp:simplePos x="635" y="635"/>
              <wp:positionH relativeFrom="page">
                <wp:align>center</wp:align>
              </wp:positionH>
              <wp:positionV relativeFrom="page">
                <wp:align>top</wp:align>
              </wp:positionV>
              <wp:extent cx="790575" cy="371475"/>
              <wp:effectExtent l="0" t="0" r="9525" b="9525"/>
              <wp:wrapNone/>
              <wp:docPr id="1332937023" name="Text Box 133293702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a:noFill/>
                      </a:ln>
                    </wps:spPr>
                    <wps:txbx>
                      <w:txbxContent>
                        <w:p w14:paraId="27AC447B" w14:textId="77777777" w:rsidR="00502F66" w:rsidRPr="006559DC" w:rsidRDefault="00502F66">
                          <w:pPr>
                            <w:spacing w:after="0"/>
                            <w:rPr>
                              <w:rFonts w:ascii="Calibri" w:hAnsi="Calibri" w:cs="Calibri"/>
                              <w:noProof/>
                              <w:color w:val="000000"/>
                            </w:rPr>
                          </w:pPr>
                          <w:r w:rsidRPr="006559DC">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FD893B" id="_x0000_t202" coordsize="21600,21600" o:spt="202" path="m,l,21600r21600,l21600,xe">
              <v:stroke joinstyle="miter"/>
              <v:path gradientshapeok="t" o:connecttype="rect"/>
            </v:shapetype>
            <v:shape id="Text Box 1332937023" o:spid="_x0000_s1028" type="#_x0000_t202" alt="IN-CONFIDENCE" style="position:absolute;margin-left:0;margin-top:0;width:62.25pt;height:29.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" filled="f" stroked="f">
              <v:textbox style="mso-fit-shape-to-text:t" inset="0,15pt,0,0">
                <w:txbxContent>
                  <w:p w14:paraId="27AC447B" w14:textId="77777777" w:rsidR="00502F66" w:rsidRPr="006559DC" w:rsidRDefault="00502F66">
                    <w:pPr>
                      <w:spacing w:after="0"/>
                      <w:rPr>
                        <w:rFonts w:ascii="Calibri" w:hAnsi="Calibri" w:cs="Calibri"/>
                        <w:noProof/>
                        <w:color w:val="000000"/>
                      </w:rPr>
                    </w:pPr>
                    <w:r w:rsidRPr="006559DC">
                      <w:rPr>
                        <w:rFonts w:ascii="Calibri" w:hAnsi="Calibri" w:cs="Calibri"/>
                        <w:noProof/>
                        <w:color w:val="00000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00F4" w14:textId="77777777" w:rsidR="00502F66" w:rsidRDefault="00502F66">
    <w:pPr>
      <w:pStyle w:val="Header"/>
    </w:pPr>
    <w:r>
      <w:rPr>
        <w:noProof/>
      </w:rPr>
      <mc:AlternateContent>
        <mc:Choice Requires="wps">
          <w:drawing>
            <wp:anchor distT="0" distB="0" distL="0" distR="0" simplePos="0" relativeHeight="251658240" behindDoc="0" locked="0" layoutInCell="1" allowOverlap="1" wp14:anchorId="514F25CD" wp14:editId="646A16B7">
              <wp:simplePos x="635" y="635"/>
              <wp:positionH relativeFrom="page">
                <wp:align>center</wp:align>
              </wp:positionH>
              <wp:positionV relativeFrom="page">
                <wp:align>top</wp:align>
              </wp:positionV>
              <wp:extent cx="790575" cy="371475"/>
              <wp:effectExtent l="0" t="0" r="9525" b="9525"/>
              <wp:wrapNone/>
              <wp:docPr id="854730238" name="Text Box 85473023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a:noFill/>
                      </a:ln>
                    </wps:spPr>
                    <wps:txbx>
                      <w:txbxContent>
                        <w:p w14:paraId="2608E761" w14:textId="77777777" w:rsidR="00502F66" w:rsidRPr="006559DC" w:rsidRDefault="00502F66">
                          <w:pPr>
                            <w:spacing w:after="0"/>
                            <w:rPr>
                              <w:rFonts w:ascii="Calibri" w:hAnsi="Calibri" w:cs="Calibri"/>
                              <w:noProof/>
                              <w:color w:val="000000"/>
                            </w:rPr>
                          </w:pPr>
                          <w:r w:rsidRPr="006559DC">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4F25CD" id="_x0000_t202" coordsize="21600,21600" o:spt="202" path="m,l,21600r21600,l21600,xe">
              <v:stroke joinstyle="miter"/>
              <v:path gradientshapeok="t" o:connecttype="rect"/>
            </v:shapetype>
            <v:shape id="Text Box 854730238" o:spid="_x0000_s1030" type="#_x0000_t202" alt="IN-CONFIDENCE" style="position:absolute;margin-left:0;margin-top:0;width:62.25pt;height:29.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" filled="f" stroked="f">
              <v:textbox style="mso-fit-shape-to-text:t" inset="0,15pt,0,0">
                <w:txbxContent>
                  <w:p w14:paraId="2608E761" w14:textId="77777777" w:rsidR="00502F66" w:rsidRPr="006559DC" w:rsidRDefault="00502F66">
                    <w:pPr>
                      <w:spacing w:after="0"/>
                      <w:rPr>
                        <w:rFonts w:ascii="Calibri" w:hAnsi="Calibri" w:cs="Calibri"/>
                        <w:noProof/>
                        <w:color w:val="000000"/>
                      </w:rPr>
                    </w:pPr>
                    <w:r w:rsidRPr="006559DC">
                      <w:rPr>
                        <w:rFonts w:ascii="Calibri" w:hAnsi="Calibri" w:cs="Calibri"/>
                        <w:noProof/>
                        <w:color w:val="00000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9B5F" w14:textId="59059BDD" w:rsidR="006559DC" w:rsidRDefault="006559DC">
    <w:pPr>
      <w:pStyle w:val="Header"/>
    </w:pPr>
    <w:r>
      <w:rPr>
        <w:noProof/>
      </w:rPr>
      <mc:AlternateContent>
        <mc:Choice Requires="wps">
          <w:drawing>
            <wp:anchor distT="0" distB="0" distL="0" distR="0" simplePos="0" relativeHeight="251658243" behindDoc="0" locked="0" layoutInCell="1" allowOverlap="1" wp14:anchorId="47394F11" wp14:editId="3DFC6BC1">
              <wp:simplePos x="635" y="635"/>
              <wp:positionH relativeFrom="page">
                <wp:align>center</wp:align>
              </wp:positionH>
              <wp:positionV relativeFrom="page">
                <wp:align>top</wp:align>
              </wp:positionV>
              <wp:extent cx="790575" cy="371475"/>
              <wp:effectExtent l="0" t="0" r="9525" b="9525"/>
              <wp:wrapNone/>
              <wp:docPr id="561746739" name="Text Box 56174673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a:noFill/>
                      </a:ln>
                    </wps:spPr>
                    <wps:txbx>
                      <w:txbxContent>
                        <w:p w14:paraId="76D5D4CA" w14:textId="04514CD0" w:rsidR="006559DC" w:rsidRPr="006559DC" w:rsidRDefault="006559DC" w:rsidP="006559DC">
                          <w:pPr>
                            <w:spacing w:after="0"/>
                            <w:rPr>
                              <w:rFonts w:ascii="Calibri" w:eastAsia="Calibri" w:hAnsi="Calibri" w:cs="Calibri"/>
                              <w:noProof/>
                              <w:color w:val="000000"/>
                              <w:sz w:val="20"/>
                            </w:rPr>
                          </w:pPr>
                          <w:r w:rsidRPr="006559DC">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94F11" id="_x0000_t202" coordsize="21600,21600" o:spt="202" path="m,l,21600r21600,l21600,xe">
              <v:stroke joinstyle="miter"/>
              <v:path gradientshapeok="t" o:connecttype="rect"/>
            </v:shapetype>
            <v:shape id="Text Box 561746739" o:spid="_x0000_s1032" type="#_x0000_t202" alt="IN-CONFIDENCE" style="position:absolute;margin-left:0;margin-top:0;width:62.25pt;height:29.2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" filled="f" stroked="f">
              <v:textbox style="mso-fit-shape-to-text:t" inset="0,15pt,0,0">
                <w:txbxContent>
                  <w:p w14:paraId="76D5D4CA" w14:textId="04514CD0" w:rsidR="006559DC" w:rsidRPr="006559DC" w:rsidRDefault="006559DC" w:rsidP="006559DC">
                    <w:pPr>
                      <w:spacing w:after="0"/>
                      <w:rPr>
                        <w:rFonts w:ascii="Calibri" w:eastAsia="Calibri" w:hAnsi="Calibri" w:cs="Calibri"/>
                        <w:noProof/>
                        <w:color w:val="000000"/>
                        <w:sz w:val="20"/>
                      </w:rPr>
                    </w:pPr>
                    <w:r w:rsidRPr="006559DC">
                      <w:rPr>
                        <w:rFonts w:ascii="Calibri" w:eastAsia="Calibri" w:hAnsi="Calibri" w:cs="Calibri"/>
                        <w:noProof/>
                        <w:color w:val="000000"/>
                        <w:sz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BE22" w14:textId="3F67B579" w:rsidR="006559DC" w:rsidRDefault="006559DC">
    <w:pPr>
      <w:pStyle w:val="Header"/>
    </w:pPr>
    <w:r>
      <w:rPr>
        <w:noProof/>
      </w:rPr>
      <mc:AlternateContent>
        <mc:Choice Requires="wps">
          <w:drawing>
            <wp:anchor distT="0" distB="0" distL="0" distR="0" simplePos="0" relativeHeight="251658244" behindDoc="0" locked="0" layoutInCell="1" allowOverlap="1" wp14:anchorId="0CA9896F" wp14:editId="041776F6">
              <wp:simplePos x="635" y="635"/>
              <wp:positionH relativeFrom="page">
                <wp:align>center</wp:align>
              </wp:positionH>
              <wp:positionV relativeFrom="page">
                <wp:align>top</wp:align>
              </wp:positionV>
              <wp:extent cx="790575" cy="371475"/>
              <wp:effectExtent l="0" t="0" r="9525" b="9525"/>
              <wp:wrapNone/>
              <wp:docPr id="1587404355" name="Text Box 158740435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a:noFill/>
                      </a:ln>
                    </wps:spPr>
                    <wps:txbx>
                      <w:txbxContent>
                        <w:p w14:paraId="2D1C0CB7" w14:textId="28208EEA" w:rsidR="006559DC" w:rsidRPr="006559DC" w:rsidRDefault="006559DC" w:rsidP="006559DC">
                          <w:pPr>
                            <w:spacing w:after="0"/>
                            <w:rPr>
                              <w:rFonts w:ascii="Calibri" w:eastAsia="Calibri" w:hAnsi="Calibri" w:cs="Calibri"/>
                              <w:noProof/>
                              <w:color w:val="000000"/>
                              <w:sz w:val="20"/>
                            </w:rPr>
                          </w:pPr>
                          <w:r w:rsidRPr="006559DC">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9896F" id="_x0000_t202" coordsize="21600,21600" o:spt="202" path="m,l,21600r21600,l21600,xe">
              <v:stroke joinstyle="miter"/>
              <v:path gradientshapeok="t" o:connecttype="rect"/>
            </v:shapetype>
            <v:shape id="Text Box 1587404355" o:spid="_x0000_s1033" type="#_x0000_t202" alt="IN-CONFIDENCE" style="position:absolute;margin-left:0;margin-top:0;width:62.25pt;height:29.2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" filled="f" stroked="f">
              <v:textbox style="mso-fit-shape-to-text:t" inset="0,15pt,0,0">
                <w:txbxContent>
                  <w:p w14:paraId="2D1C0CB7" w14:textId="28208EEA" w:rsidR="006559DC" w:rsidRPr="006559DC" w:rsidRDefault="006559DC" w:rsidP="006559DC">
                    <w:pPr>
                      <w:spacing w:after="0"/>
                      <w:rPr>
                        <w:rFonts w:ascii="Calibri" w:eastAsia="Calibri" w:hAnsi="Calibri" w:cs="Calibri"/>
                        <w:noProof/>
                        <w:color w:val="000000"/>
                        <w:sz w:val="20"/>
                      </w:rPr>
                    </w:pPr>
                    <w:r w:rsidRPr="006559DC">
                      <w:rPr>
                        <w:rFonts w:ascii="Calibri" w:eastAsia="Calibri" w:hAnsi="Calibri" w:cs="Calibri"/>
                        <w:noProof/>
                        <w:color w:val="000000"/>
                        <w:sz w:val="20"/>
                      </w:rPr>
                      <w:t>IN-CONFIDENCE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9851" w14:textId="7004E2E5" w:rsidR="006559DC" w:rsidRDefault="006559DC">
    <w:pPr>
      <w:pStyle w:val="Header"/>
    </w:pPr>
    <w:r>
      <w:rPr>
        <w:noProof/>
      </w:rPr>
      <mc:AlternateContent>
        <mc:Choice Requires="wps">
          <w:drawing>
            <wp:anchor distT="0" distB="0" distL="0" distR="0" simplePos="0" relativeHeight="251658245" behindDoc="0" locked="0" layoutInCell="1" allowOverlap="1" wp14:anchorId="06815C7D" wp14:editId="4A328B20">
              <wp:simplePos x="635" y="635"/>
              <wp:positionH relativeFrom="page">
                <wp:align>center</wp:align>
              </wp:positionH>
              <wp:positionV relativeFrom="page">
                <wp:align>top</wp:align>
              </wp:positionV>
              <wp:extent cx="790575" cy="371475"/>
              <wp:effectExtent l="0" t="0" r="9525" b="9525"/>
              <wp:wrapNone/>
              <wp:docPr id="979108815" name="Text Box 97910881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a:noFill/>
                      </a:ln>
                    </wps:spPr>
                    <wps:txbx>
                      <w:txbxContent>
                        <w:p w14:paraId="4287E439" w14:textId="724B34B9" w:rsidR="006559DC" w:rsidRPr="006559DC" w:rsidRDefault="006559DC" w:rsidP="006559DC">
                          <w:pPr>
                            <w:spacing w:after="0"/>
                            <w:rPr>
                              <w:rFonts w:ascii="Calibri" w:eastAsia="Calibri" w:hAnsi="Calibri" w:cs="Calibri"/>
                              <w:noProof/>
                              <w:color w:val="000000"/>
                              <w:sz w:val="20"/>
                            </w:rPr>
                          </w:pPr>
                          <w:r w:rsidRPr="006559DC">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815C7D" id="_x0000_t202" coordsize="21600,21600" o:spt="202" path="m,l,21600r21600,l21600,xe">
              <v:stroke joinstyle="miter"/>
              <v:path gradientshapeok="t" o:connecttype="rect"/>
            </v:shapetype>
            <v:shape id="Text Box 979108815" o:spid="_x0000_s1035" type="#_x0000_t202" alt="IN-CONFIDENCE" style="position:absolute;margin-left:0;margin-top:0;width:62.25pt;height:29.2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" filled="f" stroked="f">
              <v:textbox style="mso-fit-shape-to-text:t" inset="0,15pt,0,0">
                <w:txbxContent>
                  <w:p w14:paraId="4287E439" w14:textId="724B34B9" w:rsidR="006559DC" w:rsidRPr="006559DC" w:rsidRDefault="006559DC" w:rsidP="006559DC">
                    <w:pPr>
                      <w:spacing w:after="0"/>
                      <w:rPr>
                        <w:rFonts w:ascii="Calibri" w:eastAsia="Calibri" w:hAnsi="Calibri" w:cs="Calibri"/>
                        <w:noProof/>
                        <w:color w:val="000000"/>
                        <w:sz w:val="20"/>
                      </w:rPr>
                    </w:pPr>
                    <w:r w:rsidRPr="006559DC">
                      <w:rPr>
                        <w:rFonts w:ascii="Calibri" w:eastAsia="Calibri" w:hAnsi="Calibri" w:cs="Calibri"/>
                        <w:noProof/>
                        <w:color w:val="000000"/>
                        <w:sz w:val="20"/>
                      </w:rPr>
                      <w:t>IN-CONFIDENCE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FF"/>
    <w:multiLevelType w:val="multilevel"/>
    <w:tmpl w:val="A1B6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940E1"/>
    <w:multiLevelType w:val="multilevel"/>
    <w:tmpl w:val="8B7CB4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697771D"/>
    <w:multiLevelType w:val="multilevel"/>
    <w:tmpl w:val="E3D0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B055D"/>
    <w:multiLevelType w:val="multilevel"/>
    <w:tmpl w:val="D834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430C86"/>
    <w:multiLevelType w:val="multilevel"/>
    <w:tmpl w:val="44BAF1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97D2E9C"/>
    <w:multiLevelType w:val="multilevel"/>
    <w:tmpl w:val="BA2840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9A943EC"/>
    <w:multiLevelType w:val="multilevel"/>
    <w:tmpl w:val="CDCA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DC7920"/>
    <w:multiLevelType w:val="multilevel"/>
    <w:tmpl w:val="3308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3E1F76"/>
    <w:multiLevelType w:val="multilevel"/>
    <w:tmpl w:val="6DE0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DF3E61"/>
    <w:multiLevelType w:val="multilevel"/>
    <w:tmpl w:val="BC128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B880D31"/>
    <w:multiLevelType w:val="multilevel"/>
    <w:tmpl w:val="9A26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9854E3"/>
    <w:multiLevelType w:val="multilevel"/>
    <w:tmpl w:val="7BE2EF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CED07C5"/>
    <w:multiLevelType w:val="multilevel"/>
    <w:tmpl w:val="896A40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D180BF1"/>
    <w:multiLevelType w:val="multilevel"/>
    <w:tmpl w:val="A59AB3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E1560E5"/>
    <w:multiLevelType w:val="hybridMultilevel"/>
    <w:tmpl w:val="E396967E"/>
    <w:lvl w:ilvl="0" w:tplc="14090019">
      <w:start w:val="1"/>
      <w:numFmt w:val="lowerLetter"/>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15" w15:restartNumberingAfterBreak="0">
    <w:nsid w:val="0E741819"/>
    <w:multiLevelType w:val="multilevel"/>
    <w:tmpl w:val="7866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08508C"/>
    <w:multiLevelType w:val="multilevel"/>
    <w:tmpl w:val="C7907F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0F1D7D18"/>
    <w:multiLevelType w:val="multilevel"/>
    <w:tmpl w:val="9400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AF4C96"/>
    <w:multiLevelType w:val="multilevel"/>
    <w:tmpl w:val="9BC2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A06805"/>
    <w:multiLevelType w:val="multilevel"/>
    <w:tmpl w:val="A63C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19027B"/>
    <w:multiLevelType w:val="multilevel"/>
    <w:tmpl w:val="5FEE9600"/>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D276C5"/>
    <w:multiLevelType w:val="multilevel"/>
    <w:tmpl w:val="592C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644828"/>
    <w:multiLevelType w:val="multilevel"/>
    <w:tmpl w:val="BF6C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B8C086D"/>
    <w:multiLevelType w:val="multilevel"/>
    <w:tmpl w:val="DC30AB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1CB0360A"/>
    <w:multiLevelType w:val="multilevel"/>
    <w:tmpl w:val="D6D41B7A"/>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1D0E5DEC"/>
    <w:multiLevelType w:val="multilevel"/>
    <w:tmpl w:val="FDC2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D3238A8"/>
    <w:multiLevelType w:val="multilevel"/>
    <w:tmpl w:val="D6D41B7A"/>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1DDB1C02"/>
    <w:multiLevelType w:val="multilevel"/>
    <w:tmpl w:val="386CDF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1F570A1F"/>
    <w:multiLevelType w:val="multilevel"/>
    <w:tmpl w:val="E90E77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1F5F2EFF"/>
    <w:multiLevelType w:val="multilevel"/>
    <w:tmpl w:val="4ED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1125D49"/>
    <w:multiLevelType w:val="multilevel"/>
    <w:tmpl w:val="E6E0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2821B19"/>
    <w:multiLevelType w:val="multilevel"/>
    <w:tmpl w:val="4282F6E2"/>
    <w:lvl w:ilvl="0">
      <w:start w:val="1"/>
      <w:numFmt w:val="bullet"/>
      <w:lvlText w:val="o"/>
      <w:lvlJc w:val="left"/>
      <w:pPr>
        <w:ind w:left="1134" w:hanging="567"/>
      </w:pPr>
      <w:rPr>
        <w:rFonts w:ascii="Courier New" w:hAnsi="Courier New" w:cs="Courier New" w:hint="default"/>
      </w:rPr>
    </w:lvl>
    <w:lvl w:ilvl="1">
      <w:start w:val="1"/>
      <w:numFmt w:val="bullet"/>
      <w:lvlText w:val=""/>
      <w:lvlJc w:val="left"/>
      <w:pPr>
        <w:ind w:left="1701" w:hanging="567"/>
      </w:pPr>
      <w:rPr>
        <w:rFonts w:ascii="Symbol" w:hAnsi="Symbol"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32" w15:restartNumberingAfterBreak="0">
    <w:nsid w:val="242D1804"/>
    <w:multiLevelType w:val="hybridMultilevel"/>
    <w:tmpl w:val="FDBCAF56"/>
    <w:lvl w:ilvl="0" w:tplc="E2DCAE00">
      <w:start w:val="1"/>
      <w:numFmt w:val="decimal"/>
      <w:lvlText w:val="%1."/>
      <w:lvlJc w:val="left"/>
      <w:pPr>
        <w:ind w:left="1440" w:hanging="360"/>
      </w:pPr>
    </w:lvl>
    <w:lvl w:ilvl="1" w:tplc="D1A09330">
      <w:start w:val="1"/>
      <w:numFmt w:val="decimal"/>
      <w:lvlText w:val="%2."/>
      <w:lvlJc w:val="left"/>
      <w:pPr>
        <w:ind w:left="1440" w:hanging="360"/>
      </w:pPr>
    </w:lvl>
    <w:lvl w:ilvl="2" w:tplc="26C4AC2A">
      <w:start w:val="1"/>
      <w:numFmt w:val="decimal"/>
      <w:lvlText w:val="%3."/>
      <w:lvlJc w:val="left"/>
      <w:pPr>
        <w:ind w:left="1440" w:hanging="360"/>
      </w:pPr>
    </w:lvl>
    <w:lvl w:ilvl="3" w:tplc="74EE5DFC">
      <w:start w:val="1"/>
      <w:numFmt w:val="decimal"/>
      <w:lvlText w:val="%4."/>
      <w:lvlJc w:val="left"/>
      <w:pPr>
        <w:ind w:left="1440" w:hanging="360"/>
      </w:pPr>
    </w:lvl>
    <w:lvl w:ilvl="4" w:tplc="2200AAFC">
      <w:start w:val="1"/>
      <w:numFmt w:val="decimal"/>
      <w:lvlText w:val="%5."/>
      <w:lvlJc w:val="left"/>
      <w:pPr>
        <w:ind w:left="1440" w:hanging="360"/>
      </w:pPr>
    </w:lvl>
    <w:lvl w:ilvl="5" w:tplc="073CC974">
      <w:start w:val="1"/>
      <w:numFmt w:val="decimal"/>
      <w:lvlText w:val="%6."/>
      <w:lvlJc w:val="left"/>
      <w:pPr>
        <w:ind w:left="1440" w:hanging="360"/>
      </w:pPr>
    </w:lvl>
    <w:lvl w:ilvl="6" w:tplc="E008359C">
      <w:start w:val="1"/>
      <w:numFmt w:val="decimal"/>
      <w:lvlText w:val="%7."/>
      <w:lvlJc w:val="left"/>
      <w:pPr>
        <w:ind w:left="1440" w:hanging="360"/>
      </w:pPr>
    </w:lvl>
    <w:lvl w:ilvl="7" w:tplc="1BBA2996">
      <w:start w:val="1"/>
      <w:numFmt w:val="decimal"/>
      <w:lvlText w:val="%8."/>
      <w:lvlJc w:val="left"/>
      <w:pPr>
        <w:ind w:left="1440" w:hanging="360"/>
      </w:pPr>
    </w:lvl>
    <w:lvl w:ilvl="8" w:tplc="B0D800DC">
      <w:start w:val="1"/>
      <w:numFmt w:val="decimal"/>
      <w:lvlText w:val="%9."/>
      <w:lvlJc w:val="left"/>
      <w:pPr>
        <w:ind w:left="1440" w:hanging="360"/>
      </w:pPr>
    </w:lvl>
  </w:abstractNum>
  <w:abstractNum w:abstractNumId="33" w15:restartNumberingAfterBreak="0">
    <w:nsid w:val="243966DD"/>
    <w:multiLevelType w:val="hybridMultilevel"/>
    <w:tmpl w:val="EED024EE"/>
    <w:lvl w:ilvl="0" w:tplc="1CF0A4EA">
      <w:start w:val="1"/>
      <w:numFmt w:val="bullet"/>
      <w:lvlText w:val=""/>
      <w:lvlJc w:val="left"/>
      <w:pPr>
        <w:ind w:left="1000" w:hanging="360"/>
      </w:pPr>
      <w:rPr>
        <w:rFonts w:ascii="Symbol" w:hAnsi="Symbol"/>
      </w:rPr>
    </w:lvl>
    <w:lvl w:ilvl="1" w:tplc="4BB6E6F4">
      <w:start w:val="1"/>
      <w:numFmt w:val="bullet"/>
      <w:lvlText w:val=""/>
      <w:lvlJc w:val="left"/>
      <w:pPr>
        <w:ind w:left="1000" w:hanging="360"/>
      </w:pPr>
      <w:rPr>
        <w:rFonts w:ascii="Symbol" w:hAnsi="Symbol"/>
      </w:rPr>
    </w:lvl>
    <w:lvl w:ilvl="2" w:tplc="A9C6B682">
      <w:start w:val="1"/>
      <w:numFmt w:val="bullet"/>
      <w:lvlText w:val=""/>
      <w:lvlJc w:val="left"/>
      <w:pPr>
        <w:ind w:left="1000" w:hanging="360"/>
      </w:pPr>
      <w:rPr>
        <w:rFonts w:ascii="Symbol" w:hAnsi="Symbol"/>
      </w:rPr>
    </w:lvl>
    <w:lvl w:ilvl="3" w:tplc="389C1676">
      <w:start w:val="1"/>
      <w:numFmt w:val="bullet"/>
      <w:lvlText w:val=""/>
      <w:lvlJc w:val="left"/>
      <w:pPr>
        <w:ind w:left="1000" w:hanging="360"/>
      </w:pPr>
      <w:rPr>
        <w:rFonts w:ascii="Symbol" w:hAnsi="Symbol"/>
      </w:rPr>
    </w:lvl>
    <w:lvl w:ilvl="4" w:tplc="FC723624">
      <w:start w:val="1"/>
      <w:numFmt w:val="bullet"/>
      <w:lvlText w:val=""/>
      <w:lvlJc w:val="left"/>
      <w:pPr>
        <w:ind w:left="1000" w:hanging="360"/>
      </w:pPr>
      <w:rPr>
        <w:rFonts w:ascii="Symbol" w:hAnsi="Symbol"/>
      </w:rPr>
    </w:lvl>
    <w:lvl w:ilvl="5" w:tplc="7D56C19A">
      <w:start w:val="1"/>
      <w:numFmt w:val="bullet"/>
      <w:lvlText w:val=""/>
      <w:lvlJc w:val="left"/>
      <w:pPr>
        <w:ind w:left="1000" w:hanging="360"/>
      </w:pPr>
      <w:rPr>
        <w:rFonts w:ascii="Symbol" w:hAnsi="Symbol"/>
      </w:rPr>
    </w:lvl>
    <w:lvl w:ilvl="6" w:tplc="BBF08B12">
      <w:start w:val="1"/>
      <w:numFmt w:val="bullet"/>
      <w:lvlText w:val=""/>
      <w:lvlJc w:val="left"/>
      <w:pPr>
        <w:ind w:left="1000" w:hanging="360"/>
      </w:pPr>
      <w:rPr>
        <w:rFonts w:ascii="Symbol" w:hAnsi="Symbol"/>
      </w:rPr>
    </w:lvl>
    <w:lvl w:ilvl="7" w:tplc="9DC61D64">
      <w:start w:val="1"/>
      <w:numFmt w:val="bullet"/>
      <w:lvlText w:val=""/>
      <w:lvlJc w:val="left"/>
      <w:pPr>
        <w:ind w:left="1000" w:hanging="360"/>
      </w:pPr>
      <w:rPr>
        <w:rFonts w:ascii="Symbol" w:hAnsi="Symbol"/>
      </w:rPr>
    </w:lvl>
    <w:lvl w:ilvl="8" w:tplc="0CA0BDBE">
      <w:start w:val="1"/>
      <w:numFmt w:val="bullet"/>
      <w:lvlText w:val=""/>
      <w:lvlJc w:val="left"/>
      <w:pPr>
        <w:ind w:left="1000" w:hanging="360"/>
      </w:pPr>
      <w:rPr>
        <w:rFonts w:ascii="Symbol" w:hAnsi="Symbol"/>
      </w:rPr>
    </w:lvl>
  </w:abstractNum>
  <w:abstractNum w:abstractNumId="34" w15:restartNumberingAfterBreak="0">
    <w:nsid w:val="24FD36AD"/>
    <w:multiLevelType w:val="multilevel"/>
    <w:tmpl w:val="D19C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5462AF3"/>
    <w:multiLevelType w:val="multilevel"/>
    <w:tmpl w:val="B2CC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5557183"/>
    <w:multiLevelType w:val="multilevel"/>
    <w:tmpl w:val="E3CC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59A399F"/>
    <w:multiLevelType w:val="multilevel"/>
    <w:tmpl w:val="857ECD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25E62F65"/>
    <w:multiLevelType w:val="hybridMultilevel"/>
    <w:tmpl w:val="74880288"/>
    <w:lvl w:ilvl="0" w:tplc="F5B82AE6">
      <w:start w:val="1"/>
      <w:numFmt w:val="decimal"/>
      <w:lvlText w:val="%1."/>
      <w:lvlJc w:val="left"/>
      <w:pPr>
        <w:ind w:left="5889" w:hanging="360"/>
      </w:pPr>
      <w:rPr>
        <w:b w:val="0"/>
        <w:bCs/>
      </w:rPr>
    </w:lvl>
    <w:lvl w:ilvl="1" w:tplc="C3F646C4">
      <w:start w:val="1"/>
      <w:numFmt w:val="lowerLetter"/>
      <w:lvlText w:val="%2."/>
      <w:lvlJc w:val="left"/>
      <w:pPr>
        <w:ind w:left="1440" w:hanging="360"/>
      </w:pPr>
      <w:rPr>
        <w:rFonts w:ascii="Arial" w:hAnsi="Arial" w:cs="Arial" w:hint="default"/>
        <w:sz w:val="22"/>
        <w:szCs w:val="22"/>
      </w:rPr>
    </w:lvl>
    <w:lvl w:ilvl="2" w:tplc="1409001B">
      <w:start w:val="1"/>
      <w:numFmt w:val="lowerRoman"/>
      <w:lvlText w:val="%3."/>
      <w:lvlJc w:val="right"/>
      <w:pPr>
        <w:ind w:left="2160" w:hanging="180"/>
      </w:pPr>
    </w:lvl>
    <w:lvl w:ilvl="3" w:tplc="D8F6CF12">
      <w:start w:val="1"/>
      <w:numFmt w:val="lowerLetter"/>
      <w:lvlText w:val="%4."/>
      <w:lvlJc w:val="left"/>
      <w:pPr>
        <w:ind w:left="2880" w:hanging="360"/>
      </w:pPr>
      <w:rPr>
        <w:rFonts w:hint="default"/>
      </w:r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25F61606"/>
    <w:multiLevelType w:val="multilevel"/>
    <w:tmpl w:val="429E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64738E0"/>
    <w:multiLevelType w:val="hybridMultilevel"/>
    <w:tmpl w:val="69F09FBC"/>
    <w:lvl w:ilvl="0" w:tplc="9C723C0A">
      <w:start w:val="1"/>
      <w:numFmt w:val="bullet"/>
      <w:lvlText w:val=""/>
      <w:lvlJc w:val="left"/>
      <w:pPr>
        <w:ind w:left="1020" w:hanging="360"/>
      </w:pPr>
      <w:rPr>
        <w:rFonts w:ascii="Symbol" w:hAnsi="Symbol"/>
      </w:rPr>
    </w:lvl>
    <w:lvl w:ilvl="1" w:tplc="B9B60956">
      <w:start w:val="1"/>
      <w:numFmt w:val="bullet"/>
      <w:lvlText w:val=""/>
      <w:lvlJc w:val="left"/>
      <w:pPr>
        <w:ind w:left="1020" w:hanging="360"/>
      </w:pPr>
      <w:rPr>
        <w:rFonts w:ascii="Symbol" w:hAnsi="Symbol"/>
      </w:rPr>
    </w:lvl>
    <w:lvl w:ilvl="2" w:tplc="AAFC3946">
      <w:start w:val="1"/>
      <w:numFmt w:val="bullet"/>
      <w:lvlText w:val=""/>
      <w:lvlJc w:val="left"/>
      <w:pPr>
        <w:ind w:left="1020" w:hanging="360"/>
      </w:pPr>
      <w:rPr>
        <w:rFonts w:ascii="Symbol" w:hAnsi="Symbol"/>
      </w:rPr>
    </w:lvl>
    <w:lvl w:ilvl="3" w:tplc="9A38FEC6">
      <w:start w:val="1"/>
      <w:numFmt w:val="bullet"/>
      <w:lvlText w:val=""/>
      <w:lvlJc w:val="left"/>
      <w:pPr>
        <w:ind w:left="1020" w:hanging="360"/>
      </w:pPr>
      <w:rPr>
        <w:rFonts w:ascii="Symbol" w:hAnsi="Symbol"/>
      </w:rPr>
    </w:lvl>
    <w:lvl w:ilvl="4" w:tplc="8E803B38">
      <w:start w:val="1"/>
      <w:numFmt w:val="bullet"/>
      <w:lvlText w:val=""/>
      <w:lvlJc w:val="left"/>
      <w:pPr>
        <w:ind w:left="1020" w:hanging="360"/>
      </w:pPr>
      <w:rPr>
        <w:rFonts w:ascii="Symbol" w:hAnsi="Symbol"/>
      </w:rPr>
    </w:lvl>
    <w:lvl w:ilvl="5" w:tplc="26921EB4">
      <w:start w:val="1"/>
      <w:numFmt w:val="bullet"/>
      <w:lvlText w:val=""/>
      <w:lvlJc w:val="left"/>
      <w:pPr>
        <w:ind w:left="1020" w:hanging="360"/>
      </w:pPr>
      <w:rPr>
        <w:rFonts w:ascii="Symbol" w:hAnsi="Symbol"/>
      </w:rPr>
    </w:lvl>
    <w:lvl w:ilvl="6" w:tplc="5D04EE80">
      <w:start w:val="1"/>
      <w:numFmt w:val="bullet"/>
      <w:lvlText w:val=""/>
      <w:lvlJc w:val="left"/>
      <w:pPr>
        <w:ind w:left="1020" w:hanging="360"/>
      </w:pPr>
      <w:rPr>
        <w:rFonts w:ascii="Symbol" w:hAnsi="Symbol"/>
      </w:rPr>
    </w:lvl>
    <w:lvl w:ilvl="7" w:tplc="2C7ACE8A">
      <w:start w:val="1"/>
      <w:numFmt w:val="bullet"/>
      <w:lvlText w:val=""/>
      <w:lvlJc w:val="left"/>
      <w:pPr>
        <w:ind w:left="1020" w:hanging="360"/>
      </w:pPr>
      <w:rPr>
        <w:rFonts w:ascii="Symbol" w:hAnsi="Symbol"/>
      </w:rPr>
    </w:lvl>
    <w:lvl w:ilvl="8" w:tplc="0072846C">
      <w:start w:val="1"/>
      <w:numFmt w:val="bullet"/>
      <w:lvlText w:val=""/>
      <w:lvlJc w:val="left"/>
      <w:pPr>
        <w:ind w:left="1020" w:hanging="360"/>
      </w:pPr>
      <w:rPr>
        <w:rFonts w:ascii="Symbol" w:hAnsi="Symbol"/>
      </w:rPr>
    </w:lvl>
  </w:abstractNum>
  <w:abstractNum w:abstractNumId="41" w15:restartNumberingAfterBreak="0">
    <w:nsid w:val="2A14041E"/>
    <w:multiLevelType w:val="multilevel"/>
    <w:tmpl w:val="4FDACF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2CAB6A91"/>
    <w:multiLevelType w:val="multilevel"/>
    <w:tmpl w:val="2E3284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2D751BE1"/>
    <w:multiLevelType w:val="hybridMultilevel"/>
    <w:tmpl w:val="944816B2"/>
    <w:lvl w:ilvl="0" w:tplc="FFFFFFFF">
      <w:start w:val="1"/>
      <w:numFmt w:val="lowerLetter"/>
      <w:lvlText w:val="%1."/>
      <w:lvlJc w:val="left"/>
      <w:pPr>
        <w:ind w:left="6195" w:hanging="360"/>
      </w:pPr>
    </w:lvl>
    <w:lvl w:ilvl="1" w:tplc="FFFFFFFF" w:tentative="1">
      <w:start w:val="1"/>
      <w:numFmt w:val="lowerLetter"/>
      <w:lvlText w:val="%2."/>
      <w:lvlJc w:val="left"/>
      <w:pPr>
        <w:ind w:left="6915" w:hanging="360"/>
      </w:pPr>
    </w:lvl>
    <w:lvl w:ilvl="2" w:tplc="FFFFFFFF" w:tentative="1">
      <w:start w:val="1"/>
      <w:numFmt w:val="lowerRoman"/>
      <w:lvlText w:val="%3."/>
      <w:lvlJc w:val="right"/>
      <w:pPr>
        <w:ind w:left="7635" w:hanging="180"/>
      </w:pPr>
    </w:lvl>
    <w:lvl w:ilvl="3" w:tplc="FFFFFFFF" w:tentative="1">
      <w:start w:val="1"/>
      <w:numFmt w:val="decimal"/>
      <w:lvlText w:val="%4."/>
      <w:lvlJc w:val="left"/>
      <w:pPr>
        <w:ind w:left="8355" w:hanging="360"/>
      </w:pPr>
    </w:lvl>
    <w:lvl w:ilvl="4" w:tplc="FFFFFFFF" w:tentative="1">
      <w:start w:val="1"/>
      <w:numFmt w:val="lowerLetter"/>
      <w:lvlText w:val="%5."/>
      <w:lvlJc w:val="left"/>
      <w:pPr>
        <w:ind w:left="9075" w:hanging="360"/>
      </w:pPr>
    </w:lvl>
    <w:lvl w:ilvl="5" w:tplc="FFFFFFFF" w:tentative="1">
      <w:start w:val="1"/>
      <w:numFmt w:val="lowerRoman"/>
      <w:lvlText w:val="%6."/>
      <w:lvlJc w:val="right"/>
      <w:pPr>
        <w:ind w:left="9795" w:hanging="180"/>
      </w:pPr>
    </w:lvl>
    <w:lvl w:ilvl="6" w:tplc="FFFFFFFF" w:tentative="1">
      <w:start w:val="1"/>
      <w:numFmt w:val="decimal"/>
      <w:lvlText w:val="%7."/>
      <w:lvlJc w:val="left"/>
      <w:pPr>
        <w:ind w:left="10515" w:hanging="360"/>
      </w:pPr>
    </w:lvl>
    <w:lvl w:ilvl="7" w:tplc="FFFFFFFF" w:tentative="1">
      <w:start w:val="1"/>
      <w:numFmt w:val="lowerLetter"/>
      <w:lvlText w:val="%8."/>
      <w:lvlJc w:val="left"/>
      <w:pPr>
        <w:ind w:left="11235" w:hanging="360"/>
      </w:pPr>
    </w:lvl>
    <w:lvl w:ilvl="8" w:tplc="FFFFFFFF" w:tentative="1">
      <w:start w:val="1"/>
      <w:numFmt w:val="lowerRoman"/>
      <w:lvlText w:val="%9."/>
      <w:lvlJc w:val="right"/>
      <w:pPr>
        <w:ind w:left="11955" w:hanging="180"/>
      </w:pPr>
    </w:lvl>
  </w:abstractNum>
  <w:abstractNum w:abstractNumId="44" w15:restartNumberingAfterBreak="0">
    <w:nsid w:val="2E9E17DF"/>
    <w:multiLevelType w:val="multilevel"/>
    <w:tmpl w:val="19506E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2F323C6F"/>
    <w:multiLevelType w:val="multilevel"/>
    <w:tmpl w:val="D19C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09A4579"/>
    <w:multiLevelType w:val="multilevel"/>
    <w:tmpl w:val="0A1A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0C078B0"/>
    <w:multiLevelType w:val="multilevel"/>
    <w:tmpl w:val="7CEA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174597C"/>
    <w:multiLevelType w:val="multilevel"/>
    <w:tmpl w:val="3B28EB36"/>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49" w15:restartNumberingAfterBreak="0">
    <w:nsid w:val="31D73596"/>
    <w:multiLevelType w:val="multilevel"/>
    <w:tmpl w:val="ED94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2122BCC"/>
    <w:multiLevelType w:val="multilevel"/>
    <w:tmpl w:val="CB8E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3092B64"/>
    <w:multiLevelType w:val="multilevel"/>
    <w:tmpl w:val="D0F8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3213117"/>
    <w:multiLevelType w:val="multilevel"/>
    <w:tmpl w:val="15B04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33B85C37"/>
    <w:multiLevelType w:val="multilevel"/>
    <w:tmpl w:val="EC4A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52C1B45"/>
    <w:multiLevelType w:val="hybridMultilevel"/>
    <w:tmpl w:val="27E62F54"/>
    <w:lvl w:ilvl="0" w:tplc="B7802A04">
      <w:numFmt w:val="bullet"/>
      <w:lvlText w:val="-"/>
      <w:lvlJc w:val="left"/>
      <w:pPr>
        <w:ind w:left="1080" w:hanging="36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5" w15:restartNumberingAfterBreak="0">
    <w:nsid w:val="3539082D"/>
    <w:multiLevelType w:val="hybridMultilevel"/>
    <w:tmpl w:val="B30C4CCA"/>
    <w:lvl w:ilvl="0" w:tplc="6C0C79D2">
      <w:start w:val="1"/>
      <w:numFmt w:val="bullet"/>
      <w:pStyle w:val="Table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6" w15:restartNumberingAfterBreak="0">
    <w:nsid w:val="35693673"/>
    <w:multiLevelType w:val="multilevel"/>
    <w:tmpl w:val="51D49C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362B544B"/>
    <w:multiLevelType w:val="multilevel"/>
    <w:tmpl w:val="1DB63D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368F577D"/>
    <w:multiLevelType w:val="multilevel"/>
    <w:tmpl w:val="4B267C5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9" w15:restartNumberingAfterBreak="0">
    <w:nsid w:val="36A4749C"/>
    <w:multiLevelType w:val="multilevel"/>
    <w:tmpl w:val="C33C8E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37AA21E5"/>
    <w:multiLevelType w:val="multilevel"/>
    <w:tmpl w:val="2C82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8DE5A8D"/>
    <w:multiLevelType w:val="hybridMultilevel"/>
    <w:tmpl w:val="1BE440D0"/>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39884D44"/>
    <w:multiLevelType w:val="multilevel"/>
    <w:tmpl w:val="81BA280A"/>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3" w15:restartNumberingAfterBreak="0">
    <w:nsid w:val="39F07522"/>
    <w:multiLevelType w:val="multilevel"/>
    <w:tmpl w:val="B2E2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A965199"/>
    <w:multiLevelType w:val="multilevel"/>
    <w:tmpl w:val="3458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AB20AD6"/>
    <w:multiLevelType w:val="multilevel"/>
    <w:tmpl w:val="F078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B340740"/>
    <w:multiLevelType w:val="multilevel"/>
    <w:tmpl w:val="BBF6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D506EF6"/>
    <w:multiLevelType w:val="multilevel"/>
    <w:tmpl w:val="2AE054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3DD13C3F"/>
    <w:multiLevelType w:val="multilevel"/>
    <w:tmpl w:val="F7FAC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40442FF9"/>
    <w:multiLevelType w:val="multilevel"/>
    <w:tmpl w:val="65A4C3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42B67310"/>
    <w:multiLevelType w:val="multilevel"/>
    <w:tmpl w:val="5D76FBB0"/>
    <w:lvl w:ilvl="0">
      <w:start w:val="1"/>
      <w:numFmt w:val="decimal"/>
      <w:lvlText w:val="%1"/>
      <w:lvlJc w:val="left"/>
      <w:pPr>
        <w:tabs>
          <w:tab w:val="num" w:pos="493"/>
        </w:tabs>
        <w:ind w:left="493" w:hanging="493"/>
      </w:pPr>
      <w:rPr>
        <w:rFonts w:hint="default"/>
      </w:rPr>
    </w:lvl>
    <w:lvl w:ilvl="1">
      <w:start w:val="1"/>
      <w:numFmt w:val="decimal"/>
      <w:lvlText w:val="%2."/>
      <w:lvlJc w:val="left"/>
      <w:pPr>
        <w:ind w:left="853" w:hanging="360"/>
      </w:p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1" w15:restartNumberingAfterBreak="0">
    <w:nsid w:val="44D30CF4"/>
    <w:multiLevelType w:val="multilevel"/>
    <w:tmpl w:val="4882F5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47C2306F"/>
    <w:multiLevelType w:val="multilevel"/>
    <w:tmpl w:val="9C1A23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48116922"/>
    <w:multiLevelType w:val="multilevel"/>
    <w:tmpl w:val="213A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AFD0E83"/>
    <w:multiLevelType w:val="multilevel"/>
    <w:tmpl w:val="B086B0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4B5B2F3D"/>
    <w:multiLevelType w:val="hybridMultilevel"/>
    <w:tmpl w:val="E7CAE5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4B7500D5"/>
    <w:multiLevelType w:val="hybridMultilevel"/>
    <w:tmpl w:val="4642E87E"/>
    <w:lvl w:ilvl="0" w:tplc="EA70931E">
      <w:start w:val="1"/>
      <w:numFmt w:val="bullet"/>
      <w:lvlText w:val=""/>
      <w:lvlJc w:val="left"/>
      <w:pPr>
        <w:ind w:left="1080" w:hanging="360"/>
      </w:pPr>
      <w:rPr>
        <w:rFonts w:ascii="Symbol" w:hAnsi="Symbol"/>
      </w:rPr>
    </w:lvl>
    <w:lvl w:ilvl="1" w:tplc="85F231A0">
      <w:start w:val="1"/>
      <w:numFmt w:val="bullet"/>
      <w:lvlText w:val=""/>
      <w:lvlJc w:val="left"/>
      <w:pPr>
        <w:ind w:left="1080" w:hanging="360"/>
      </w:pPr>
      <w:rPr>
        <w:rFonts w:ascii="Symbol" w:hAnsi="Symbol"/>
      </w:rPr>
    </w:lvl>
    <w:lvl w:ilvl="2" w:tplc="29E22064">
      <w:start w:val="1"/>
      <w:numFmt w:val="bullet"/>
      <w:lvlText w:val=""/>
      <w:lvlJc w:val="left"/>
      <w:pPr>
        <w:ind w:left="1080" w:hanging="360"/>
      </w:pPr>
      <w:rPr>
        <w:rFonts w:ascii="Symbol" w:hAnsi="Symbol"/>
      </w:rPr>
    </w:lvl>
    <w:lvl w:ilvl="3" w:tplc="E128699C">
      <w:start w:val="1"/>
      <w:numFmt w:val="bullet"/>
      <w:lvlText w:val=""/>
      <w:lvlJc w:val="left"/>
      <w:pPr>
        <w:ind w:left="1080" w:hanging="360"/>
      </w:pPr>
      <w:rPr>
        <w:rFonts w:ascii="Symbol" w:hAnsi="Symbol"/>
      </w:rPr>
    </w:lvl>
    <w:lvl w:ilvl="4" w:tplc="2826A4DE">
      <w:start w:val="1"/>
      <w:numFmt w:val="bullet"/>
      <w:lvlText w:val=""/>
      <w:lvlJc w:val="left"/>
      <w:pPr>
        <w:ind w:left="1080" w:hanging="360"/>
      </w:pPr>
      <w:rPr>
        <w:rFonts w:ascii="Symbol" w:hAnsi="Symbol"/>
      </w:rPr>
    </w:lvl>
    <w:lvl w:ilvl="5" w:tplc="54E66290">
      <w:start w:val="1"/>
      <w:numFmt w:val="bullet"/>
      <w:lvlText w:val=""/>
      <w:lvlJc w:val="left"/>
      <w:pPr>
        <w:ind w:left="1080" w:hanging="360"/>
      </w:pPr>
      <w:rPr>
        <w:rFonts w:ascii="Symbol" w:hAnsi="Symbol"/>
      </w:rPr>
    </w:lvl>
    <w:lvl w:ilvl="6" w:tplc="B504D8F8">
      <w:start w:val="1"/>
      <w:numFmt w:val="bullet"/>
      <w:lvlText w:val=""/>
      <w:lvlJc w:val="left"/>
      <w:pPr>
        <w:ind w:left="1080" w:hanging="360"/>
      </w:pPr>
      <w:rPr>
        <w:rFonts w:ascii="Symbol" w:hAnsi="Symbol"/>
      </w:rPr>
    </w:lvl>
    <w:lvl w:ilvl="7" w:tplc="1C7C19C0">
      <w:start w:val="1"/>
      <w:numFmt w:val="bullet"/>
      <w:lvlText w:val=""/>
      <w:lvlJc w:val="left"/>
      <w:pPr>
        <w:ind w:left="1080" w:hanging="360"/>
      </w:pPr>
      <w:rPr>
        <w:rFonts w:ascii="Symbol" w:hAnsi="Symbol"/>
      </w:rPr>
    </w:lvl>
    <w:lvl w:ilvl="8" w:tplc="4376524C">
      <w:start w:val="1"/>
      <w:numFmt w:val="bullet"/>
      <w:lvlText w:val=""/>
      <w:lvlJc w:val="left"/>
      <w:pPr>
        <w:ind w:left="1080" w:hanging="360"/>
      </w:pPr>
      <w:rPr>
        <w:rFonts w:ascii="Symbol" w:hAnsi="Symbol"/>
      </w:rPr>
    </w:lvl>
  </w:abstractNum>
  <w:abstractNum w:abstractNumId="77" w15:restartNumberingAfterBreak="0">
    <w:nsid w:val="4C371D8C"/>
    <w:multiLevelType w:val="multilevel"/>
    <w:tmpl w:val="635076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4C3D182A"/>
    <w:multiLevelType w:val="multilevel"/>
    <w:tmpl w:val="5738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C632666"/>
    <w:multiLevelType w:val="multilevel"/>
    <w:tmpl w:val="7CCE84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4D894CF9"/>
    <w:multiLevelType w:val="multilevel"/>
    <w:tmpl w:val="69B484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4E282AC8"/>
    <w:multiLevelType w:val="multilevel"/>
    <w:tmpl w:val="FB0C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52816A87"/>
    <w:multiLevelType w:val="multilevel"/>
    <w:tmpl w:val="FF5E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28572F5"/>
    <w:multiLevelType w:val="multilevel"/>
    <w:tmpl w:val="0480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2C9333F"/>
    <w:multiLevelType w:val="multilevel"/>
    <w:tmpl w:val="D19CE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6" w15:restartNumberingAfterBreak="0">
    <w:nsid w:val="53F11E66"/>
    <w:multiLevelType w:val="multilevel"/>
    <w:tmpl w:val="D19C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52A7250"/>
    <w:multiLevelType w:val="multilevel"/>
    <w:tmpl w:val="90685D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55475A30"/>
    <w:multiLevelType w:val="hybridMultilevel"/>
    <w:tmpl w:val="34EE08B2"/>
    <w:lvl w:ilvl="0" w:tplc="14090019">
      <w:start w:val="1"/>
      <w:numFmt w:val="lowerLetter"/>
      <w:lvlText w:val="%1."/>
      <w:lvlJc w:val="left"/>
      <w:pPr>
        <w:ind w:left="6195" w:hanging="360"/>
      </w:pPr>
    </w:lvl>
    <w:lvl w:ilvl="1" w:tplc="14090019" w:tentative="1">
      <w:start w:val="1"/>
      <w:numFmt w:val="lowerLetter"/>
      <w:lvlText w:val="%2."/>
      <w:lvlJc w:val="left"/>
      <w:pPr>
        <w:ind w:left="6915" w:hanging="360"/>
      </w:pPr>
    </w:lvl>
    <w:lvl w:ilvl="2" w:tplc="1409001B" w:tentative="1">
      <w:start w:val="1"/>
      <w:numFmt w:val="lowerRoman"/>
      <w:lvlText w:val="%3."/>
      <w:lvlJc w:val="right"/>
      <w:pPr>
        <w:ind w:left="7635" w:hanging="180"/>
      </w:pPr>
    </w:lvl>
    <w:lvl w:ilvl="3" w:tplc="1409000F" w:tentative="1">
      <w:start w:val="1"/>
      <w:numFmt w:val="decimal"/>
      <w:lvlText w:val="%4."/>
      <w:lvlJc w:val="left"/>
      <w:pPr>
        <w:ind w:left="8355" w:hanging="360"/>
      </w:pPr>
    </w:lvl>
    <w:lvl w:ilvl="4" w:tplc="14090019" w:tentative="1">
      <w:start w:val="1"/>
      <w:numFmt w:val="lowerLetter"/>
      <w:lvlText w:val="%5."/>
      <w:lvlJc w:val="left"/>
      <w:pPr>
        <w:ind w:left="9075" w:hanging="360"/>
      </w:pPr>
    </w:lvl>
    <w:lvl w:ilvl="5" w:tplc="1409001B" w:tentative="1">
      <w:start w:val="1"/>
      <w:numFmt w:val="lowerRoman"/>
      <w:lvlText w:val="%6."/>
      <w:lvlJc w:val="right"/>
      <w:pPr>
        <w:ind w:left="9795" w:hanging="180"/>
      </w:pPr>
    </w:lvl>
    <w:lvl w:ilvl="6" w:tplc="1409000F" w:tentative="1">
      <w:start w:val="1"/>
      <w:numFmt w:val="decimal"/>
      <w:lvlText w:val="%7."/>
      <w:lvlJc w:val="left"/>
      <w:pPr>
        <w:ind w:left="10515" w:hanging="360"/>
      </w:pPr>
    </w:lvl>
    <w:lvl w:ilvl="7" w:tplc="14090019" w:tentative="1">
      <w:start w:val="1"/>
      <w:numFmt w:val="lowerLetter"/>
      <w:lvlText w:val="%8."/>
      <w:lvlJc w:val="left"/>
      <w:pPr>
        <w:ind w:left="11235" w:hanging="360"/>
      </w:pPr>
    </w:lvl>
    <w:lvl w:ilvl="8" w:tplc="1409001B" w:tentative="1">
      <w:start w:val="1"/>
      <w:numFmt w:val="lowerRoman"/>
      <w:lvlText w:val="%9."/>
      <w:lvlJc w:val="right"/>
      <w:pPr>
        <w:ind w:left="11955" w:hanging="180"/>
      </w:pPr>
    </w:lvl>
  </w:abstractNum>
  <w:abstractNum w:abstractNumId="89" w15:restartNumberingAfterBreak="0">
    <w:nsid w:val="55864CCE"/>
    <w:multiLevelType w:val="hybridMultilevel"/>
    <w:tmpl w:val="8F9CC5FE"/>
    <w:lvl w:ilvl="0" w:tplc="14090019">
      <w:start w:val="1"/>
      <w:numFmt w:val="lowerLetter"/>
      <w:lvlText w:val="%1."/>
      <w:lvlJc w:val="left"/>
      <w:pPr>
        <w:ind w:left="6915" w:hanging="360"/>
      </w:pPr>
    </w:lvl>
    <w:lvl w:ilvl="1" w:tplc="14090019" w:tentative="1">
      <w:start w:val="1"/>
      <w:numFmt w:val="lowerLetter"/>
      <w:lvlText w:val="%2."/>
      <w:lvlJc w:val="left"/>
      <w:pPr>
        <w:ind w:left="7635" w:hanging="360"/>
      </w:pPr>
    </w:lvl>
    <w:lvl w:ilvl="2" w:tplc="1409001B" w:tentative="1">
      <w:start w:val="1"/>
      <w:numFmt w:val="lowerRoman"/>
      <w:lvlText w:val="%3."/>
      <w:lvlJc w:val="right"/>
      <w:pPr>
        <w:ind w:left="8355" w:hanging="180"/>
      </w:pPr>
    </w:lvl>
    <w:lvl w:ilvl="3" w:tplc="1409000F" w:tentative="1">
      <w:start w:val="1"/>
      <w:numFmt w:val="decimal"/>
      <w:lvlText w:val="%4."/>
      <w:lvlJc w:val="left"/>
      <w:pPr>
        <w:ind w:left="9075" w:hanging="360"/>
      </w:pPr>
    </w:lvl>
    <w:lvl w:ilvl="4" w:tplc="14090019" w:tentative="1">
      <w:start w:val="1"/>
      <w:numFmt w:val="lowerLetter"/>
      <w:lvlText w:val="%5."/>
      <w:lvlJc w:val="left"/>
      <w:pPr>
        <w:ind w:left="9795" w:hanging="360"/>
      </w:pPr>
    </w:lvl>
    <w:lvl w:ilvl="5" w:tplc="1409001B" w:tentative="1">
      <w:start w:val="1"/>
      <w:numFmt w:val="lowerRoman"/>
      <w:lvlText w:val="%6."/>
      <w:lvlJc w:val="right"/>
      <w:pPr>
        <w:ind w:left="10515" w:hanging="180"/>
      </w:pPr>
    </w:lvl>
    <w:lvl w:ilvl="6" w:tplc="1409000F" w:tentative="1">
      <w:start w:val="1"/>
      <w:numFmt w:val="decimal"/>
      <w:lvlText w:val="%7."/>
      <w:lvlJc w:val="left"/>
      <w:pPr>
        <w:ind w:left="11235" w:hanging="360"/>
      </w:pPr>
    </w:lvl>
    <w:lvl w:ilvl="7" w:tplc="14090019" w:tentative="1">
      <w:start w:val="1"/>
      <w:numFmt w:val="lowerLetter"/>
      <w:lvlText w:val="%8."/>
      <w:lvlJc w:val="left"/>
      <w:pPr>
        <w:ind w:left="11955" w:hanging="360"/>
      </w:pPr>
    </w:lvl>
    <w:lvl w:ilvl="8" w:tplc="1409001B" w:tentative="1">
      <w:start w:val="1"/>
      <w:numFmt w:val="lowerRoman"/>
      <w:lvlText w:val="%9."/>
      <w:lvlJc w:val="right"/>
      <w:pPr>
        <w:ind w:left="12675" w:hanging="180"/>
      </w:pPr>
    </w:lvl>
  </w:abstractNum>
  <w:abstractNum w:abstractNumId="90" w15:restartNumberingAfterBreak="0">
    <w:nsid w:val="558F26FA"/>
    <w:multiLevelType w:val="multilevel"/>
    <w:tmpl w:val="0F069A2E"/>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1" w15:restartNumberingAfterBreak="0">
    <w:nsid w:val="559C0EB2"/>
    <w:multiLevelType w:val="hybridMultilevel"/>
    <w:tmpl w:val="D67843D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2" w15:restartNumberingAfterBreak="0">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7B57B27"/>
    <w:multiLevelType w:val="multilevel"/>
    <w:tmpl w:val="AFA83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B1750F7"/>
    <w:multiLevelType w:val="multilevel"/>
    <w:tmpl w:val="CD74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CF57C48"/>
    <w:multiLevelType w:val="multilevel"/>
    <w:tmpl w:val="4DBC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DB12777"/>
    <w:multiLevelType w:val="multilevel"/>
    <w:tmpl w:val="07DCDD10"/>
    <w:lvl w:ilvl="0">
      <w:start w:val="1"/>
      <w:numFmt w:val="bullet"/>
      <w:lvlText w:val=""/>
      <w:lvlJc w:val="left"/>
      <w:pPr>
        <w:ind w:left="567" w:hanging="567"/>
      </w:pPr>
      <w:rPr>
        <w:rFonts w:ascii="Symbol" w:hAnsi="Symbol" w:hint="default"/>
      </w:rPr>
    </w:lvl>
    <w:lvl w:ilvl="1">
      <w:start w:val="1"/>
      <w:numFmt w:val="bullet"/>
      <w:lvlText w:val="o"/>
      <w:lvlJc w:val="left"/>
      <w:pPr>
        <w:ind w:left="927" w:hanging="360"/>
      </w:pPr>
      <w:rPr>
        <w:rFonts w:ascii="Courier New" w:hAnsi="Courier New" w:cs="Courier New"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7" w15:restartNumberingAfterBreak="0">
    <w:nsid w:val="5E761453"/>
    <w:multiLevelType w:val="multilevel"/>
    <w:tmpl w:val="F0F0A8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8" w15:restartNumberingAfterBreak="0">
    <w:nsid w:val="601C61DC"/>
    <w:multiLevelType w:val="multilevel"/>
    <w:tmpl w:val="EB52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0AB5967"/>
    <w:multiLevelType w:val="multilevel"/>
    <w:tmpl w:val="F64C50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0" w15:restartNumberingAfterBreak="0">
    <w:nsid w:val="61CD3925"/>
    <w:multiLevelType w:val="multilevel"/>
    <w:tmpl w:val="2434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20642D9"/>
    <w:multiLevelType w:val="hybridMultilevel"/>
    <w:tmpl w:val="914471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2" w15:restartNumberingAfterBreak="0">
    <w:nsid w:val="623F4D4E"/>
    <w:multiLevelType w:val="multilevel"/>
    <w:tmpl w:val="B914BC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3" w15:restartNumberingAfterBreak="0">
    <w:nsid w:val="637F5414"/>
    <w:multiLevelType w:val="hybridMultilevel"/>
    <w:tmpl w:val="A15AAA44"/>
    <w:lvl w:ilvl="0" w:tplc="14090019">
      <w:start w:val="1"/>
      <w:numFmt w:val="lowerLetter"/>
      <w:lvlText w:val="%1."/>
      <w:lvlJc w:val="left"/>
      <w:pPr>
        <w:ind w:left="5475" w:hanging="360"/>
      </w:pPr>
    </w:lvl>
    <w:lvl w:ilvl="1" w:tplc="14090019" w:tentative="1">
      <w:start w:val="1"/>
      <w:numFmt w:val="lowerLetter"/>
      <w:lvlText w:val="%2."/>
      <w:lvlJc w:val="left"/>
      <w:pPr>
        <w:ind w:left="6195" w:hanging="360"/>
      </w:pPr>
    </w:lvl>
    <w:lvl w:ilvl="2" w:tplc="1409001B" w:tentative="1">
      <w:start w:val="1"/>
      <w:numFmt w:val="lowerRoman"/>
      <w:lvlText w:val="%3."/>
      <w:lvlJc w:val="right"/>
      <w:pPr>
        <w:ind w:left="6915" w:hanging="180"/>
      </w:pPr>
    </w:lvl>
    <w:lvl w:ilvl="3" w:tplc="1409000F" w:tentative="1">
      <w:start w:val="1"/>
      <w:numFmt w:val="decimal"/>
      <w:lvlText w:val="%4."/>
      <w:lvlJc w:val="left"/>
      <w:pPr>
        <w:ind w:left="7635" w:hanging="360"/>
      </w:pPr>
    </w:lvl>
    <w:lvl w:ilvl="4" w:tplc="14090019" w:tentative="1">
      <w:start w:val="1"/>
      <w:numFmt w:val="lowerLetter"/>
      <w:lvlText w:val="%5."/>
      <w:lvlJc w:val="left"/>
      <w:pPr>
        <w:ind w:left="8355" w:hanging="360"/>
      </w:pPr>
    </w:lvl>
    <w:lvl w:ilvl="5" w:tplc="1409001B" w:tentative="1">
      <w:start w:val="1"/>
      <w:numFmt w:val="lowerRoman"/>
      <w:lvlText w:val="%6."/>
      <w:lvlJc w:val="right"/>
      <w:pPr>
        <w:ind w:left="9075" w:hanging="180"/>
      </w:pPr>
    </w:lvl>
    <w:lvl w:ilvl="6" w:tplc="1409000F" w:tentative="1">
      <w:start w:val="1"/>
      <w:numFmt w:val="decimal"/>
      <w:lvlText w:val="%7."/>
      <w:lvlJc w:val="left"/>
      <w:pPr>
        <w:ind w:left="9795" w:hanging="360"/>
      </w:pPr>
    </w:lvl>
    <w:lvl w:ilvl="7" w:tplc="14090019" w:tentative="1">
      <w:start w:val="1"/>
      <w:numFmt w:val="lowerLetter"/>
      <w:lvlText w:val="%8."/>
      <w:lvlJc w:val="left"/>
      <w:pPr>
        <w:ind w:left="10515" w:hanging="360"/>
      </w:pPr>
    </w:lvl>
    <w:lvl w:ilvl="8" w:tplc="1409001B" w:tentative="1">
      <w:start w:val="1"/>
      <w:numFmt w:val="lowerRoman"/>
      <w:lvlText w:val="%9."/>
      <w:lvlJc w:val="right"/>
      <w:pPr>
        <w:ind w:left="11235" w:hanging="180"/>
      </w:pPr>
    </w:lvl>
  </w:abstractNum>
  <w:abstractNum w:abstractNumId="104" w15:restartNumberingAfterBreak="0">
    <w:nsid w:val="63F27C53"/>
    <w:multiLevelType w:val="multilevel"/>
    <w:tmpl w:val="9154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4707963"/>
    <w:multiLevelType w:val="multilevel"/>
    <w:tmpl w:val="1F5E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5053747"/>
    <w:multiLevelType w:val="multilevel"/>
    <w:tmpl w:val="BDE0D6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7" w15:restartNumberingAfterBreak="0">
    <w:nsid w:val="65D91270"/>
    <w:multiLevelType w:val="multilevel"/>
    <w:tmpl w:val="0CBCEC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15:restartNumberingAfterBreak="0">
    <w:nsid w:val="66A055E2"/>
    <w:multiLevelType w:val="multilevel"/>
    <w:tmpl w:val="2E1E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73C36A4"/>
    <w:multiLevelType w:val="multilevel"/>
    <w:tmpl w:val="024677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0" w15:restartNumberingAfterBreak="0">
    <w:nsid w:val="67B71F32"/>
    <w:multiLevelType w:val="multilevel"/>
    <w:tmpl w:val="D9E8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7E46CC2"/>
    <w:multiLevelType w:val="multilevel"/>
    <w:tmpl w:val="53F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82E01AE"/>
    <w:multiLevelType w:val="multilevel"/>
    <w:tmpl w:val="47C0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8CC2313"/>
    <w:multiLevelType w:val="multilevel"/>
    <w:tmpl w:val="93A8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9830764"/>
    <w:multiLevelType w:val="hybridMultilevel"/>
    <w:tmpl w:val="959863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5" w15:restartNumberingAfterBreak="0">
    <w:nsid w:val="69D728D4"/>
    <w:multiLevelType w:val="multilevel"/>
    <w:tmpl w:val="D6D41B7A"/>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6" w15:restartNumberingAfterBreak="0">
    <w:nsid w:val="6A60208F"/>
    <w:multiLevelType w:val="hybridMultilevel"/>
    <w:tmpl w:val="37CAB304"/>
    <w:lvl w:ilvl="0" w:tplc="D5EA315E">
      <w:start w:val="6"/>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7" w15:restartNumberingAfterBreak="0">
    <w:nsid w:val="6CD62B4C"/>
    <w:multiLevelType w:val="multilevel"/>
    <w:tmpl w:val="7DA0CD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8" w15:restartNumberingAfterBreak="0">
    <w:nsid w:val="6CE30A4C"/>
    <w:multiLevelType w:val="multilevel"/>
    <w:tmpl w:val="48624F86"/>
    <w:lvl w:ilvl="0">
      <w:start w:val="1"/>
      <w:numFmt w:val="decimal"/>
      <w:lvlText w:val="%1"/>
      <w:lvlJc w:val="left"/>
      <w:pPr>
        <w:tabs>
          <w:tab w:val="num" w:pos="493"/>
        </w:tabs>
        <w:ind w:left="493" w:hanging="493"/>
      </w:pPr>
      <w:rPr>
        <w:rFonts w:hint="default"/>
      </w:rPr>
    </w:lvl>
    <w:lvl w:ilvl="1">
      <w:start w:val="1"/>
      <w:numFmt w:val="lowerLetter"/>
      <w:lvlText w:val="%2)"/>
      <w:lvlJc w:val="left"/>
      <w:pPr>
        <w:ind w:left="853" w:hanging="360"/>
      </w:p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19" w15:restartNumberingAfterBreak="0">
    <w:nsid w:val="6D731702"/>
    <w:multiLevelType w:val="multilevel"/>
    <w:tmpl w:val="9BEA09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0" w15:restartNumberingAfterBreak="0">
    <w:nsid w:val="6DD72E8D"/>
    <w:multiLevelType w:val="multilevel"/>
    <w:tmpl w:val="2B6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F6C5774"/>
    <w:multiLevelType w:val="hybridMultilevel"/>
    <w:tmpl w:val="AF5E28EA"/>
    <w:lvl w:ilvl="0" w:tplc="25A20B3A">
      <w:start w:val="1"/>
      <w:numFmt w:val="bullet"/>
      <w:lvlText w:val=""/>
      <w:lvlJc w:val="left"/>
      <w:pPr>
        <w:ind w:left="720" w:hanging="360"/>
      </w:pPr>
      <w:rPr>
        <w:rFonts w:ascii="Symbol" w:hAnsi="Symbol"/>
      </w:rPr>
    </w:lvl>
    <w:lvl w:ilvl="1" w:tplc="24042054">
      <w:start w:val="1"/>
      <w:numFmt w:val="bullet"/>
      <w:lvlText w:val=""/>
      <w:lvlJc w:val="left"/>
      <w:pPr>
        <w:ind w:left="720" w:hanging="360"/>
      </w:pPr>
      <w:rPr>
        <w:rFonts w:ascii="Symbol" w:hAnsi="Symbol"/>
      </w:rPr>
    </w:lvl>
    <w:lvl w:ilvl="2" w:tplc="81147306">
      <w:start w:val="1"/>
      <w:numFmt w:val="bullet"/>
      <w:lvlText w:val=""/>
      <w:lvlJc w:val="left"/>
      <w:pPr>
        <w:ind w:left="720" w:hanging="360"/>
      </w:pPr>
      <w:rPr>
        <w:rFonts w:ascii="Symbol" w:hAnsi="Symbol"/>
      </w:rPr>
    </w:lvl>
    <w:lvl w:ilvl="3" w:tplc="212CF7B0">
      <w:start w:val="1"/>
      <w:numFmt w:val="bullet"/>
      <w:lvlText w:val=""/>
      <w:lvlJc w:val="left"/>
      <w:pPr>
        <w:ind w:left="720" w:hanging="360"/>
      </w:pPr>
      <w:rPr>
        <w:rFonts w:ascii="Symbol" w:hAnsi="Symbol"/>
      </w:rPr>
    </w:lvl>
    <w:lvl w:ilvl="4" w:tplc="D92CED5A">
      <w:start w:val="1"/>
      <w:numFmt w:val="bullet"/>
      <w:lvlText w:val=""/>
      <w:lvlJc w:val="left"/>
      <w:pPr>
        <w:ind w:left="720" w:hanging="360"/>
      </w:pPr>
      <w:rPr>
        <w:rFonts w:ascii="Symbol" w:hAnsi="Symbol"/>
      </w:rPr>
    </w:lvl>
    <w:lvl w:ilvl="5" w:tplc="500EB1C2">
      <w:start w:val="1"/>
      <w:numFmt w:val="bullet"/>
      <w:lvlText w:val=""/>
      <w:lvlJc w:val="left"/>
      <w:pPr>
        <w:ind w:left="720" w:hanging="360"/>
      </w:pPr>
      <w:rPr>
        <w:rFonts w:ascii="Symbol" w:hAnsi="Symbol"/>
      </w:rPr>
    </w:lvl>
    <w:lvl w:ilvl="6" w:tplc="12B29368">
      <w:start w:val="1"/>
      <w:numFmt w:val="bullet"/>
      <w:lvlText w:val=""/>
      <w:lvlJc w:val="left"/>
      <w:pPr>
        <w:ind w:left="720" w:hanging="360"/>
      </w:pPr>
      <w:rPr>
        <w:rFonts w:ascii="Symbol" w:hAnsi="Symbol"/>
      </w:rPr>
    </w:lvl>
    <w:lvl w:ilvl="7" w:tplc="96E2E5DA">
      <w:start w:val="1"/>
      <w:numFmt w:val="bullet"/>
      <w:lvlText w:val=""/>
      <w:lvlJc w:val="left"/>
      <w:pPr>
        <w:ind w:left="720" w:hanging="360"/>
      </w:pPr>
      <w:rPr>
        <w:rFonts w:ascii="Symbol" w:hAnsi="Symbol"/>
      </w:rPr>
    </w:lvl>
    <w:lvl w:ilvl="8" w:tplc="67EAE830">
      <w:start w:val="1"/>
      <w:numFmt w:val="bullet"/>
      <w:lvlText w:val=""/>
      <w:lvlJc w:val="left"/>
      <w:pPr>
        <w:ind w:left="720" w:hanging="360"/>
      </w:pPr>
      <w:rPr>
        <w:rFonts w:ascii="Symbol" w:hAnsi="Symbol"/>
      </w:rPr>
    </w:lvl>
  </w:abstractNum>
  <w:abstractNum w:abstractNumId="122" w15:restartNumberingAfterBreak="0">
    <w:nsid w:val="70373362"/>
    <w:multiLevelType w:val="multilevel"/>
    <w:tmpl w:val="0B3A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045640B"/>
    <w:multiLevelType w:val="multilevel"/>
    <w:tmpl w:val="74D0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14F3844"/>
    <w:multiLevelType w:val="multilevel"/>
    <w:tmpl w:val="29726D5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Letter"/>
      <w:lvlText w:val="%3."/>
      <w:lvlJc w:val="left"/>
      <w:pPr>
        <w:ind w:left="1494" w:hanging="360"/>
      </w:p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5" w15:restartNumberingAfterBreak="0">
    <w:nsid w:val="7434361A"/>
    <w:multiLevelType w:val="multilevel"/>
    <w:tmpl w:val="77D6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4522CA4"/>
    <w:multiLevelType w:val="hybridMultilevel"/>
    <w:tmpl w:val="833034D2"/>
    <w:lvl w:ilvl="0" w:tplc="A6BC2870">
      <w:start w:val="1"/>
      <w:numFmt w:val="decimal"/>
      <w:lvlText w:val="%1."/>
      <w:lvlJc w:val="left"/>
      <w:pPr>
        <w:ind w:left="1020" w:hanging="360"/>
      </w:pPr>
    </w:lvl>
    <w:lvl w:ilvl="1" w:tplc="93E2B6AC">
      <w:start w:val="1"/>
      <w:numFmt w:val="decimal"/>
      <w:lvlText w:val="%2."/>
      <w:lvlJc w:val="left"/>
      <w:pPr>
        <w:ind w:left="1020" w:hanging="360"/>
      </w:pPr>
    </w:lvl>
    <w:lvl w:ilvl="2" w:tplc="67D49DA6">
      <w:start w:val="1"/>
      <w:numFmt w:val="decimal"/>
      <w:lvlText w:val="%3."/>
      <w:lvlJc w:val="left"/>
      <w:pPr>
        <w:ind w:left="1020" w:hanging="360"/>
      </w:pPr>
    </w:lvl>
    <w:lvl w:ilvl="3" w:tplc="54F243BA">
      <w:start w:val="1"/>
      <w:numFmt w:val="decimal"/>
      <w:lvlText w:val="%4."/>
      <w:lvlJc w:val="left"/>
      <w:pPr>
        <w:ind w:left="1020" w:hanging="360"/>
      </w:pPr>
    </w:lvl>
    <w:lvl w:ilvl="4" w:tplc="A9F21CA2">
      <w:start w:val="1"/>
      <w:numFmt w:val="decimal"/>
      <w:lvlText w:val="%5."/>
      <w:lvlJc w:val="left"/>
      <w:pPr>
        <w:ind w:left="1020" w:hanging="360"/>
      </w:pPr>
    </w:lvl>
    <w:lvl w:ilvl="5" w:tplc="F5509B58">
      <w:start w:val="1"/>
      <w:numFmt w:val="decimal"/>
      <w:lvlText w:val="%6."/>
      <w:lvlJc w:val="left"/>
      <w:pPr>
        <w:ind w:left="1020" w:hanging="360"/>
      </w:pPr>
    </w:lvl>
    <w:lvl w:ilvl="6" w:tplc="FB245F28">
      <w:start w:val="1"/>
      <w:numFmt w:val="decimal"/>
      <w:lvlText w:val="%7."/>
      <w:lvlJc w:val="left"/>
      <w:pPr>
        <w:ind w:left="1020" w:hanging="360"/>
      </w:pPr>
    </w:lvl>
    <w:lvl w:ilvl="7" w:tplc="F5BAA396">
      <w:start w:val="1"/>
      <w:numFmt w:val="decimal"/>
      <w:lvlText w:val="%8."/>
      <w:lvlJc w:val="left"/>
      <w:pPr>
        <w:ind w:left="1020" w:hanging="360"/>
      </w:pPr>
    </w:lvl>
    <w:lvl w:ilvl="8" w:tplc="1FC2C114">
      <w:start w:val="1"/>
      <w:numFmt w:val="decimal"/>
      <w:lvlText w:val="%9."/>
      <w:lvlJc w:val="left"/>
      <w:pPr>
        <w:ind w:left="1020" w:hanging="360"/>
      </w:pPr>
    </w:lvl>
  </w:abstractNum>
  <w:abstractNum w:abstractNumId="127" w15:restartNumberingAfterBreak="0">
    <w:nsid w:val="74FA62BA"/>
    <w:multiLevelType w:val="hybridMultilevel"/>
    <w:tmpl w:val="9398C32E"/>
    <w:lvl w:ilvl="0" w:tplc="73BC5DA2">
      <w:start w:val="3"/>
      <w:numFmt w:val="decimal"/>
      <w:lvlText w:val="%1"/>
      <w:lvlJc w:val="left"/>
      <w:pPr>
        <w:ind w:left="4755" w:hanging="360"/>
      </w:pPr>
      <w:rPr>
        <w:rFonts w:hint="default"/>
      </w:rPr>
    </w:lvl>
    <w:lvl w:ilvl="1" w:tplc="14090019">
      <w:start w:val="1"/>
      <w:numFmt w:val="lowerLetter"/>
      <w:lvlText w:val="%2."/>
      <w:lvlJc w:val="left"/>
      <w:pPr>
        <w:ind w:left="5475" w:hanging="360"/>
      </w:pPr>
    </w:lvl>
    <w:lvl w:ilvl="2" w:tplc="1409001B">
      <w:start w:val="1"/>
      <w:numFmt w:val="lowerRoman"/>
      <w:lvlText w:val="%3."/>
      <w:lvlJc w:val="right"/>
      <w:pPr>
        <w:ind w:left="6195" w:hanging="180"/>
      </w:pPr>
    </w:lvl>
    <w:lvl w:ilvl="3" w:tplc="1409000F" w:tentative="1">
      <w:start w:val="1"/>
      <w:numFmt w:val="decimal"/>
      <w:lvlText w:val="%4."/>
      <w:lvlJc w:val="left"/>
      <w:pPr>
        <w:ind w:left="6915" w:hanging="360"/>
      </w:pPr>
    </w:lvl>
    <w:lvl w:ilvl="4" w:tplc="14090019" w:tentative="1">
      <w:start w:val="1"/>
      <w:numFmt w:val="lowerLetter"/>
      <w:lvlText w:val="%5."/>
      <w:lvlJc w:val="left"/>
      <w:pPr>
        <w:ind w:left="7635" w:hanging="360"/>
      </w:pPr>
    </w:lvl>
    <w:lvl w:ilvl="5" w:tplc="1409001B" w:tentative="1">
      <w:start w:val="1"/>
      <w:numFmt w:val="lowerRoman"/>
      <w:lvlText w:val="%6."/>
      <w:lvlJc w:val="right"/>
      <w:pPr>
        <w:ind w:left="8355" w:hanging="180"/>
      </w:pPr>
    </w:lvl>
    <w:lvl w:ilvl="6" w:tplc="1409000F" w:tentative="1">
      <w:start w:val="1"/>
      <w:numFmt w:val="decimal"/>
      <w:lvlText w:val="%7."/>
      <w:lvlJc w:val="left"/>
      <w:pPr>
        <w:ind w:left="9075" w:hanging="360"/>
      </w:pPr>
    </w:lvl>
    <w:lvl w:ilvl="7" w:tplc="14090019" w:tentative="1">
      <w:start w:val="1"/>
      <w:numFmt w:val="lowerLetter"/>
      <w:lvlText w:val="%8."/>
      <w:lvlJc w:val="left"/>
      <w:pPr>
        <w:ind w:left="9795" w:hanging="360"/>
      </w:pPr>
    </w:lvl>
    <w:lvl w:ilvl="8" w:tplc="1409001B" w:tentative="1">
      <w:start w:val="1"/>
      <w:numFmt w:val="lowerRoman"/>
      <w:lvlText w:val="%9."/>
      <w:lvlJc w:val="right"/>
      <w:pPr>
        <w:ind w:left="10515" w:hanging="180"/>
      </w:pPr>
    </w:lvl>
  </w:abstractNum>
  <w:abstractNum w:abstractNumId="128" w15:restartNumberingAfterBreak="0">
    <w:nsid w:val="760732AC"/>
    <w:multiLevelType w:val="multilevel"/>
    <w:tmpl w:val="D6D41B7A"/>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9" w15:restartNumberingAfterBreak="0">
    <w:nsid w:val="76810D41"/>
    <w:multiLevelType w:val="multilevel"/>
    <w:tmpl w:val="5498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6B71D8F"/>
    <w:multiLevelType w:val="multilevel"/>
    <w:tmpl w:val="54D0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6E97AA4"/>
    <w:multiLevelType w:val="hybridMultilevel"/>
    <w:tmpl w:val="FFFFFFFF"/>
    <w:lvl w:ilvl="0" w:tplc="6E3EB752">
      <w:start w:val="1"/>
      <w:numFmt w:val="bullet"/>
      <w:lvlText w:val=""/>
      <w:lvlJc w:val="left"/>
      <w:pPr>
        <w:ind w:left="720" w:hanging="360"/>
      </w:pPr>
      <w:rPr>
        <w:rFonts w:ascii="Symbol" w:hAnsi="Symbol" w:hint="default"/>
      </w:rPr>
    </w:lvl>
    <w:lvl w:ilvl="1" w:tplc="62DE35DC">
      <w:start w:val="1"/>
      <w:numFmt w:val="bullet"/>
      <w:lvlText w:val="o"/>
      <w:lvlJc w:val="left"/>
      <w:pPr>
        <w:ind w:left="1440" w:hanging="360"/>
      </w:pPr>
      <w:rPr>
        <w:rFonts w:ascii="Courier New" w:hAnsi="Courier New" w:hint="default"/>
      </w:rPr>
    </w:lvl>
    <w:lvl w:ilvl="2" w:tplc="AFF26D9C">
      <w:start w:val="1"/>
      <w:numFmt w:val="bullet"/>
      <w:lvlText w:val=""/>
      <w:lvlJc w:val="left"/>
      <w:pPr>
        <w:ind w:left="2160" w:hanging="360"/>
      </w:pPr>
      <w:rPr>
        <w:rFonts w:ascii="Wingdings" w:hAnsi="Wingdings" w:hint="default"/>
      </w:rPr>
    </w:lvl>
    <w:lvl w:ilvl="3" w:tplc="9C9CBC3E">
      <w:start w:val="1"/>
      <w:numFmt w:val="bullet"/>
      <w:lvlText w:val=""/>
      <w:lvlJc w:val="left"/>
      <w:pPr>
        <w:ind w:left="2880" w:hanging="360"/>
      </w:pPr>
      <w:rPr>
        <w:rFonts w:ascii="Symbol" w:hAnsi="Symbol" w:hint="default"/>
      </w:rPr>
    </w:lvl>
    <w:lvl w:ilvl="4" w:tplc="09323A7A">
      <w:start w:val="1"/>
      <w:numFmt w:val="bullet"/>
      <w:lvlText w:val="o"/>
      <w:lvlJc w:val="left"/>
      <w:pPr>
        <w:ind w:left="3600" w:hanging="360"/>
      </w:pPr>
      <w:rPr>
        <w:rFonts w:ascii="Courier New" w:hAnsi="Courier New" w:hint="default"/>
      </w:rPr>
    </w:lvl>
    <w:lvl w:ilvl="5" w:tplc="DD743752">
      <w:start w:val="1"/>
      <w:numFmt w:val="bullet"/>
      <w:lvlText w:val=""/>
      <w:lvlJc w:val="left"/>
      <w:pPr>
        <w:ind w:left="4320" w:hanging="360"/>
      </w:pPr>
      <w:rPr>
        <w:rFonts w:ascii="Wingdings" w:hAnsi="Wingdings" w:hint="default"/>
      </w:rPr>
    </w:lvl>
    <w:lvl w:ilvl="6" w:tplc="A9E2E5B2">
      <w:start w:val="1"/>
      <w:numFmt w:val="bullet"/>
      <w:lvlText w:val=""/>
      <w:lvlJc w:val="left"/>
      <w:pPr>
        <w:ind w:left="5040" w:hanging="360"/>
      </w:pPr>
      <w:rPr>
        <w:rFonts w:ascii="Symbol" w:hAnsi="Symbol" w:hint="default"/>
      </w:rPr>
    </w:lvl>
    <w:lvl w:ilvl="7" w:tplc="784A37CC">
      <w:start w:val="1"/>
      <w:numFmt w:val="bullet"/>
      <w:lvlText w:val="o"/>
      <w:lvlJc w:val="left"/>
      <w:pPr>
        <w:ind w:left="5760" w:hanging="360"/>
      </w:pPr>
      <w:rPr>
        <w:rFonts w:ascii="Courier New" w:hAnsi="Courier New" w:hint="default"/>
      </w:rPr>
    </w:lvl>
    <w:lvl w:ilvl="8" w:tplc="190401E2">
      <w:start w:val="1"/>
      <w:numFmt w:val="bullet"/>
      <w:lvlText w:val=""/>
      <w:lvlJc w:val="left"/>
      <w:pPr>
        <w:ind w:left="6480" w:hanging="360"/>
      </w:pPr>
      <w:rPr>
        <w:rFonts w:ascii="Wingdings" w:hAnsi="Wingdings" w:hint="default"/>
      </w:rPr>
    </w:lvl>
  </w:abstractNum>
  <w:abstractNum w:abstractNumId="132" w15:restartNumberingAfterBreak="0">
    <w:nsid w:val="77D749B7"/>
    <w:multiLevelType w:val="hybridMultilevel"/>
    <w:tmpl w:val="53ECE4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3" w15:restartNumberingAfterBreak="0">
    <w:nsid w:val="783A2DC6"/>
    <w:multiLevelType w:val="hybridMultilevel"/>
    <w:tmpl w:val="944816B2"/>
    <w:lvl w:ilvl="0" w:tplc="14090019">
      <w:start w:val="1"/>
      <w:numFmt w:val="lowerLetter"/>
      <w:lvlText w:val="%1."/>
      <w:lvlJc w:val="left"/>
      <w:pPr>
        <w:ind w:left="6195" w:hanging="360"/>
      </w:pPr>
    </w:lvl>
    <w:lvl w:ilvl="1" w:tplc="14090019" w:tentative="1">
      <w:start w:val="1"/>
      <w:numFmt w:val="lowerLetter"/>
      <w:lvlText w:val="%2."/>
      <w:lvlJc w:val="left"/>
      <w:pPr>
        <w:ind w:left="6915" w:hanging="360"/>
      </w:pPr>
    </w:lvl>
    <w:lvl w:ilvl="2" w:tplc="1409001B" w:tentative="1">
      <w:start w:val="1"/>
      <w:numFmt w:val="lowerRoman"/>
      <w:lvlText w:val="%3."/>
      <w:lvlJc w:val="right"/>
      <w:pPr>
        <w:ind w:left="7635" w:hanging="180"/>
      </w:pPr>
    </w:lvl>
    <w:lvl w:ilvl="3" w:tplc="1409000F" w:tentative="1">
      <w:start w:val="1"/>
      <w:numFmt w:val="decimal"/>
      <w:lvlText w:val="%4."/>
      <w:lvlJc w:val="left"/>
      <w:pPr>
        <w:ind w:left="8355" w:hanging="360"/>
      </w:pPr>
    </w:lvl>
    <w:lvl w:ilvl="4" w:tplc="14090019" w:tentative="1">
      <w:start w:val="1"/>
      <w:numFmt w:val="lowerLetter"/>
      <w:lvlText w:val="%5."/>
      <w:lvlJc w:val="left"/>
      <w:pPr>
        <w:ind w:left="9075" w:hanging="360"/>
      </w:pPr>
    </w:lvl>
    <w:lvl w:ilvl="5" w:tplc="1409001B" w:tentative="1">
      <w:start w:val="1"/>
      <w:numFmt w:val="lowerRoman"/>
      <w:lvlText w:val="%6."/>
      <w:lvlJc w:val="right"/>
      <w:pPr>
        <w:ind w:left="9795" w:hanging="180"/>
      </w:pPr>
    </w:lvl>
    <w:lvl w:ilvl="6" w:tplc="1409000F" w:tentative="1">
      <w:start w:val="1"/>
      <w:numFmt w:val="decimal"/>
      <w:lvlText w:val="%7."/>
      <w:lvlJc w:val="left"/>
      <w:pPr>
        <w:ind w:left="10515" w:hanging="360"/>
      </w:pPr>
    </w:lvl>
    <w:lvl w:ilvl="7" w:tplc="14090019" w:tentative="1">
      <w:start w:val="1"/>
      <w:numFmt w:val="lowerLetter"/>
      <w:lvlText w:val="%8."/>
      <w:lvlJc w:val="left"/>
      <w:pPr>
        <w:ind w:left="11235" w:hanging="360"/>
      </w:pPr>
    </w:lvl>
    <w:lvl w:ilvl="8" w:tplc="1409001B" w:tentative="1">
      <w:start w:val="1"/>
      <w:numFmt w:val="lowerRoman"/>
      <w:lvlText w:val="%9."/>
      <w:lvlJc w:val="right"/>
      <w:pPr>
        <w:ind w:left="11955" w:hanging="180"/>
      </w:pPr>
    </w:lvl>
  </w:abstractNum>
  <w:abstractNum w:abstractNumId="134" w15:restartNumberingAfterBreak="0">
    <w:nsid w:val="7AD46C6C"/>
    <w:multiLevelType w:val="hybridMultilevel"/>
    <w:tmpl w:val="300489B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5" w15:restartNumberingAfterBreak="0">
    <w:nsid w:val="7AD9205A"/>
    <w:multiLevelType w:val="multilevel"/>
    <w:tmpl w:val="DCD42F72"/>
    <w:lvl w:ilvl="0">
      <w:start w:val="1"/>
      <w:numFmt w:val="decimal"/>
      <w:lvlText w:val="%1"/>
      <w:lvlJc w:val="left"/>
      <w:pPr>
        <w:tabs>
          <w:tab w:val="num" w:pos="493"/>
        </w:tabs>
        <w:ind w:left="493" w:hanging="493"/>
      </w:pPr>
      <w:rPr>
        <w:rFonts w:hint="default"/>
      </w:rPr>
    </w:lvl>
    <w:lvl w:ilvl="1">
      <w:start w:val="1"/>
      <w:numFmt w:val="lowerLetter"/>
      <w:lvlText w:val="%2)"/>
      <w:lvlJc w:val="left"/>
      <w:pPr>
        <w:ind w:left="853" w:hanging="360"/>
      </w:p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36" w15:restartNumberingAfterBreak="0">
    <w:nsid w:val="7BDF72FE"/>
    <w:multiLevelType w:val="multilevel"/>
    <w:tmpl w:val="B0645FC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7" w15:restartNumberingAfterBreak="0">
    <w:nsid w:val="7C1E5ED4"/>
    <w:multiLevelType w:val="multilevel"/>
    <w:tmpl w:val="25B2A708"/>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16cid:durableId="249438194">
    <w:abstractNumId w:val="92"/>
  </w:num>
  <w:num w:numId="2" w16cid:durableId="944920957">
    <w:abstractNumId w:val="61"/>
  </w:num>
  <w:num w:numId="3" w16cid:durableId="960918180">
    <w:abstractNumId w:val="55"/>
  </w:num>
  <w:num w:numId="4" w16cid:durableId="1811706667">
    <w:abstractNumId w:val="38"/>
  </w:num>
  <w:num w:numId="5" w16cid:durableId="2017491679">
    <w:abstractNumId w:val="20"/>
  </w:num>
  <w:num w:numId="6" w16cid:durableId="1472166991">
    <w:abstractNumId w:val="76"/>
  </w:num>
  <w:num w:numId="7" w16cid:durableId="2058777875">
    <w:abstractNumId w:val="131"/>
  </w:num>
  <w:num w:numId="8" w16cid:durableId="1100488922">
    <w:abstractNumId w:val="48"/>
    <w:lvlOverride w:ilvl="0">
      <w:lvl w:ilvl="0">
        <w:start w:val="1"/>
        <w:numFmt w:val="decimal"/>
        <w:pStyle w:val="ReportBody"/>
        <w:lvlText w:val="%1"/>
        <w:lvlJc w:val="left"/>
        <w:pPr>
          <w:tabs>
            <w:tab w:val="num" w:pos="493"/>
          </w:tabs>
          <w:ind w:left="493" w:hanging="493"/>
        </w:pPr>
        <w:rPr>
          <w:rFonts w:ascii="Arial" w:hAnsi="Arial" w:cs="Arial" w:hint="default"/>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9" w16cid:durableId="1484857232">
    <w:abstractNumId w:val="82"/>
  </w:num>
  <w:num w:numId="10" w16cid:durableId="630398670">
    <w:abstractNumId w:val="48"/>
    <w:lvlOverride w:ilvl="0">
      <w:lvl w:ilvl="0">
        <w:start w:val="1"/>
        <w:numFmt w:val="decimal"/>
        <w:pStyle w:val="ReportBody"/>
        <w:lvlText w:val="%1"/>
        <w:lvlJc w:val="left"/>
        <w:pPr>
          <w:tabs>
            <w:tab w:val="num" w:pos="493"/>
          </w:tabs>
          <w:ind w:left="493" w:hanging="493"/>
        </w:pPr>
        <w:rPr>
          <w:rFonts w:hint="default"/>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11" w16cid:durableId="535854978">
    <w:abstractNumId w:val="132"/>
  </w:num>
  <w:num w:numId="12" w16cid:durableId="1758404188">
    <w:abstractNumId w:val="116"/>
  </w:num>
  <w:num w:numId="13" w16cid:durableId="1490705055">
    <w:abstractNumId w:val="48"/>
    <w:lvlOverride w:ilvl="0">
      <w:startOverride w:val="1"/>
      <w:lvl w:ilvl="0">
        <w:start w:val="1"/>
        <w:numFmt w:val="decimal"/>
        <w:pStyle w:val="ReportBody"/>
        <w:lvlText w:val="%1"/>
        <w:lvlJc w:val="left"/>
        <w:pPr>
          <w:tabs>
            <w:tab w:val="num" w:pos="493"/>
          </w:tabs>
          <w:ind w:left="493" w:hanging="493"/>
        </w:pPr>
        <w:rPr>
          <w:rFonts w:hint="default"/>
        </w:rPr>
      </w:lvl>
    </w:lvlOverride>
    <w:lvlOverride w:ilvl="1">
      <w:startOverride w:val="1"/>
      <w:lvl w:ilvl="1">
        <w:start w:val="1"/>
        <w:numFmt w:val="decimal"/>
        <w:pStyle w:val="ReportBody2"/>
        <w:lvlText w:val="%1.%2"/>
        <w:lvlJc w:val="left"/>
        <w:pPr>
          <w:tabs>
            <w:tab w:val="num" w:pos="493"/>
          </w:tabs>
          <w:ind w:left="987" w:hanging="494"/>
        </w:pPr>
        <w:rPr>
          <w:rFonts w:hint="default"/>
        </w:rPr>
      </w:lvl>
    </w:lvlOverride>
    <w:lvlOverride w:ilvl="2">
      <w:startOverride w:val="1"/>
      <w:lvl w:ilvl="2">
        <w:start w:val="1"/>
        <w:numFmt w:val="decimal"/>
        <w:lvlText w:val="%1.%2.%3"/>
        <w:lvlJc w:val="left"/>
        <w:pPr>
          <w:tabs>
            <w:tab w:val="num" w:pos="1554"/>
          </w:tabs>
          <w:ind w:left="1554" w:hanging="567"/>
        </w:pPr>
        <w:rPr>
          <w:rFonts w:hint="default"/>
        </w:rPr>
      </w:lvl>
    </w:lvlOverride>
    <w:lvlOverride w:ilvl="3">
      <w:startOverride w:val="1"/>
      <w:lvl w:ilvl="3">
        <w:start w:val="1"/>
        <w:numFmt w:val="decimal"/>
        <w:lvlText w:val="%1.%2.%3.%4."/>
        <w:lvlJc w:val="left"/>
        <w:pPr>
          <w:tabs>
            <w:tab w:val="num" w:pos="2133"/>
          </w:tabs>
          <w:ind w:left="1701" w:hanging="648"/>
        </w:pPr>
        <w:rPr>
          <w:rFonts w:hint="default"/>
        </w:rPr>
      </w:lvl>
    </w:lvlOverride>
    <w:lvlOverride w:ilvl="4">
      <w:startOverride w:val="1"/>
      <w:lvl w:ilvl="4">
        <w:start w:val="1"/>
        <w:numFmt w:val="decimal"/>
        <w:lvlText w:val="%1.%2.%3.%4.%5."/>
        <w:lvlJc w:val="left"/>
        <w:pPr>
          <w:tabs>
            <w:tab w:val="num" w:pos="2493"/>
          </w:tabs>
          <w:ind w:left="2205" w:hanging="792"/>
        </w:pPr>
        <w:rPr>
          <w:rFonts w:hint="default"/>
        </w:rPr>
      </w:lvl>
    </w:lvlOverride>
    <w:lvlOverride w:ilvl="5">
      <w:startOverride w:val="1"/>
      <w:lvl w:ilvl="5">
        <w:start w:val="1"/>
        <w:numFmt w:val="decimal"/>
        <w:lvlText w:val="%1.%2.%3.%4.%5.%6."/>
        <w:lvlJc w:val="left"/>
        <w:pPr>
          <w:tabs>
            <w:tab w:val="num" w:pos="3213"/>
          </w:tabs>
          <w:ind w:left="2709" w:hanging="936"/>
        </w:pPr>
        <w:rPr>
          <w:rFonts w:hint="default"/>
        </w:rPr>
      </w:lvl>
    </w:lvlOverride>
    <w:lvlOverride w:ilvl="6">
      <w:startOverride w:val="1"/>
      <w:lvl w:ilvl="6">
        <w:start w:val="1"/>
        <w:numFmt w:val="decimal"/>
        <w:lvlText w:val="%1.%2.%3.%4.%5.%6.%7."/>
        <w:lvlJc w:val="left"/>
        <w:pPr>
          <w:tabs>
            <w:tab w:val="num" w:pos="3573"/>
          </w:tabs>
          <w:ind w:left="3213" w:hanging="1080"/>
        </w:pPr>
        <w:rPr>
          <w:rFonts w:hint="default"/>
        </w:rPr>
      </w:lvl>
    </w:lvlOverride>
    <w:lvlOverride w:ilvl="7">
      <w:startOverride w:val="1"/>
      <w:lvl w:ilvl="7">
        <w:start w:val="1"/>
        <w:numFmt w:val="decimal"/>
        <w:lvlText w:val="%1.%2.%3.%4.%5.%6.%7.%8."/>
        <w:lvlJc w:val="left"/>
        <w:pPr>
          <w:tabs>
            <w:tab w:val="num" w:pos="4293"/>
          </w:tabs>
          <w:ind w:left="3717" w:hanging="1224"/>
        </w:pPr>
        <w:rPr>
          <w:rFonts w:hint="default"/>
        </w:rPr>
      </w:lvl>
    </w:lvlOverride>
    <w:lvlOverride w:ilvl="8">
      <w:startOverride w:val="1"/>
      <w:lvl w:ilvl="8">
        <w:start w:val="1"/>
        <w:numFmt w:val="decimal"/>
        <w:lvlText w:val="%1.%2.%3.%4.%5.%6.%7.%8.%9."/>
        <w:lvlJc w:val="left"/>
        <w:pPr>
          <w:tabs>
            <w:tab w:val="num" w:pos="4653"/>
          </w:tabs>
          <w:ind w:left="4293" w:hanging="1440"/>
        </w:pPr>
        <w:rPr>
          <w:rFonts w:hint="default"/>
        </w:rPr>
      </w:lvl>
    </w:lvlOverride>
  </w:num>
  <w:num w:numId="14" w16cid:durableId="2120906775">
    <w:abstractNumId w:val="103"/>
  </w:num>
  <w:num w:numId="15" w16cid:durableId="714503922">
    <w:abstractNumId w:val="133"/>
  </w:num>
  <w:num w:numId="16" w16cid:durableId="360936707">
    <w:abstractNumId w:val="89"/>
  </w:num>
  <w:num w:numId="17" w16cid:durableId="25641530">
    <w:abstractNumId w:val="121"/>
  </w:num>
  <w:num w:numId="18" w16cid:durableId="1369643336">
    <w:abstractNumId w:val="33"/>
  </w:num>
  <w:num w:numId="19" w16cid:durableId="1423799774">
    <w:abstractNumId w:val="124"/>
  </w:num>
  <w:num w:numId="20" w16cid:durableId="1352876609">
    <w:abstractNumId w:val="40"/>
  </w:num>
  <w:num w:numId="21" w16cid:durableId="1335917574">
    <w:abstractNumId w:val="75"/>
  </w:num>
  <w:num w:numId="22" w16cid:durableId="597371820">
    <w:abstractNumId w:val="137"/>
  </w:num>
  <w:num w:numId="23" w16cid:durableId="2049604639">
    <w:abstractNumId w:val="90"/>
  </w:num>
  <w:num w:numId="24" w16cid:durableId="1443912420">
    <w:abstractNumId w:val="31"/>
  </w:num>
  <w:num w:numId="25" w16cid:durableId="1676884389">
    <w:abstractNumId w:val="62"/>
  </w:num>
  <w:num w:numId="26" w16cid:durableId="158931041">
    <w:abstractNumId w:val="115"/>
  </w:num>
  <w:num w:numId="27" w16cid:durableId="2075929866">
    <w:abstractNumId w:val="26"/>
  </w:num>
  <w:num w:numId="28" w16cid:durableId="61679574">
    <w:abstractNumId w:val="128"/>
  </w:num>
  <w:num w:numId="29" w16cid:durableId="624503384">
    <w:abstractNumId w:val="24"/>
  </w:num>
  <w:num w:numId="30" w16cid:durableId="1219785967">
    <w:abstractNumId w:val="88"/>
  </w:num>
  <w:num w:numId="31" w16cid:durableId="1407452811">
    <w:abstractNumId w:val="48"/>
    <w:lvlOverride w:ilvl="0">
      <w:startOverride w:val="1"/>
      <w:lvl w:ilvl="0">
        <w:start w:val="1"/>
        <w:numFmt w:val="decimal"/>
        <w:pStyle w:val="ReportBody"/>
        <w:lvlText w:val="%1"/>
        <w:lvlJc w:val="left"/>
        <w:pPr>
          <w:tabs>
            <w:tab w:val="num" w:pos="493"/>
          </w:tabs>
          <w:ind w:left="493" w:hanging="493"/>
        </w:pPr>
        <w:rPr>
          <w:rFonts w:hint="default"/>
        </w:rPr>
      </w:lvl>
    </w:lvlOverride>
    <w:lvlOverride w:ilvl="1">
      <w:startOverride w:val="1"/>
      <w:lvl w:ilvl="1">
        <w:start w:val="1"/>
        <w:numFmt w:val="decimal"/>
        <w:pStyle w:val="ReportBody2"/>
        <w:lvlText w:val="%1.%2"/>
        <w:lvlJc w:val="left"/>
        <w:pPr>
          <w:tabs>
            <w:tab w:val="num" w:pos="493"/>
          </w:tabs>
          <w:ind w:left="987" w:hanging="494"/>
        </w:pPr>
        <w:rPr>
          <w:rFonts w:hint="default"/>
        </w:rPr>
      </w:lvl>
    </w:lvlOverride>
    <w:lvlOverride w:ilvl="2">
      <w:startOverride w:val="1"/>
      <w:lvl w:ilvl="2">
        <w:start w:val="1"/>
        <w:numFmt w:val="decimal"/>
        <w:lvlText w:val="%1.%2.%3"/>
        <w:lvlJc w:val="left"/>
        <w:pPr>
          <w:tabs>
            <w:tab w:val="num" w:pos="1554"/>
          </w:tabs>
          <w:ind w:left="1554" w:hanging="567"/>
        </w:pPr>
        <w:rPr>
          <w:rFonts w:hint="default"/>
        </w:rPr>
      </w:lvl>
    </w:lvlOverride>
    <w:lvlOverride w:ilvl="3">
      <w:startOverride w:val="1"/>
      <w:lvl w:ilvl="3">
        <w:start w:val="1"/>
        <w:numFmt w:val="decimal"/>
        <w:lvlText w:val="%1.%2.%3.%4."/>
        <w:lvlJc w:val="left"/>
        <w:pPr>
          <w:tabs>
            <w:tab w:val="num" w:pos="2133"/>
          </w:tabs>
          <w:ind w:left="1701" w:hanging="648"/>
        </w:pPr>
        <w:rPr>
          <w:rFonts w:hint="default"/>
        </w:rPr>
      </w:lvl>
    </w:lvlOverride>
    <w:lvlOverride w:ilvl="4">
      <w:startOverride w:val="1"/>
      <w:lvl w:ilvl="4">
        <w:start w:val="1"/>
        <w:numFmt w:val="decimal"/>
        <w:lvlText w:val="%1.%2.%3.%4.%5."/>
        <w:lvlJc w:val="left"/>
        <w:pPr>
          <w:tabs>
            <w:tab w:val="num" w:pos="2493"/>
          </w:tabs>
          <w:ind w:left="2205" w:hanging="792"/>
        </w:pPr>
        <w:rPr>
          <w:rFonts w:hint="default"/>
        </w:rPr>
      </w:lvl>
    </w:lvlOverride>
    <w:lvlOverride w:ilvl="5">
      <w:startOverride w:val="1"/>
      <w:lvl w:ilvl="5">
        <w:start w:val="1"/>
        <w:numFmt w:val="decimal"/>
        <w:lvlText w:val="%1.%2.%3.%4.%5.%6."/>
        <w:lvlJc w:val="left"/>
        <w:pPr>
          <w:tabs>
            <w:tab w:val="num" w:pos="3213"/>
          </w:tabs>
          <w:ind w:left="2709" w:hanging="936"/>
        </w:pPr>
        <w:rPr>
          <w:rFonts w:hint="default"/>
        </w:rPr>
      </w:lvl>
    </w:lvlOverride>
    <w:lvlOverride w:ilvl="6">
      <w:startOverride w:val="1"/>
      <w:lvl w:ilvl="6">
        <w:start w:val="1"/>
        <w:numFmt w:val="decimal"/>
        <w:lvlText w:val="%1.%2.%3.%4.%5.%6.%7."/>
        <w:lvlJc w:val="left"/>
        <w:pPr>
          <w:tabs>
            <w:tab w:val="num" w:pos="3573"/>
          </w:tabs>
          <w:ind w:left="3213" w:hanging="1080"/>
        </w:pPr>
        <w:rPr>
          <w:rFonts w:hint="default"/>
        </w:rPr>
      </w:lvl>
    </w:lvlOverride>
    <w:lvlOverride w:ilvl="7">
      <w:startOverride w:val="1"/>
      <w:lvl w:ilvl="7">
        <w:start w:val="1"/>
        <w:numFmt w:val="decimal"/>
        <w:lvlText w:val="%1.%2.%3.%4.%5.%6.%7.%8."/>
        <w:lvlJc w:val="left"/>
        <w:pPr>
          <w:tabs>
            <w:tab w:val="num" w:pos="4293"/>
          </w:tabs>
          <w:ind w:left="3717" w:hanging="1224"/>
        </w:pPr>
        <w:rPr>
          <w:rFonts w:hint="default"/>
        </w:rPr>
      </w:lvl>
    </w:lvlOverride>
    <w:lvlOverride w:ilvl="8">
      <w:startOverride w:val="1"/>
      <w:lvl w:ilvl="8">
        <w:start w:val="1"/>
        <w:numFmt w:val="decimal"/>
        <w:lvlText w:val="%1.%2.%3.%4.%5.%6.%7.%8.%9."/>
        <w:lvlJc w:val="left"/>
        <w:pPr>
          <w:tabs>
            <w:tab w:val="num" w:pos="4653"/>
          </w:tabs>
          <w:ind w:left="4293" w:hanging="1440"/>
        </w:pPr>
        <w:rPr>
          <w:rFonts w:hint="default"/>
        </w:rPr>
      </w:lvl>
    </w:lvlOverride>
  </w:num>
  <w:num w:numId="32" w16cid:durableId="1582372602">
    <w:abstractNumId w:val="127"/>
  </w:num>
  <w:num w:numId="33" w16cid:durableId="1055201894">
    <w:abstractNumId w:val="43"/>
  </w:num>
  <w:num w:numId="34" w16cid:durableId="576090119">
    <w:abstractNumId w:val="32"/>
  </w:num>
  <w:num w:numId="35" w16cid:durableId="1481774700">
    <w:abstractNumId w:val="126"/>
  </w:num>
  <w:num w:numId="36" w16cid:durableId="952785954">
    <w:abstractNumId w:val="91"/>
  </w:num>
  <w:num w:numId="37" w16cid:durableId="1369989252">
    <w:abstractNumId w:val="135"/>
  </w:num>
  <w:num w:numId="38" w16cid:durableId="279145823">
    <w:abstractNumId w:val="70"/>
  </w:num>
  <w:num w:numId="39" w16cid:durableId="780534100">
    <w:abstractNumId w:val="118"/>
  </w:num>
  <w:num w:numId="40" w16cid:durableId="2011984218">
    <w:abstractNumId w:val="48"/>
    <w:lvlOverride w:ilvl="0">
      <w:startOverride w:val="1"/>
      <w:lvl w:ilvl="0">
        <w:start w:val="1"/>
        <w:numFmt w:val="decimal"/>
        <w:pStyle w:val="ReportBody"/>
        <w:lvlText w:val="%1"/>
        <w:lvlJc w:val="left"/>
        <w:pPr>
          <w:tabs>
            <w:tab w:val="num" w:pos="493"/>
          </w:tabs>
          <w:ind w:left="493" w:hanging="493"/>
        </w:pPr>
        <w:rPr>
          <w:rFonts w:ascii="Arial" w:hAnsi="Arial" w:cs="Arial" w:hint="default"/>
        </w:rPr>
      </w:lvl>
    </w:lvlOverride>
    <w:lvlOverride w:ilvl="1">
      <w:startOverride w:val="1"/>
      <w:lvl w:ilvl="1">
        <w:start w:val="1"/>
        <w:numFmt w:val="decimal"/>
        <w:pStyle w:val="ReportBody2"/>
        <w:lvlText w:val="%1.%2"/>
        <w:lvlJc w:val="left"/>
        <w:pPr>
          <w:tabs>
            <w:tab w:val="num" w:pos="493"/>
          </w:tabs>
          <w:ind w:left="987" w:hanging="494"/>
        </w:pPr>
        <w:rPr>
          <w:rFonts w:hint="default"/>
        </w:rPr>
      </w:lvl>
    </w:lvlOverride>
    <w:lvlOverride w:ilvl="2">
      <w:startOverride w:val="1"/>
      <w:lvl w:ilvl="2">
        <w:start w:val="1"/>
        <w:numFmt w:val="decimal"/>
        <w:lvlText w:val="%1.%2.%3"/>
        <w:lvlJc w:val="left"/>
        <w:pPr>
          <w:tabs>
            <w:tab w:val="num" w:pos="1554"/>
          </w:tabs>
          <w:ind w:left="1554" w:hanging="567"/>
        </w:pPr>
        <w:rPr>
          <w:rFonts w:hint="default"/>
        </w:rPr>
      </w:lvl>
    </w:lvlOverride>
    <w:lvlOverride w:ilvl="3">
      <w:startOverride w:val="1"/>
      <w:lvl w:ilvl="3">
        <w:start w:val="1"/>
        <w:numFmt w:val="decimal"/>
        <w:lvlText w:val="%1.%2.%3.%4."/>
        <w:lvlJc w:val="left"/>
        <w:pPr>
          <w:tabs>
            <w:tab w:val="num" w:pos="2133"/>
          </w:tabs>
          <w:ind w:left="1701" w:hanging="648"/>
        </w:pPr>
        <w:rPr>
          <w:rFonts w:hint="default"/>
        </w:rPr>
      </w:lvl>
    </w:lvlOverride>
    <w:lvlOverride w:ilvl="4">
      <w:startOverride w:val="1"/>
      <w:lvl w:ilvl="4">
        <w:start w:val="1"/>
        <w:numFmt w:val="decimal"/>
        <w:lvlText w:val="%1.%2.%3.%4.%5."/>
        <w:lvlJc w:val="left"/>
        <w:pPr>
          <w:tabs>
            <w:tab w:val="num" w:pos="2493"/>
          </w:tabs>
          <w:ind w:left="2205" w:hanging="792"/>
        </w:pPr>
        <w:rPr>
          <w:rFonts w:hint="default"/>
        </w:rPr>
      </w:lvl>
    </w:lvlOverride>
    <w:lvlOverride w:ilvl="5">
      <w:startOverride w:val="1"/>
      <w:lvl w:ilvl="5">
        <w:start w:val="1"/>
        <w:numFmt w:val="decimal"/>
        <w:lvlText w:val="%1.%2.%3.%4.%5.%6."/>
        <w:lvlJc w:val="left"/>
        <w:pPr>
          <w:tabs>
            <w:tab w:val="num" w:pos="3213"/>
          </w:tabs>
          <w:ind w:left="2709" w:hanging="936"/>
        </w:pPr>
        <w:rPr>
          <w:rFonts w:hint="default"/>
        </w:rPr>
      </w:lvl>
    </w:lvlOverride>
    <w:lvlOverride w:ilvl="6">
      <w:startOverride w:val="1"/>
      <w:lvl w:ilvl="6">
        <w:start w:val="1"/>
        <w:numFmt w:val="decimal"/>
        <w:lvlText w:val="%1.%2.%3.%4.%5.%6.%7."/>
        <w:lvlJc w:val="left"/>
        <w:pPr>
          <w:tabs>
            <w:tab w:val="num" w:pos="3573"/>
          </w:tabs>
          <w:ind w:left="3213" w:hanging="1080"/>
        </w:pPr>
        <w:rPr>
          <w:rFonts w:hint="default"/>
        </w:rPr>
      </w:lvl>
    </w:lvlOverride>
    <w:lvlOverride w:ilvl="7">
      <w:startOverride w:val="1"/>
      <w:lvl w:ilvl="7">
        <w:start w:val="1"/>
        <w:numFmt w:val="decimal"/>
        <w:lvlText w:val="%1.%2.%3.%4.%5.%6.%7.%8."/>
        <w:lvlJc w:val="left"/>
        <w:pPr>
          <w:tabs>
            <w:tab w:val="num" w:pos="4293"/>
          </w:tabs>
          <w:ind w:left="3717" w:hanging="1224"/>
        </w:pPr>
        <w:rPr>
          <w:rFonts w:hint="default"/>
        </w:rPr>
      </w:lvl>
    </w:lvlOverride>
    <w:lvlOverride w:ilvl="8">
      <w:startOverride w:val="1"/>
      <w:lvl w:ilvl="8">
        <w:start w:val="1"/>
        <w:numFmt w:val="decimal"/>
        <w:lvlText w:val="%1.%2.%3.%4.%5.%6.%7.%8.%9."/>
        <w:lvlJc w:val="left"/>
        <w:pPr>
          <w:tabs>
            <w:tab w:val="num" w:pos="4653"/>
          </w:tabs>
          <w:ind w:left="4293" w:hanging="1440"/>
        </w:pPr>
        <w:rPr>
          <w:rFonts w:hint="default"/>
        </w:rPr>
      </w:lvl>
    </w:lvlOverride>
  </w:num>
  <w:num w:numId="41" w16cid:durableId="14936461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254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8998170">
    <w:abstractNumId w:val="54"/>
  </w:num>
  <w:num w:numId="44" w16cid:durableId="1312753892">
    <w:abstractNumId w:val="14"/>
  </w:num>
  <w:num w:numId="45" w16cid:durableId="900948724">
    <w:abstractNumId w:val="96"/>
  </w:num>
  <w:num w:numId="46" w16cid:durableId="565729738">
    <w:abstractNumId w:val="101"/>
  </w:num>
  <w:num w:numId="47" w16cid:durableId="380054272">
    <w:abstractNumId w:val="93"/>
  </w:num>
  <w:num w:numId="48" w16cid:durableId="1688486024">
    <w:abstractNumId w:val="84"/>
  </w:num>
  <w:num w:numId="49" w16cid:durableId="1720976029">
    <w:abstractNumId w:val="11"/>
  </w:num>
  <w:num w:numId="50" w16cid:durableId="1360934598">
    <w:abstractNumId w:val="119"/>
  </w:num>
  <w:num w:numId="51" w16cid:durableId="1009411954">
    <w:abstractNumId w:val="87"/>
  </w:num>
  <w:num w:numId="52" w16cid:durableId="1351757812">
    <w:abstractNumId w:val="27"/>
  </w:num>
  <w:num w:numId="53" w16cid:durableId="64645878">
    <w:abstractNumId w:val="110"/>
  </w:num>
  <w:num w:numId="54" w16cid:durableId="1294020289">
    <w:abstractNumId w:val="105"/>
  </w:num>
  <w:num w:numId="55" w16cid:durableId="1380473931">
    <w:abstractNumId w:val="39"/>
  </w:num>
  <w:num w:numId="56" w16cid:durableId="761490293">
    <w:abstractNumId w:val="106"/>
  </w:num>
  <w:num w:numId="57" w16cid:durableId="1667048823">
    <w:abstractNumId w:val="16"/>
  </w:num>
  <w:num w:numId="58" w16cid:durableId="1237596172">
    <w:abstractNumId w:val="28"/>
  </w:num>
  <w:num w:numId="59" w16cid:durableId="1591693871">
    <w:abstractNumId w:val="71"/>
  </w:num>
  <w:num w:numId="60" w16cid:durableId="1628008626">
    <w:abstractNumId w:val="51"/>
  </w:num>
  <w:num w:numId="61" w16cid:durableId="1496602094">
    <w:abstractNumId w:val="10"/>
  </w:num>
  <w:num w:numId="62" w16cid:durableId="851604729">
    <w:abstractNumId w:val="104"/>
  </w:num>
  <w:num w:numId="63" w16cid:durableId="1286543924">
    <w:abstractNumId w:val="25"/>
  </w:num>
  <w:num w:numId="64" w16cid:durableId="2057584496">
    <w:abstractNumId w:val="4"/>
  </w:num>
  <w:num w:numId="65" w16cid:durableId="1141849861">
    <w:abstractNumId w:val="99"/>
  </w:num>
  <w:num w:numId="66" w16cid:durableId="489759299">
    <w:abstractNumId w:val="83"/>
  </w:num>
  <w:num w:numId="67" w16cid:durableId="1626345576">
    <w:abstractNumId w:val="36"/>
  </w:num>
  <w:num w:numId="68" w16cid:durableId="2069451397">
    <w:abstractNumId w:val="8"/>
  </w:num>
  <w:num w:numId="69" w16cid:durableId="1220702866">
    <w:abstractNumId w:val="73"/>
  </w:num>
  <w:num w:numId="70" w16cid:durableId="395208541">
    <w:abstractNumId w:val="60"/>
  </w:num>
  <w:num w:numId="71" w16cid:durableId="1816801616">
    <w:abstractNumId w:val="113"/>
  </w:num>
  <w:num w:numId="72" w16cid:durableId="1826167863">
    <w:abstractNumId w:val="64"/>
  </w:num>
  <w:num w:numId="73" w16cid:durableId="1896164055">
    <w:abstractNumId w:val="108"/>
  </w:num>
  <w:num w:numId="74" w16cid:durableId="348676237">
    <w:abstractNumId w:val="123"/>
  </w:num>
  <w:num w:numId="75" w16cid:durableId="786509948">
    <w:abstractNumId w:val="130"/>
  </w:num>
  <w:num w:numId="76" w16cid:durableId="1798258144">
    <w:abstractNumId w:val="29"/>
  </w:num>
  <w:num w:numId="77" w16cid:durableId="1950580334">
    <w:abstractNumId w:val="47"/>
  </w:num>
  <w:num w:numId="78" w16cid:durableId="957368312">
    <w:abstractNumId w:val="23"/>
  </w:num>
  <w:num w:numId="79" w16cid:durableId="1386678522">
    <w:abstractNumId w:val="42"/>
  </w:num>
  <w:num w:numId="80" w16cid:durableId="1375500221">
    <w:abstractNumId w:val="1"/>
  </w:num>
  <w:num w:numId="81" w16cid:durableId="214438522">
    <w:abstractNumId w:val="0"/>
  </w:num>
  <w:num w:numId="82" w16cid:durableId="1054161153">
    <w:abstractNumId w:val="107"/>
  </w:num>
  <w:num w:numId="83" w16cid:durableId="1573655786">
    <w:abstractNumId w:val="41"/>
  </w:num>
  <w:num w:numId="84" w16cid:durableId="1344670330">
    <w:abstractNumId w:val="72"/>
  </w:num>
  <w:num w:numId="85" w16cid:durableId="1286698259">
    <w:abstractNumId w:val="95"/>
  </w:num>
  <w:num w:numId="86" w16cid:durableId="1633752282">
    <w:abstractNumId w:val="81"/>
  </w:num>
  <w:num w:numId="87" w16cid:durableId="913244765">
    <w:abstractNumId w:val="53"/>
  </w:num>
  <w:num w:numId="88" w16cid:durableId="827940781">
    <w:abstractNumId w:val="65"/>
  </w:num>
  <w:num w:numId="89" w16cid:durableId="1640572997">
    <w:abstractNumId w:val="122"/>
  </w:num>
  <w:num w:numId="90" w16cid:durableId="447239781">
    <w:abstractNumId w:val="6"/>
  </w:num>
  <w:num w:numId="91" w16cid:durableId="1602832209">
    <w:abstractNumId w:val="30"/>
  </w:num>
  <w:num w:numId="92" w16cid:durableId="602613646">
    <w:abstractNumId w:val="63"/>
  </w:num>
  <w:num w:numId="93" w16cid:durableId="792748972">
    <w:abstractNumId w:val="80"/>
  </w:num>
  <w:num w:numId="94" w16cid:durableId="370620199">
    <w:abstractNumId w:val="77"/>
  </w:num>
  <w:num w:numId="95" w16cid:durableId="795875052">
    <w:abstractNumId w:val="52"/>
  </w:num>
  <w:num w:numId="96" w16cid:durableId="1862276209">
    <w:abstractNumId w:val="109"/>
  </w:num>
  <w:num w:numId="97" w16cid:durableId="2129659063">
    <w:abstractNumId w:val="57"/>
  </w:num>
  <w:num w:numId="98" w16cid:durableId="1907254067">
    <w:abstractNumId w:val="5"/>
  </w:num>
  <w:num w:numId="99" w16cid:durableId="386153260">
    <w:abstractNumId w:val="67"/>
  </w:num>
  <w:num w:numId="100" w16cid:durableId="1211914156">
    <w:abstractNumId w:val="19"/>
  </w:num>
  <w:num w:numId="101" w16cid:durableId="1914075385">
    <w:abstractNumId w:val="66"/>
  </w:num>
  <w:num w:numId="102" w16cid:durableId="1520654286">
    <w:abstractNumId w:val="3"/>
  </w:num>
  <w:num w:numId="103" w16cid:durableId="538205945">
    <w:abstractNumId w:val="49"/>
  </w:num>
  <w:num w:numId="104" w16cid:durableId="803083881">
    <w:abstractNumId w:val="44"/>
  </w:num>
  <w:num w:numId="105" w16cid:durableId="579022859">
    <w:abstractNumId w:val="59"/>
  </w:num>
  <w:num w:numId="106" w16cid:durableId="1638146565">
    <w:abstractNumId w:val="12"/>
  </w:num>
  <w:num w:numId="107" w16cid:durableId="877425520">
    <w:abstractNumId w:val="9"/>
  </w:num>
  <w:num w:numId="108" w16cid:durableId="1865704308">
    <w:abstractNumId w:val="136"/>
  </w:num>
  <w:num w:numId="109" w16cid:durableId="640503665">
    <w:abstractNumId w:val="94"/>
  </w:num>
  <w:num w:numId="110" w16cid:durableId="772672186">
    <w:abstractNumId w:val="79"/>
  </w:num>
  <w:num w:numId="111" w16cid:durableId="95445573">
    <w:abstractNumId w:val="68"/>
  </w:num>
  <w:num w:numId="112" w16cid:durableId="686829562">
    <w:abstractNumId w:val="69"/>
  </w:num>
  <w:num w:numId="113" w16cid:durableId="314258373">
    <w:abstractNumId w:val="102"/>
  </w:num>
  <w:num w:numId="114" w16cid:durableId="1855998272">
    <w:abstractNumId w:val="86"/>
  </w:num>
  <w:num w:numId="115" w16cid:durableId="1639070754">
    <w:abstractNumId w:val="129"/>
  </w:num>
  <w:num w:numId="116" w16cid:durableId="448402759">
    <w:abstractNumId w:val="112"/>
  </w:num>
  <w:num w:numId="117" w16cid:durableId="1693140818">
    <w:abstractNumId w:val="18"/>
  </w:num>
  <w:num w:numId="118" w16cid:durableId="306130459">
    <w:abstractNumId w:val="2"/>
  </w:num>
  <w:num w:numId="119" w16cid:durableId="1482042510">
    <w:abstractNumId w:val="50"/>
  </w:num>
  <w:num w:numId="120" w16cid:durableId="1535190627">
    <w:abstractNumId w:val="35"/>
  </w:num>
  <w:num w:numId="121" w16cid:durableId="2062098160">
    <w:abstractNumId w:val="15"/>
  </w:num>
  <w:num w:numId="122" w16cid:durableId="1956868094">
    <w:abstractNumId w:val="17"/>
  </w:num>
  <w:num w:numId="123" w16cid:durableId="624771980">
    <w:abstractNumId w:val="98"/>
  </w:num>
  <w:num w:numId="124" w16cid:durableId="1133520025">
    <w:abstractNumId w:val="58"/>
  </w:num>
  <w:num w:numId="125" w16cid:durableId="1728185160">
    <w:abstractNumId w:val="21"/>
  </w:num>
  <w:num w:numId="126" w16cid:durableId="281419994">
    <w:abstractNumId w:val="37"/>
  </w:num>
  <w:num w:numId="127" w16cid:durableId="1945263953">
    <w:abstractNumId w:val="117"/>
  </w:num>
  <w:num w:numId="128" w16cid:durableId="1549219220">
    <w:abstractNumId w:val="56"/>
  </w:num>
  <w:num w:numId="129" w16cid:durableId="1615092289">
    <w:abstractNumId w:val="7"/>
  </w:num>
  <w:num w:numId="130" w16cid:durableId="247270684">
    <w:abstractNumId w:val="97"/>
  </w:num>
  <w:num w:numId="131" w16cid:durableId="246426933">
    <w:abstractNumId w:val="74"/>
  </w:num>
  <w:num w:numId="132" w16cid:durableId="1030883324">
    <w:abstractNumId w:val="13"/>
  </w:num>
  <w:num w:numId="133" w16cid:durableId="873691019">
    <w:abstractNumId w:val="111"/>
  </w:num>
  <w:num w:numId="134" w16cid:durableId="682820587">
    <w:abstractNumId w:val="100"/>
  </w:num>
  <w:num w:numId="135" w16cid:durableId="1201210587">
    <w:abstractNumId w:val="46"/>
  </w:num>
  <w:num w:numId="136" w16cid:durableId="1722703643">
    <w:abstractNumId w:val="120"/>
  </w:num>
  <w:num w:numId="137" w16cid:durableId="1696035962">
    <w:abstractNumId w:val="125"/>
  </w:num>
  <w:num w:numId="138" w16cid:durableId="725105166">
    <w:abstractNumId w:val="22"/>
  </w:num>
  <w:num w:numId="139" w16cid:durableId="1527867222">
    <w:abstractNumId w:val="78"/>
  </w:num>
  <w:num w:numId="140" w16cid:durableId="285547690">
    <w:abstractNumId w:val="85"/>
  </w:num>
  <w:num w:numId="141" w16cid:durableId="750589103">
    <w:abstractNumId w:val="45"/>
  </w:num>
  <w:num w:numId="142" w16cid:durableId="1713536622">
    <w:abstractNumId w:val="34"/>
  </w:num>
  <w:num w:numId="143" w16cid:durableId="1653945597">
    <w:abstractNumId w:val="134"/>
  </w:num>
  <w:num w:numId="144" w16cid:durableId="1935548226">
    <w:abstractNumId w:val="114"/>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209"/>
    <w:rsid w:val="000001B7"/>
    <w:rsid w:val="000001CD"/>
    <w:rsid w:val="000001D4"/>
    <w:rsid w:val="000002CD"/>
    <w:rsid w:val="0000085B"/>
    <w:rsid w:val="000008E9"/>
    <w:rsid w:val="00000B18"/>
    <w:rsid w:val="00000B33"/>
    <w:rsid w:val="00000D12"/>
    <w:rsid w:val="00001334"/>
    <w:rsid w:val="0000134E"/>
    <w:rsid w:val="00001618"/>
    <w:rsid w:val="00001656"/>
    <w:rsid w:val="00001D1D"/>
    <w:rsid w:val="00001E1C"/>
    <w:rsid w:val="0000201A"/>
    <w:rsid w:val="00002070"/>
    <w:rsid w:val="00002086"/>
    <w:rsid w:val="000020F6"/>
    <w:rsid w:val="000021C1"/>
    <w:rsid w:val="0000232E"/>
    <w:rsid w:val="00002E7A"/>
    <w:rsid w:val="00002F43"/>
    <w:rsid w:val="000031A4"/>
    <w:rsid w:val="0000328A"/>
    <w:rsid w:val="000034A6"/>
    <w:rsid w:val="000035D3"/>
    <w:rsid w:val="00003A6F"/>
    <w:rsid w:val="00003CD8"/>
    <w:rsid w:val="00003E9E"/>
    <w:rsid w:val="0000405A"/>
    <w:rsid w:val="000044BC"/>
    <w:rsid w:val="000044E4"/>
    <w:rsid w:val="00004547"/>
    <w:rsid w:val="000046BB"/>
    <w:rsid w:val="0000472B"/>
    <w:rsid w:val="000052ED"/>
    <w:rsid w:val="0000539E"/>
    <w:rsid w:val="0000561C"/>
    <w:rsid w:val="000058A7"/>
    <w:rsid w:val="000059E6"/>
    <w:rsid w:val="00005D4A"/>
    <w:rsid w:val="00005DEF"/>
    <w:rsid w:val="00006197"/>
    <w:rsid w:val="00006370"/>
    <w:rsid w:val="00006796"/>
    <w:rsid w:val="000069DE"/>
    <w:rsid w:val="00006B24"/>
    <w:rsid w:val="00006C68"/>
    <w:rsid w:val="00006F9C"/>
    <w:rsid w:val="0000724E"/>
    <w:rsid w:val="00007D4E"/>
    <w:rsid w:val="00007F1F"/>
    <w:rsid w:val="00007FD3"/>
    <w:rsid w:val="00010304"/>
    <w:rsid w:val="000103DD"/>
    <w:rsid w:val="000104AA"/>
    <w:rsid w:val="00010601"/>
    <w:rsid w:val="00010D69"/>
    <w:rsid w:val="0001102C"/>
    <w:rsid w:val="00011158"/>
    <w:rsid w:val="0001125C"/>
    <w:rsid w:val="00011288"/>
    <w:rsid w:val="00011304"/>
    <w:rsid w:val="00011520"/>
    <w:rsid w:val="0001177B"/>
    <w:rsid w:val="000117D7"/>
    <w:rsid w:val="000117FD"/>
    <w:rsid w:val="00011AEC"/>
    <w:rsid w:val="00011BE7"/>
    <w:rsid w:val="00011BF7"/>
    <w:rsid w:val="00011ED0"/>
    <w:rsid w:val="00012082"/>
    <w:rsid w:val="00012108"/>
    <w:rsid w:val="00012189"/>
    <w:rsid w:val="0001250B"/>
    <w:rsid w:val="00012548"/>
    <w:rsid w:val="00012676"/>
    <w:rsid w:val="00012866"/>
    <w:rsid w:val="00012998"/>
    <w:rsid w:val="00012D27"/>
    <w:rsid w:val="00012D61"/>
    <w:rsid w:val="00012D9A"/>
    <w:rsid w:val="00012DC7"/>
    <w:rsid w:val="00012F20"/>
    <w:rsid w:val="000132F6"/>
    <w:rsid w:val="00013872"/>
    <w:rsid w:val="00013897"/>
    <w:rsid w:val="00013B1D"/>
    <w:rsid w:val="0001435E"/>
    <w:rsid w:val="000143B0"/>
    <w:rsid w:val="0001442D"/>
    <w:rsid w:val="000144F1"/>
    <w:rsid w:val="000149DE"/>
    <w:rsid w:val="00014E54"/>
    <w:rsid w:val="00014FB7"/>
    <w:rsid w:val="00014FB8"/>
    <w:rsid w:val="000151C9"/>
    <w:rsid w:val="0001555C"/>
    <w:rsid w:val="00015583"/>
    <w:rsid w:val="00015889"/>
    <w:rsid w:val="0001588F"/>
    <w:rsid w:val="00015D05"/>
    <w:rsid w:val="000160B6"/>
    <w:rsid w:val="00016400"/>
    <w:rsid w:val="000164FE"/>
    <w:rsid w:val="000167FF"/>
    <w:rsid w:val="00016978"/>
    <w:rsid w:val="00016D48"/>
    <w:rsid w:val="00016E5A"/>
    <w:rsid w:val="00016E98"/>
    <w:rsid w:val="00016EFA"/>
    <w:rsid w:val="000170E0"/>
    <w:rsid w:val="000170F7"/>
    <w:rsid w:val="000179FC"/>
    <w:rsid w:val="00017E0B"/>
    <w:rsid w:val="00020127"/>
    <w:rsid w:val="0002017C"/>
    <w:rsid w:val="000203D6"/>
    <w:rsid w:val="000205FA"/>
    <w:rsid w:val="0002063C"/>
    <w:rsid w:val="000207A5"/>
    <w:rsid w:val="0002089C"/>
    <w:rsid w:val="000209AC"/>
    <w:rsid w:val="00020A03"/>
    <w:rsid w:val="00020AA8"/>
    <w:rsid w:val="00020B04"/>
    <w:rsid w:val="00020B42"/>
    <w:rsid w:val="00020BBD"/>
    <w:rsid w:val="00020DAB"/>
    <w:rsid w:val="00020F75"/>
    <w:rsid w:val="00021086"/>
    <w:rsid w:val="000210ED"/>
    <w:rsid w:val="000216AE"/>
    <w:rsid w:val="0002177C"/>
    <w:rsid w:val="00021BF6"/>
    <w:rsid w:val="00021F26"/>
    <w:rsid w:val="000220B2"/>
    <w:rsid w:val="00022112"/>
    <w:rsid w:val="0002254B"/>
    <w:rsid w:val="00022601"/>
    <w:rsid w:val="0002268A"/>
    <w:rsid w:val="00022C5E"/>
    <w:rsid w:val="000236E1"/>
    <w:rsid w:val="000236F7"/>
    <w:rsid w:val="000237A0"/>
    <w:rsid w:val="000238BB"/>
    <w:rsid w:val="00023973"/>
    <w:rsid w:val="0002399F"/>
    <w:rsid w:val="00023AD1"/>
    <w:rsid w:val="00023B43"/>
    <w:rsid w:val="00023BB2"/>
    <w:rsid w:val="00023E4B"/>
    <w:rsid w:val="00024059"/>
    <w:rsid w:val="00024303"/>
    <w:rsid w:val="0002432C"/>
    <w:rsid w:val="0002469E"/>
    <w:rsid w:val="00024979"/>
    <w:rsid w:val="0002498B"/>
    <w:rsid w:val="000249DF"/>
    <w:rsid w:val="00024F70"/>
    <w:rsid w:val="00025307"/>
    <w:rsid w:val="0002585D"/>
    <w:rsid w:val="000258A9"/>
    <w:rsid w:val="000258E1"/>
    <w:rsid w:val="00025AF0"/>
    <w:rsid w:val="00025B17"/>
    <w:rsid w:val="00025E8A"/>
    <w:rsid w:val="00026100"/>
    <w:rsid w:val="00026147"/>
    <w:rsid w:val="00026176"/>
    <w:rsid w:val="00026314"/>
    <w:rsid w:val="000266B5"/>
    <w:rsid w:val="0002698D"/>
    <w:rsid w:val="00026A1B"/>
    <w:rsid w:val="00026AD9"/>
    <w:rsid w:val="00026EFD"/>
    <w:rsid w:val="000270B6"/>
    <w:rsid w:val="0002725D"/>
    <w:rsid w:val="00027291"/>
    <w:rsid w:val="000272DB"/>
    <w:rsid w:val="000276CF"/>
    <w:rsid w:val="00027B11"/>
    <w:rsid w:val="00027C6D"/>
    <w:rsid w:val="00027D34"/>
    <w:rsid w:val="00027E59"/>
    <w:rsid w:val="00030093"/>
    <w:rsid w:val="00030190"/>
    <w:rsid w:val="000301A0"/>
    <w:rsid w:val="00030262"/>
    <w:rsid w:val="00030312"/>
    <w:rsid w:val="000304EC"/>
    <w:rsid w:val="000308A4"/>
    <w:rsid w:val="000309F4"/>
    <w:rsid w:val="00030C1A"/>
    <w:rsid w:val="00030E24"/>
    <w:rsid w:val="00031555"/>
    <w:rsid w:val="000315BB"/>
    <w:rsid w:val="00031871"/>
    <w:rsid w:val="00031A15"/>
    <w:rsid w:val="00031B1B"/>
    <w:rsid w:val="00031F58"/>
    <w:rsid w:val="00032170"/>
    <w:rsid w:val="0003225B"/>
    <w:rsid w:val="00032384"/>
    <w:rsid w:val="00032391"/>
    <w:rsid w:val="00032623"/>
    <w:rsid w:val="00032825"/>
    <w:rsid w:val="0003291F"/>
    <w:rsid w:val="00032ACA"/>
    <w:rsid w:val="00032F97"/>
    <w:rsid w:val="00032FE2"/>
    <w:rsid w:val="00033014"/>
    <w:rsid w:val="00033070"/>
    <w:rsid w:val="000333E0"/>
    <w:rsid w:val="00033630"/>
    <w:rsid w:val="0003395B"/>
    <w:rsid w:val="000339CA"/>
    <w:rsid w:val="00033D66"/>
    <w:rsid w:val="00034064"/>
    <w:rsid w:val="00034318"/>
    <w:rsid w:val="00034451"/>
    <w:rsid w:val="00034457"/>
    <w:rsid w:val="0003449D"/>
    <w:rsid w:val="00034615"/>
    <w:rsid w:val="00034670"/>
    <w:rsid w:val="00034B79"/>
    <w:rsid w:val="000350D7"/>
    <w:rsid w:val="00035161"/>
    <w:rsid w:val="0003535D"/>
    <w:rsid w:val="000356AD"/>
    <w:rsid w:val="00035797"/>
    <w:rsid w:val="00035BCB"/>
    <w:rsid w:val="00035CC6"/>
    <w:rsid w:val="000360E6"/>
    <w:rsid w:val="0003614D"/>
    <w:rsid w:val="00036570"/>
    <w:rsid w:val="00036866"/>
    <w:rsid w:val="000369D9"/>
    <w:rsid w:val="00036AF3"/>
    <w:rsid w:val="00037211"/>
    <w:rsid w:val="00037233"/>
    <w:rsid w:val="00037304"/>
    <w:rsid w:val="00037437"/>
    <w:rsid w:val="000375A1"/>
    <w:rsid w:val="000376C3"/>
    <w:rsid w:val="00037736"/>
    <w:rsid w:val="000378F4"/>
    <w:rsid w:val="00037F29"/>
    <w:rsid w:val="000402FF"/>
    <w:rsid w:val="0004038E"/>
    <w:rsid w:val="00040A3E"/>
    <w:rsid w:val="00040CF0"/>
    <w:rsid w:val="00040D2E"/>
    <w:rsid w:val="0004101A"/>
    <w:rsid w:val="00041067"/>
    <w:rsid w:val="0004112B"/>
    <w:rsid w:val="0004191F"/>
    <w:rsid w:val="00041973"/>
    <w:rsid w:val="00041985"/>
    <w:rsid w:val="00041D83"/>
    <w:rsid w:val="00041E04"/>
    <w:rsid w:val="00041E78"/>
    <w:rsid w:val="00041FC0"/>
    <w:rsid w:val="00042043"/>
    <w:rsid w:val="00042070"/>
    <w:rsid w:val="000420E4"/>
    <w:rsid w:val="000421C5"/>
    <w:rsid w:val="000424B7"/>
    <w:rsid w:val="0004256B"/>
    <w:rsid w:val="00042857"/>
    <w:rsid w:val="00042E16"/>
    <w:rsid w:val="000435A9"/>
    <w:rsid w:val="000436D5"/>
    <w:rsid w:val="000437C6"/>
    <w:rsid w:val="000437D6"/>
    <w:rsid w:val="000438DA"/>
    <w:rsid w:val="00043AA0"/>
    <w:rsid w:val="00043D48"/>
    <w:rsid w:val="00043F23"/>
    <w:rsid w:val="00043F4B"/>
    <w:rsid w:val="00044073"/>
    <w:rsid w:val="00044679"/>
    <w:rsid w:val="0004476E"/>
    <w:rsid w:val="0004485C"/>
    <w:rsid w:val="00044CBD"/>
    <w:rsid w:val="00044D5E"/>
    <w:rsid w:val="000452E0"/>
    <w:rsid w:val="000453F9"/>
    <w:rsid w:val="0004542D"/>
    <w:rsid w:val="0004562C"/>
    <w:rsid w:val="000458C1"/>
    <w:rsid w:val="00045F88"/>
    <w:rsid w:val="00046590"/>
    <w:rsid w:val="0004670E"/>
    <w:rsid w:val="000468CD"/>
    <w:rsid w:val="00046942"/>
    <w:rsid w:val="00046A04"/>
    <w:rsid w:val="00047023"/>
    <w:rsid w:val="0004711F"/>
    <w:rsid w:val="0004790D"/>
    <w:rsid w:val="00047EDF"/>
    <w:rsid w:val="00047F1C"/>
    <w:rsid w:val="0005071C"/>
    <w:rsid w:val="00051193"/>
    <w:rsid w:val="00051445"/>
    <w:rsid w:val="00051616"/>
    <w:rsid w:val="00051E3B"/>
    <w:rsid w:val="00052129"/>
    <w:rsid w:val="00052218"/>
    <w:rsid w:val="0005246B"/>
    <w:rsid w:val="000524A6"/>
    <w:rsid w:val="00052CBF"/>
    <w:rsid w:val="00052D69"/>
    <w:rsid w:val="00052E78"/>
    <w:rsid w:val="00052F83"/>
    <w:rsid w:val="00053359"/>
    <w:rsid w:val="00053A9A"/>
    <w:rsid w:val="00053D7B"/>
    <w:rsid w:val="00053F2D"/>
    <w:rsid w:val="0005443C"/>
    <w:rsid w:val="000545A2"/>
    <w:rsid w:val="00054718"/>
    <w:rsid w:val="000548A1"/>
    <w:rsid w:val="000548CE"/>
    <w:rsid w:val="000549DA"/>
    <w:rsid w:val="00054D25"/>
    <w:rsid w:val="00054D7C"/>
    <w:rsid w:val="00054E65"/>
    <w:rsid w:val="000553E8"/>
    <w:rsid w:val="00055A80"/>
    <w:rsid w:val="00055E93"/>
    <w:rsid w:val="00056032"/>
    <w:rsid w:val="000560D4"/>
    <w:rsid w:val="00056446"/>
    <w:rsid w:val="00056648"/>
    <w:rsid w:val="0005691A"/>
    <w:rsid w:val="0005701D"/>
    <w:rsid w:val="0005703A"/>
    <w:rsid w:val="000571EE"/>
    <w:rsid w:val="000573F8"/>
    <w:rsid w:val="000574A9"/>
    <w:rsid w:val="00057516"/>
    <w:rsid w:val="00057605"/>
    <w:rsid w:val="0005772A"/>
    <w:rsid w:val="000577D0"/>
    <w:rsid w:val="00057846"/>
    <w:rsid w:val="0005786D"/>
    <w:rsid w:val="00057962"/>
    <w:rsid w:val="000601BE"/>
    <w:rsid w:val="00060241"/>
    <w:rsid w:val="00060272"/>
    <w:rsid w:val="00060970"/>
    <w:rsid w:val="00060AC4"/>
    <w:rsid w:val="00060D5E"/>
    <w:rsid w:val="00060FB6"/>
    <w:rsid w:val="00061124"/>
    <w:rsid w:val="000612B8"/>
    <w:rsid w:val="000612F4"/>
    <w:rsid w:val="000614FB"/>
    <w:rsid w:val="0006154E"/>
    <w:rsid w:val="00061616"/>
    <w:rsid w:val="00061980"/>
    <w:rsid w:val="00061B81"/>
    <w:rsid w:val="00061F9E"/>
    <w:rsid w:val="000621C1"/>
    <w:rsid w:val="00062264"/>
    <w:rsid w:val="00062455"/>
    <w:rsid w:val="000626D7"/>
    <w:rsid w:val="00062DFE"/>
    <w:rsid w:val="00062F5A"/>
    <w:rsid w:val="00062F6B"/>
    <w:rsid w:val="0006303C"/>
    <w:rsid w:val="000630EB"/>
    <w:rsid w:val="0006321A"/>
    <w:rsid w:val="00063371"/>
    <w:rsid w:val="00063451"/>
    <w:rsid w:val="00063717"/>
    <w:rsid w:val="00063943"/>
    <w:rsid w:val="00063B51"/>
    <w:rsid w:val="00063E39"/>
    <w:rsid w:val="00063EE4"/>
    <w:rsid w:val="00063EEC"/>
    <w:rsid w:val="0006400D"/>
    <w:rsid w:val="0006421D"/>
    <w:rsid w:val="00064320"/>
    <w:rsid w:val="00064585"/>
    <w:rsid w:val="00064A84"/>
    <w:rsid w:val="00064A90"/>
    <w:rsid w:val="00064AAF"/>
    <w:rsid w:val="00064BFC"/>
    <w:rsid w:val="00064D1C"/>
    <w:rsid w:val="00064D4E"/>
    <w:rsid w:val="00064E8D"/>
    <w:rsid w:val="000650A1"/>
    <w:rsid w:val="0006528C"/>
    <w:rsid w:val="00065A41"/>
    <w:rsid w:val="00065B46"/>
    <w:rsid w:val="00065E6B"/>
    <w:rsid w:val="00066320"/>
    <w:rsid w:val="0006642A"/>
    <w:rsid w:val="00066546"/>
    <w:rsid w:val="000666D7"/>
    <w:rsid w:val="00066709"/>
    <w:rsid w:val="00066861"/>
    <w:rsid w:val="00066885"/>
    <w:rsid w:val="00066ABE"/>
    <w:rsid w:val="00066D65"/>
    <w:rsid w:val="000673AC"/>
    <w:rsid w:val="00067547"/>
    <w:rsid w:val="00067D65"/>
    <w:rsid w:val="000700BE"/>
    <w:rsid w:val="000700E6"/>
    <w:rsid w:val="00070369"/>
    <w:rsid w:val="00070626"/>
    <w:rsid w:val="000707C9"/>
    <w:rsid w:val="00070A86"/>
    <w:rsid w:val="00070AA3"/>
    <w:rsid w:val="00070B19"/>
    <w:rsid w:val="00070C31"/>
    <w:rsid w:val="00070E5C"/>
    <w:rsid w:val="00070F06"/>
    <w:rsid w:val="00071353"/>
    <w:rsid w:val="0007149F"/>
    <w:rsid w:val="000715B7"/>
    <w:rsid w:val="0007168A"/>
    <w:rsid w:val="000719D8"/>
    <w:rsid w:val="00071C71"/>
    <w:rsid w:val="00072C3E"/>
    <w:rsid w:val="0007319B"/>
    <w:rsid w:val="000731D1"/>
    <w:rsid w:val="000731D8"/>
    <w:rsid w:val="000732F7"/>
    <w:rsid w:val="000733F7"/>
    <w:rsid w:val="00073991"/>
    <w:rsid w:val="000740E2"/>
    <w:rsid w:val="000742ED"/>
    <w:rsid w:val="00074415"/>
    <w:rsid w:val="0007450E"/>
    <w:rsid w:val="00074715"/>
    <w:rsid w:val="0007474B"/>
    <w:rsid w:val="000748CD"/>
    <w:rsid w:val="00074AEB"/>
    <w:rsid w:val="00074DD2"/>
    <w:rsid w:val="00074E7C"/>
    <w:rsid w:val="00074EF4"/>
    <w:rsid w:val="00075DDB"/>
    <w:rsid w:val="00075E82"/>
    <w:rsid w:val="0007605E"/>
    <w:rsid w:val="00076368"/>
    <w:rsid w:val="00076502"/>
    <w:rsid w:val="000767A8"/>
    <w:rsid w:val="00076A9B"/>
    <w:rsid w:val="00076B1A"/>
    <w:rsid w:val="00076BDA"/>
    <w:rsid w:val="00076DC0"/>
    <w:rsid w:val="00077205"/>
    <w:rsid w:val="000777A3"/>
    <w:rsid w:val="00077B58"/>
    <w:rsid w:val="00077CD7"/>
    <w:rsid w:val="00077F1E"/>
    <w:rsid w:val="00077FA3"/>
    <w:rsid w:val="00080B94"/>
    <w:rsid w:val="00080FED"/>
    <w:rsid w:val="000814FC"/>
    <w:rsid w:val="00081748"/>
    <w:rsid w:val="0008179C"/>
    <w:rsid w:val="00081ADE"/>
    <w:rsid w:val="0008232C"/>
    <w:rsid w:val="000823D5"/>
    <w:rsid w:val="00082415"/>
    <w:rsid w:val="000824D9"/>
    <w:rsid w:val="000825E6"/>
    <w:rsid w:val="00082EFA"/>
    <w:rsid w:val="00082FBB"/>
    <w:rsid w:val="000832BD"/>
    <w:rsid w:val="00083500"/>
    <w:rsid w:val="0008363B"/>
    <w:rsid w:val="0008397A"/>
    <w:rsid w:val="000839F7"/>
    <w:rsid w:val="00083A64"/>
    <w:rsid w:val="00083AF4"/>
    <w:rsid w:val="00083C6F"/>
    <w:rsid w:val="00083C93"/>
    <w:rsid w:val="00084229"/>
    <w:rsid w:val="00084A49"/>
    <w:rsid w:val="00084F6A"/>
    <w:rsid w:val="000858C5"/>
    <w:rsid w:val="0008596F"/>
    <w:rsid w:val="00085A3F"/>
    <w:rsid w:val="00085A6C"/>
    <w:rsid w:val="00085C63"/>
    <w:rsid w:val="00085DFC"/>
    <w:rsid w:val="00086364"/>
    <w:rsid w:val="00086588"/>
    <w:rsid w:val="00086625"/>
    <w:rsid w:val="00086661"/>
    <w:rsid w:val="0008674B"/>
    <w:rsid w:val="00086AD0"/>
    <w:rsid w:val="00086FB2"/>
    <w:rsid w:val="00086FEE"/>
    <w:rsid w:val="000872B4"/>
    <w:rsid w:val="0008733D"/>
    <w:rsid w:val="000873AA"/>
    <w:rsid w:val="0008747A"/>
    <w:rsid w:val="000874B7"/>
    <w:rsid w:val="0008750A"/>
    <w:rsid w:val="000878C6"/>
    <w:rsid w:val="00087CB2"/>
    <w:rsid w:val="00087EB5"/>
    <w:rsid w:val="000907DD"/>
    <w:rsid w:val="00090B68"/>
    <w:rsid w:val="00090E7A"/>
    <w:rsid w:val="00091910"/>
    <w:rsid w:val="00091E98"/>
    <w:rsid w:val="00091EAD"/>
    <w:rsid w:val="00091F6E"/>
    <w:rsid w:val="000920C1"/>
    <w:rsid w:val="000920CC"/>
    <w:rsid w:val="00092254"/>
    <w:rsid w:val="00092327"/>
    <w:rsid w:val="00092400"/>
    <w:rsid w:val="00092621"/>
    <w:rsid w:val="0009277A"/>
    <w:rsid w:val="00092BE9"/>
    <w:rsid w:val="00092CA0"/>
    <w:rsid w:val="0009306C"/>
    <w:rsid w:val="00093459"/>
    <w:rsid w:val="00093502"/>
    <w:rsid w:val="00093A6B"/>
    <w:rsid w:val="00093E9C"/>
    <w:rsid w:val="000940D1"/>
    <w:rsid w:val="00094211"/>
    <w:rsid w:val="0009427E"/>
    <w:rsid w:val="0009483F"/>
    <w:rsid w:val="00094BF2"/>
    <w:rsid w:val="00094BF3"/>
    <w:rsid w:val="00094E07"/>
    <w:rsid w:val="00095120"/>
    <w:rsid w:val="00095617"/>
    <w:rsid w:val="00095678"/>
    <w:rsid w:val="000956C1"/>
    <w:rsid w:val="00095A64"/>
    <w:rsid w:val="00095B82"/>
    <w:rsid w:val="00095C1C"/>
    <w:rsid w:val="00095C42"/>
    <w:rsid w:val="00096297"/>
    <w:rsid w:val="0009635D"/>
    <w:rsid w:val="000964E7"/>
    <w:rsid w:val="000965D3"/>
    <w:rsid w:val="0009665B"/>
    <w:rsid w:val="00096A55"/>
    <w:rsid w:val="00097119"/>
    <w:rsid w:val="00097322"/>
    <w:rsid w:val="0009748A"/>
    <w:rsid w:val="00097691"/>
    <w:rsid w:val="000978B1"/>
    <w:rsid w:val="000A00CA"/>
    <w:rsid w:val="000A01F4"/>
    <w:rsid w:val="000A01FC"/>
    <w:rsid w:val="000A03DB"/>
    <w:rsid w:val="000A090C"/>
    <w:rsid w:val="000A09D2"/>
    <w:rsid w:val="000A0B0F"/>
    <w:rsid w:val="000A0EFB"/>
    <w:rsid w:val="000A0F5C"/>
    <w:rsid w:val="000A0FEF"/>
    <w:rsid w:val="000A105E"/>
    <w:rsid w:val="000A14DE"/>
    <w:rsid w:val="000A1770"/>
    <w:rsid w:val="000A1A05"/>
    <w:rsid w:val="000A1B40"/>
    <w:rsid w:val="000A1BA5"/>
    <w:rsid w:val="000A1D13"/>
    <w:rsid w:val="000A1F25"/>
    <w:rsid w:val="000A2076"/>
    <w:rsid w:val="000A2338"/>
    <w:rsid w:val="000A2534"/>
    <w:rsid w:val="000A2774"/>
    <w:rsid w:val="000A27B4"/>
    <w:rsid w:val="000A2A3C"/>
    <w:rsid w:val="000A2B04"/>
    <w:rsid w:val="000A2DA6"/>
    <w:rsid w:val="000A302F"/>
    <w:rsid w:val="000A32D8"/>
    <w:rsid w:val="000A3D57"/>
    <w:rsid w:val="000A412B"/>
    <w:rsid w:val="000A413E"/>
    <w:rsid w:val="000A43BB"/>
    <w:rsid w:val="000A4906"/>
    <w:rsid w:val="000A507F"/>
    <w:rsid w:val="000A5206"/>
    <w:rsid w:val="000A5422"/>
    <w:rsid w:val="000A5553"/>
    <w:rsid w:val="000A56EB"/>
    <w:rsid w:val="000A5853"/>
    <w:rsid w:val="000A5AD8"/>
    <w:rsid w:val="000A5B85"/>
    <w:rsid w:val="000A5BA5"/>
    <w:rsid w:val="000A5C01"/>
    <w:rsid w:val="000A5EAB"/>
    <w:rsid w:val="000A653F"/>
    <w:rsid w:val="000A68AA"/>
    <w:rsid w:val="000A6959"/>
    <w:rsid w:val="000A6B3A"/>
    <w:rsid w:val="000A6DDB"/>
    <w:rsid w:val="000A6F64"/>
    <w:rsid w:val="000A709F"/>
    <w:rsid w:val="000A7350"/>
    <w:rsid w:val="000A74BB"/>
    <w:rsid w:val="000A7964"/>
    <w:rsid w:val="000A7AED"/>
    <w:rsid w:val="000A7F33"/>
    <w:rsid w:val="000A7F64"/>
    <w:rsid w:val="000B05AA"/>
    <w:rsid w:val="000B0AFB"/>
    <w:rsid w:val="000B0D4D"/>
    <w:rsid w:val="000B103E"/>
    <w:rsid w:val="000B1209"/>
    <w:rsid w:val="000B13C8"/>
    <w:rsid w:val="000B16FC"/>
    <w:rsid w:val="000B1750"/>
    <w:rsid w:val="000B202B"/>
    <w:rsid w:val="000B2319"/>
    <w:rsid w:val="000B2320"/>
    <w:rsid w:val="000B25B9"/>
    <w:rsid w:val="000B25C5"/>
    <w:rsid w:val="000B2A8A"/>
    <w:rsid w:val="000B2ADE"/>
    <w:rsid w:val="000B2DF4"/>
    <w:rsid w:val="000B313D"/>
    <w:rsid w:val="000B367B"/>
    <w:rsid w:val="000B37B6"/>
    <w:rsid w:val="000B381F"/>
    <w:rsid w:val="000B3993"/>
    <w:rsid w:val="000B3C3F"/>
    <w:rsid w:val="000B3DCE"/>
    <w:rsid w:val="000B3F34"/>
    <w:rsid w:val="000B43A8"/>
    <w:rsid w:val="000B43DE"/>
    <w:rsid w:val="000B465C"/>
    <w:rsid w:val="000B4EFC"/>
    <w:rsid w:val="000B5065"/>
    <w:rsid w:val="000B51B6"/>
    <w:rsid w:val="000B5273"/>
    <w:rsid w:val="000B528E"/>
    <w:rsid w:val="000B52FC"/>
    <w:rsid w:val="000B553B"/>
    <w:rsid w:val="000B582A"/>
    <w:rsid w:val="000B5AB4"/>
    <w:rsid w:val="000B5AC1"/>
    <w:rsid w:val="000B5DDE"/>
    <w:rsid w:val="000B5E33"/>
    <w:rsid w:val="000B61FD"/>
    <w:rsid w:val="000B6296"/>
    <w:rsid w:val="000B643E"/>
    <w:rsid w:val="000B680A"/>
    <w:rsid w:val="000B694B"/>
    <w:rsid w:val="000B6B9E"/>
    <w:rsid w:val="000B747F"/>
    <w:rsid w:val="000B76EF"/>
    <w:rsid w:val="000B7786"/>
    <w:rsid w:val="000B7AB6"/>
    <w:rsid w:val="000B7DD7"/>
    <w:rsid w:val="000B7E97"/>
    <w:rsid w:val="000C0121"/>
    <w:rsid w:val="000C0236"/>
    <w:rsid w:val="000C0269"/>
    <w:rsid w:val="000C0287"/>
    <w:rsid w:val="000C0977"/>
    <w:rsid w:val="000C0EC0"/>
    <w:rsid w:val="000C1784"/>
    <w:rsid w:val="000C1FFA"/>
    <w:rsid w:val="000C25E0"/>
    <w:rsid w:val="000C268D"/>
    <w:rsid w:val="000C27C8"/>
    <w:rsid w:val="000C299F"/>
    <w:rsid w:val="000C29FA"/>
    <w:rsid w:val="000C2CD9"/>
    <w:rsid w:val="000C2D63"/>
    <w:rsid w:val="000C3069"/>
    <w:rsid w:val="000C337C"/>
    <w:rsid w:val="000C356C"/>
    <w:rsid w:val="000C369C"/>
    <w:rsid w:val="000C3756"/>
    <w:rsid w:val="000C3B7C"/>
    <w:rsid w:val="000C3DDC"/>
    <w:rsid w:val="000C3E63"/>
    <w:rsid w:val="000C3EBE"/>
    <w:rsid w:val="000C4124"/>
    <w:rsid w:val="000C4393"/>
    <w:rsid w:val="000C43FA"/>
    <w:rsid w:val="000C45F7"/>
    <w:rsid w:val="000C4659"/>
    <w:rsid w:val="000C4896"/>
    <w:rsid w:val="000C4E57"/>
    <w:rsid w:val="000C501F"/>
    <w:rsid w:val="000C5188"/>
    <w:rsid w:val="000C544A"/>
    <w:rsid w:val="000C578A"/>
    <w:rsid w:val="000C5849"/>
    <w:rsid w:val="000C59E6"/>
    <w:rsid w:val="000C60DB"/>
    <w:rsid w:val="000C60ED"/>
    <w:rsid w:val="000C684C"/>
    <w:rsid w:val="000C6EF8"/>
    <w:rsid w:val="000C6FD7"/>
    <w:rsid w:val="000C7053"/>
    <w:rsid w:val="000C70B9"/>
    <w:rsid w:val="000C7187"/>
    <w:rsid w:val="000C7244"/>
    <w:rsid w:val="000C7256"/>
    <w:rsid w:val="000C72CC"/>
    <w:rsid w:val="000C755A"/>
    <w:rsid w:val="000C7F8F"/>
    <w:rsid w:val="000D0166"/>
    <w:rsid w:val="000D01A2"/>
    <w:rsid w:val="000D03E2"/>
    <w:rsid w:val="000D0410"/>
    <w:rsid w:val="000D0827"/>
    <w:rsid w:val="000D0C70"/>
    <w:rsid w:val="000D1164"/>
    <w:rsid w:val="000D1325"/>
    <w:rsid w:val="000D13E7"/>
    <w:rsid w:val="000D14EC"/>
    <w:rsid w:val="000D1746"/>
    <w:rsid w:val="000D1748"/>
    <w:rsid w:val="000D1933"/>
    <w:rsid w:val="000D288B"/>
    <w:rsid w:val="000D29D9"/>
    <w:rsid w:val="000D2CA2"/>
    <w:rsid w:val="000D2F00"/>
    <w:rsid w:val="000D2FE1"/>
    <w:rsid w:val="000D3156"/>
    <w:rsid w:val="000D3184"/>
    <w:rsid w:val="000D31C0"/>
    <w:rsid w:val="000D332F"/>
    <w:rsid w:val="000D3486"/>
    <w:rsid w:val="000D34D3"/>
    <w:rsid w:val="000D3517"/>
    <w:rsid w:val="000D35FD"/>
    <w:rsid w:val="000D3693"/>
    <w:rsid w:val="000D3AF6"/>
    <w:rsid w:val="000D3C28"/>
    <w:rsid w:val="000D3EB6"/>
    <w:rsid w:val="000D3F8E"/>
    <w:rsid w:val="000D4033"/>
    <w:rsid w:val="000D4403"/>
    <w:rsid w:val="000D44D4"/>
    <w:rsid w:val="000D4665"/>
    <w:rsid w:val="000D48F9"/>
    <w:rsid w:val="000D4B92"/>
    <w:rsid w:val="000D4BDF"/>
    <w:rsid w:val="000D563E"/>
    <w:rsid w:val="000D59EC"/>
    <w:rsid w:val="000D5F8F"/>
    <w:rsid w:val="000D5FF3"/>
    <w:rsid w:val="000D6271"/>
    <w:rsid w:val="000D6474"/>
    <w:rsid w:val="000D6670"/>
    <w:rsid w:val="000D68C6"/>
    <w:rsid w:val="000D6A2F"/>
    <w:rsid w:val="000D7578"/>
    <w:rsid w:val="000D7660"/>
    <w:rsid w:val="000D7CB4"/>
    <w:rsid w:val="000D7FF0"/>
    <w:rsid w:val="000E00AF"/>
    <w:rsid w:val="000E025E"/>
    <w:rsid w:val="000E0313"/>
    <w:rsid w:val="000E05A8"/>
    <w:rsid w:val="000E0A6B"/>
    <w:rsid w:val="000E0BD2"/>
    <w:rsid w:val="000E0CB2"/>
    <w:rsid w:val="000E0D0D"/>
    <w:rsid w:val="000E0EB3"/>
    <w:rsid w:val="000E0ED3"/>
    <w:rsid w:val="000E0FA4"/>
    <w:rsid w:val="000E11DF"/>
    <w:rsid w:val="000E1318"/>
    <w:rsid w:val="000E1370"/>
    <w:rsid w:val="000E157A"/>
    <w:rsid w:val="000E18DF"/>
    <w:rsid w:val="000E1ED0"/>
    <w:rsid w:val="000E1F0F"/>
    <w:rsid w:val="000E1F95"/>
    <w:rsid w:val="000E23AB"/>
    <w:rsid w:val="000E2649"/>
    <w:rsid w:val="000E2B00"/>
    <w:rsid w:val="000E2D56"/>
    <w:rsid w:val="000E3202"/>
    <w:rsid w:val="000E3245"/>
    <w:rsid w:val="000E347B"/>
    <w:rsid w:val="000E3485"/>
    <w:rsid w:val="000E35FF"/>
    <w:rsid w:val="000E372B"/>
    <w:rsid w:val="000E3883"/>
    <w:rsid w:val="000E3CE8"/>
    <w:rsid w:val="000E3E36"/>
    <w:rsid w:val="000E3E5C"/>
    <w:rsid w:val="000E49E5"/>
    <w:rsid w:val="000E4A2B"/>
    <w:rsid w:val="000E4CC4"/>
    <w:rsid w:val="000E51FA"/>
    <w:rsid w:val="000E52CF"/>
    <w:rsid w:val="000E53A4"/>
    <w:rsid w:val="000E557C"/>
    <w:rsid w:val="000E5962"/>
    <w:rsid w:val="000E5AA5"/>
    <w:rsid w:val="000E5F24"/>
    <w:rsid w:val="000E5F7F"/>
    <w:rsid w:val="000E6A86"/>
    <w:rsid w:val="000E72FA"/>
    <w:rsid w:val="000E79B7"/>
    <w:rsid w:val="000E7A67"/>
    <w:rsid w:val="000E7C42"/>
    <w:rsid w:val="000E7DCF"/>
    <w:rsid w:val="000E7E51"/>
    <w:rsid w:val="000F011E"/>
    <w:rsid w:val="000F01F4"/>
    <w:rsid w:val="000F01F7"/>
    <w:rsid w:val="000F0207"/>
    <w:rsid w:val="000F0441"/>
    <w:rsid w:val="000F054C"/>
    <w:rsid w:val="000F08F2"/>
    <w:rsid w:val="000F0AB3"/>
    <w:rsid w:val="000F0B61"/>
    <w:rsid w:val="000F0BD9"/>
    <w:rsid w:val="000F0CF9"/>
    <w:rsid w:val="000F0E5C"/>
    <w:rsid w:val="000F121A"/>
    <w:rsid w:val="000F1562"/>
    <w:rsid w:val="000F15C5"/>
    <w:rsid w:val="000F18B8"/>
    <w:rsid w:val="000F1956"/>
    <w:rsid w:val="000F1AA3"/>
    <w:rsid w:val="000F1BDE"/>
    <w:rsid w:val="000F1F29"/>
    <w:rsid w:val="000F2023"/>
    <w:rsid w:val="000F211B"/>
    <w:rsid w:val="000F27C6"/>
    <w:rsid w:val="000F29FB"/>
    <w:rsid w:val="000F2A36"/>
    <w:rsid w:val="000F2A3A"/>
    <w:rsid w:val="000F2BAB"/>
    <w:rsid w:val="000F2E31"/>
    <w:rsid w:val="000F31B2"/>
    <w:rsid w:val="000F31C4"/>
    <w:rsid w:val="000F34A6"/>
    <w:rsid w:val="000F35E0"/>
    <w:rsid w:val="000F3AB5"/>
    <w:rsid w:val="000F3BE0"/>
    <w:rsid w:val="000F3F0F"/>
    <w:rsid w:val="000F3F2F"/>
    <w:rsid w:val="000F4020"/>
    <w:rsid w:val="000F489F"/>
    <w:rsid w:val="000F4A2E"/>
    <w:rsid w:val="000F4AB3"/>
    <w:rsid w:val="000F4BB1"/>
    <w:rsid w:val="000F4D75"/>
    <w:rsid w:val="000F4F6B"/>
    <w:rsid w:val="000F5048"/>
    <w:rsid w:val="000F5499"/>
    <w:rsid w:val="000F54C9"/>
    <w:rsid w:val="000F5835"/>
    <w:rsid w:val="000F58EF"/>
    <w:rsid w:val="000F5B32"/>
    <w:rsid w:val="000F5D1D"/>
    <w:rsid w:val="000F5F1E"/>
    <w:rsid w:val="000F5FC8"/>
    <w:rsid w:val="000F62E0"/>
    <w:rsid w:val="000F6451"/>
    <w:rsid w:val="000F6AF8"/>
    <w:rsid w:val="000F6B2E"/>
    <w:rsid w:val="000F6B94"/>
    <w:rsid w:val="000F6FA2"/>
    <w:rsid w:val="000F6FEE"/>
    <w:rsid w:val="000F71BD"/>
    <w:rsid w:val="000F720E"/>
    <w:rsid w:val="000F7370"/>
    <w:rsid w:val="000F740F"/>
    <w:rsid w:val="000F759B"/>
    <w:rsid w:val="000F76C0"/>
    <w:rsid w:val="000F79F6"/>
    <w:rsid w:val="000F7E63"/>
    <w:rsid w:val="001007FB"/>
    <w:rsid w:val="00100B46"/>
    <w:rsid w:val="00100E0B"/>
    <w:rsid w:val="00101019"/>
    <w:rsid w:val="00101122"/>
    <w:rsid w:val="00101558"/>
    <w:rsid w:val="00101578"/>
    <w:rsid w:val="0010177A"/>
    <w:rsid w:val="0010180B"/>
    <w:rsid w:val="001019AF"/>
    <w:rsid w:val="00101F3A"/>
    <w:rsid w:val="00101FE6"/>
    <w:rsid w:val="0010205F"/>
    <w:rsid w:val="0010207E"/>
    <w:rsid w:val="0010260E"/>
    <w:rsid w:val="00102930"/>
    <w:rsid w:val="00102E4D"/>
    <w:rsid w:val="00102EBE"/>
    <w:rsid w:val="0010334B"/>
    <w:rsid w:val="0010356D"/>
    <w:rsid w:val="0010357A"/>
    <w:rsid w:val="001035CC"/>
    <w:rsid w:val="0010391D"/>
    <w:rsid w:val="00103C94"/>
    <w:rsid w:val="00103CE1"/>
    <w:rsid w:val="00103EC0"/>
    <w:rsid w:val="00103F47"/>
    <w:rsid w:val="0010467F"/>
    <w:rsid w:val="00104970"/>
    <w:rsid w:val="001049D4"/>
    <w:rsid w:val="00104E5C"/>
    <w:rsid w:val="0010514B"/>
    <w:rsid w:val="0010515C"/>
    <w:rsid w:val="0010519A"/>
    <w:rsid w:val="00105336"/>
    <w:rsid w:val="00105421"/>
    <w:rsid w:val="0010550A"/>
    <w:rsid w:val="0010593E"/>
    <w:rsid w:val="0010598F"/>
    <w:rsid w:val="00105B9A"/>
    <w:rsid w:val="00105D66"/>
    <w:rsid w:val="00105E79"/>
    <w:rsid w:val="00105FA7"/>
    <w:rsid w:val="0010635B"/>
    <w:rsid w:val="001068E6"/>
    <w:rsid w:val="00106CC3"/>
    <w:rsid w:val="00106FAC"/>
    <w:rsid w:val="00106FE7"/>
    <w:rsid w:val="00107898"/>
    <w:rsid w:val="00107B69"/>
    <w:rsid w:val="00107B77"/>
    <w:rsid w:val="001102CD"/>
    <w:rsid w:val="0011032E"/>
    <w:rsid w:val="00110354"/>
    <w:rsid w:val="0011094C"/>
    <w:rsid w:val="00110CA9"/>
    <w:rsid w:val="00110D0D"/>
    <w:rsid w:val="00111375"/>
    <w:rsid w:val="00111992"/>
    <w:rsid w:val="00111B0C"/>
    <w:rsid w:val="00111BBD"/>
    <w:rsid w:val="00111F26"/>
    <w:rsid w:val="00111F71"/>
    <w:rsid w:val="00112142"/>
    <w:rsid w:val="0011229E"/>
    <w:rsid w:val="0011234B"/>
    <w:rsid w:val="00112771"/>
    <w:rsid w:val="00112BA5"/>
    <w:rsid w:val="00112BDB"/>
    <w:rsid w:val="00112CEC"/>
    <w:rsid w:val="0011320C"/>
    <w:rsid w:val="001136B3"/>
    <w:rsid w:val="00113C3E"/>
    <w:rsid w:val="00113F03"/>
    <w:rsid w:val="001142D7"/>
    <w:rsid w:val="001143F4"/>
    <w:rsid w:val="001147CB"/>
    <w:rsid w:val="00114CA0"/>
    <w:rsid w:val="00115196"/>
    <w:rsid w:val="0011544F"/>
    <w:rsid w:val="001156F3"/>
    <w:rsid w:val="001157F0"/>
    <w:rsid w:val="00115DA8"/>
    <w:rsid w:val="00115E02"/>
    <w:rsid w:val="00116093"/>
    <w:rsid w:val="001163EB"/>
    <w:rsid w:val="001164D6"/>
    <w:rsid w:val="0011688E"/>
    <w:rsid w:val="00116C99"/>
    <w:rsid w:val="00116E12"/>
    <w:rsid w:val="001173E1"/>
    <w:rsid w:val="001174E0"/>
    <w:rsid w:val="00117E68"/>
    <w:rsid w:val="00117F3E"/>
    <w:rsid w:val="00120643"/>
    <w:rsid w:val="00120958"/>
    <w:rsid w:val="001209A6"/>
    <w:rsid w:val="00120A0A"/>
    <w:rsid w:val="00120AEA"/>
    <w:rsid w:val="00120C7A"/>
    <w:rsid w:val="00120D2E"/>
    <w:rsid w:val="00120D44"/>
    <w:rsid w:val="00120DCF"/>
    <w:rsid w:val="00121006"/>
    <w:rsid w:val="0012111F"/>
    <w:rsid w:val="0012119F"/>
    <w:rsid w:val="00121842"/>
    <w:rsid w:val="00121910"/>
    <w:rsid w:val="00121981"/>
    <w:rsid w:val="001219F6"/>
    <w:rsid w:val="00121A7B"/>
    <w:rsid w:val="00121B72"/>
    <w:rsid w:val="00121BEF"/>
    <w:rsid w:val="001220BD"/>
    <w:rsid w:val="00122363"/>
    <w:rsid w:val="00122528"/>
    <w:rsid w:val="0012256D"/>
    <w:rsid w:val="0012257B"/>
    <w:rsid w:val="00122662"/>
    <w:rsid w:val="00122672"/>
    <w:rsid w:val="001229B0"/>
    <w:rsid w:val="00122DFE"/>
    <w:rsid w:val="00123038"/>
    <w:rsid w:val="00123082"/>
    <w:rsid w:val="00123387"/>
    <w:rsid w:val="0012354A"/>
    <w:rsid w:val="00123BB0"/>
    <w:rsid w:val="00123C5D"/>
    <w:rsid w:val="00123EA3"/>
    <w:rsid w:val="00124175"/>
    <w:rsid w:val="001244DB"/>
    <w:rsid w:val="00124570"/>
    <w:rsid w:val="0012482C"/>
    <w:rsid w:val="0012483F"/>
    <w:rsid w:val="00124C5C"/>
    <w:rsid w:val="00124FA4"/>
    <w:rsid w:val="00125406"/>
    <w:rsid w:val="00125423"/>
    <w:rsid w:val="00125595"/>
    <w:rsid w:val="001258AD"/>
    <w:rsid w:val="00125BD5"/>
    <w:rsid w:val="001260F0"/>
    <w:rsid w:val="001261CA"/>
    <w:rsid w:val="001268F3"/>
    <w:rsid w:val="00126BDA"/>
    <w:rsid w:val="00126BF4"/>
    <w:rsid w:val="00126F60"/>
    <w:rsid w:val="001270EF"/>
    <w:rsid w:val="00127451"/>
    <w:rsid w:val="00127647"/>
    <w:rsid w:val="001277BF"/>
    <w:rsid w:val="001278F8"/>
    <w:rsid w:val="0012796A"/>
    <w:rsid w:val="00127BF6"/>
    <w:rsid w:val="00127D25"/>
    <w:rsid w:val="00130430"/>
    <w:rsid w:val="001304EC"/>
    <w:rsid w:val="00130532"/>
    <w:rsid w:val="00130774"/>
    <w:rsid w:val="00130CB9"/>
    <w:rsid w:val="00130D35"/>
    <w:rsid w:val="00130E65"/>
    <w:rsid w:val="00130F2D"/>
    <w:rsid w:val="0013111D"/>
    <w:rsid w:val="00131217"/>
    <w:rsid w:val="001312F4"/>
    <w:rsid w:val="00131B52"/>
    <w:rsid w:val="00131B60"/>
    <w:rsid w:val="00131C12"/>
    <w:rsid w:val="00132393"/>
    <w:rsid w:val="001324B6"/>
    <w:rsid w:val="0013264B"/>
    <w:rsid w:val="001326E0"/>
    <w:rsid w:val="00132B46"/>
    <w:rsid w:val="00132E5A"/>
    <w:rsid w:val="001330C6"/>
    <w:rsid w:val="001333C2"/>
    <w:rsid w:val="00133536"/>
    <w:rsid w:val="00133707"/>
    <w:rsid w:val="001337C1"/>
    <w:rsid w:val="00133BCA"/>
    <w:rsid w:val="00133C47"/>
    <w:rsid w:val="00133C5C"/>
    <w:rsid w:val="00133D6B"/>
    <w:rsid w:val="00133DE5"/>
    <w:rsid w:val="00133EDB"/>
    <w:rsid w:val="0013421B"/>
    <w:rsid w:val="0013446C"/>
    <w:rsid w:val="00134778"/>
    <w:rsid w:val="00134BF1"/>
    <w:rsid w:val="00134E0D"/>
    <w:rsid w:val="00135090"/>
    <w:rsid w:val="001353F3"/>
    <w:rsid w:val="00135463"/>
    <w:rsid w:val="00135662"/>
    <w:rsid w:val="001356A9"/>
    <w:rsid w:val="0013583F"/>
    <w:rsid w:val="0013587F"/>
    <w:rsid w:val="001358EF"/>
    <w:rsid w:val="00135B24"/>
    <w:rsid w:val="00135D80"/>
    <w:rsid w:val="00136004"/>
    <w:rsid w:val="00136124"/>
    <w:rsid w:val="00136365"/>
    <w:rsid w:val="001365F7"/>
    <w:rsid w:val="0013666E"/>
    <w:rsid w:val="001366DB"/>
    <w:rsid w:val="00136700"/>
    <w:rsid w:val="00136946"/>
    <w:rsid w:val="001369FC"/>
    <w:rsid w:val="001371F2"/>
    <w:rsid w:val="001372E7"/>
    <w:rsid w:val="00137414"/>
    <w:rsid w:val="0013741B"/>
    <w:rsid w:val="00137916"/>
    <w:rsid w:val="00137E71"/>
    <w:rsid w:val="001402E8"/>
    <w:rsid w:val="001403CE"/>
    <w:rsid w:val="001405A6"/>
    <w:rsid w:val="001405C7"/>
    <w:rsid w:val="00140938"/>
    <w:rsid w:val="0014096D"/>
    <w:rsid w:val="00140AEB"/>
    <w:rsid w:val="00140B4B"/>
    <w:rsid w:val="001413FE"/>
    <w:rsid w:val="0014173C"/>
    <w:rsid w:val="00141B6E"/>
    <w:rsid w:val="00141DDF"/>
    <w:rsid w:val="00142267"/>
    <w:rsid w:val="0014230A"/>
    <w:rsid w:val="001423D3"/>
    <w:rsid w:val="0014253A"/>
    <w:rsid w:val="001428F4"/>
    <w:rsid w:val="00142A27"/>
    <w:rsid w:val="00142B1D"/>
    <w:rsid w:val="00142C31"/>
    <w:rsid w:val="00142D2B"/>
    <w:rsid w:val="00142D85"/>
    <w:rsid w:val="00142D9E"/>
    <w:rsid w:val="00142F63"/>
    <w:rsid w:val="00143281"/>
    <w:rsid w:val="0014362C"/>
    <w:rsid w:val="00143689"/>
    <w:rsid w:val="00143B88"/>
    <w:rsid w:val="00143BF5"/>
    <w:rsid w:val="00143F2D"/>
    <w:rsid w:val="001445BA"/>
    <w:rsid w:val="0014478E"/>
    <w:rsid w:val="001447A0"/>
    <w:rsid w:val="001447F7"/>
    <w:rsid w:val="0014482A"/>
    <w:rsid w:val="00144B87"/>
    <w:rsid w:val="00145064"/>
    <w:rsid w:val="0014539F"/>
    <w:rsid w:val="0014544B"/>
    <w:rsid w:val="0014544D"/>
    <w:rsid w:val="00145AB1"/>
    <w:rsid w:val="00145C51"/>
    <w:rsid w:val="00145D74"/>
    <w:rsid w:val="0014629B"/>
    <w:rsid w:val="00146A18"/>
    <w:rsid w:val="00146C2E"/>
    <w:rsid w:val="00146CD5"/>
    <w:rsid w:val="001473F4"/>
    <w:rsid w:val="00147706"/>
    <w:rsid w:val="0014773B"/>
    <w:rsid w:val="00147996"/>
    <w:rsid w:val="001479D4"/>
    <w:rsid w:val="00147EC5"/>
    <w:rsid w:val="00147F79"/>
    <w:rsid w:val="001502DA"/>
    <w:rsid w:val="00150305"/>
    <w:rsid w:val="0015050C"/>
    <w:rsid w:val="00150578"/>
    <w:rsid w:val="001505B6"/>
    <w:rsid w:val="001506B0"/>
    <w:rsid w:val="00150946"/>
    <w:rsid w:val="0015098E"/>
    <w:rsid w:val="00150A56"/>
    <w:rsid w:val="00150D58"/>
    <w:rsid w:val="0015128A"/>
    <w:rsid w:val="0015129F"/>
    <w:rsid w:val="00151408"/>
    <w:rsid w:val="00151608"/>
    <w:rsid w:val="00151749"/>
    <w:rsid w:val="00151768"/>
    <w:rsid w:val="00151BA3"/>
    <w:rsid w:val="00151EEB"/>
    <w:rsid w:val="00151F5E"/>
    <w:rsid w:val="001521E6"/>
    <w:rsid w:val="001522C7"/>
    <w:rsid w:val="0015238D"/>
    <w:rsid w:val="001527BA"/>
    <w:rsid w:val="001528DF"/>
    <w:rsid w:val="001529F2"/>
    <w:rsid w:val="001530ED"/>
    <w:rsid w:val="00153950"/>
    <w:rsid w:val="00153D71"/>
    <w:rsid w:val="001541A3"/>
    <w:rsid w:val="0015420F"/>
    <w:rsid w:val="00154312"/>
    <w:rsid w:val="00154492"/>
    <w:rsid w:val="00154708"/>
    <w:rsid w:val="0015485D"/>
    <w:rsid w:val="00154917"/>
    <w:rsid w:val="00154E98"/>
    <w:rsid w:val="00154F19"/>
    <w:rsid w:val="0015512A"/>
    <w:rsid w:val="00155B63"/>
    <w:rsid w:val="00156122"/>
    <w:rsid w:val="0015627C"/>
    <w:rsid w:val="00156488"/>
    <w:rsid w:val="001564ED"/>
    <w:rsid w:val="001567F3"/>
    <w:rsid w:val="001568CA"/>
    <w:rsid w:val="00156BD0"/>
    <w:rsid w:val="00156CE2"/>
    <w:rsid w:val="00156DD9"/>
    <w:rsid w:val="00157181"/>
    <w:rsid w:val="001571BD"/>
    <w:rsid w:val="0015771A"/>
    <w:rsid w:val="001577A6"/>
    <w:rsid w:val="0015795D"/>
    <w:rsid w:val="00157F6A"/>
    <w:rsid w:val="00160001"/>
    <w:rsid w:val="001602B8"/>
    <w:rsid w:val="001604F9"/>
    <w:rsid w:val="001606E2"/>
    <w:rsid w:val="0016070B"/>
    <w:rsid w:val="001607CE"/>
    <w:rsid w:val="00160B8F"/>
    <w:rsid w:val="00160CBC"/>
    <w:rsid w:val="00160CC9"/>
    <w:rsid w:val="00160CD4"/>
    <w:rsid w:val="00160DD2"/>
    <w:rsid w:val="00161450"/>
    <w:rsid w:val="00161999"/>
    <w:rsid w:val="00162266"/>
    <w:rsid w:val="001622DC"/>
    <w:rsid w:val="0016279E"/>
    <w:rsid w:val="001629F2"/>
    <w:rsid w:val="00162AEB"/>
    <w:rsid w:val="00162D40"/>
    <w:rsid w:val="0016309C"/>
    <w:rsid w:val="0016312B"/>
    <w:rsid w:val="001632DD"/>
    <w:rsid w:val="0016356A"/>
    <w:rsid w:val="00163718"/>
    <w:rsid w:val="00163AD3"/>
    <w:rsid w:val="00163FA6"/>
    <w:rsid w:val="00163FB2"/>
    <w:rsid w:val="00163FCB"/>
    <w:rsid w:val="0016424B"/>
    <w:rsid w:val="00164445"/>
    <w:rsid w:val="0016466D"/>
    <w:rsid w:val="00164AA6"/>
    <w:rsid w:val="00164D97"/>
    <w:rsid w:val="001651D2"/>
    <w:rsid w:val="001652FA"/>
    <w:rsid w:val="001655B5"/>
    <w:rsid w:val="0016560B"/>
    <w:rsid w:val="0016565F"/>
    <w:rsid w:val="0016596A"/>
    <w:rsid w:val="00165A2E"/>
    <w:rsid w:val="00165E01"/>
    <w:rsid w:val="00166021"/>
    <w:rsid w:val="0016622C"/>
    <w:rsid w:val="00166619"/>
    <w:rsid w:val="0016681F"/>
    <w:rsid w:val="00166B19"/>
    <w:rsid w:val="00166D5B"/>
    <w:rsid w:val="00166EDE"/>
    <w:rsid w:val="00166F25"/>
    <w:rsid w:val="00166F86"/>
    <w:rsid w:val="00167141"/>
    <w:rsid w:val="001672F5"/>
    <w:rsid w:val="00167308"/>
    <w:rsid w:val="001677BC"/>
    <w:rsid w:val="00167871"/>
    <w:rsid w:val="001678BD"/>
    <w:rsid w:val="00167BA9"/>
    <w:rsid w:val="00167BE1"/>
    <w:rsid w:val="00167D6D"/>
    <w:rsid w:val="00170496"/>
    <w:rsid w:val="00170AD8"/>
    <w:rsid w:val="00170DDB"/>
    <w:rsid w:val="0017116F"/>
    <w:rsid w:val="001711D8"/>
    <w:rsid w:val="00171540"/>
    <w:rsid w:val="001715C0"/>
    <w:rsid w:val="001716B0"/>
    <w:rsid w:val="00171803"/>
    <w:rsid w:val="00171980"/>
    <w:rsid w:val="00171C23"/>
    <w:rsid w:val="00171C9C"/>
    <w:rsid w:val="00171E61"/>
    <w:rsid w:val="00172425"/>
    <w:rsid w:val="001725A2"/>
    <w:rsid w:val="001726EE"/>
    <w:rsid w:val="00172DA4"/>
    <w:rsid w:val="00172F33"/>
    <w:rsid w:val="001730E1"/>
    <w:rsid w:val="00173110"/>
    <w:rsid w:val="00173761"/>
    <w:rsid w:val="0017393E"/>
    <w:rsid w:val="00173BCE"/>
    <w:rsid w:val="00173BCF"/>
    <w:rsid w:val="00174039"/>
    <w:rsid w:val="001740BA"/>
    <w:rsid w:val="00174575"/>
    <w:rsid w:val="0017465E"/>
    <w:rsid w:val="001748EF"/>
    <w:rsid w:val="00174BC9"/>
    <w:rsid w:val="00174EB9"/>
    <w:rsid w:val="00175210"/>
    <w:rsid w:val="001756D0"/>
    <w:rsid w:val="0017592B"/>
    <w:rsid w:val="00175A2B"/>
    <w:rsid w:val="00175B36"/>
    <w:rsid w:val="00175B52"/>
    <w:rsid w:val="001761DC"/>
    <w:rsid w:val="0017641C"/>
    <w:rsid w:val="001767A4"/>
    <w:rsid w:val="00176838"/>
    <w:rsid w:val="00176EAC"/>
    <w:rsid w:val="00177187"/>
    <w:rsid w:val="00177687"/>
    <w:rsid w:val="00177DF3"/>
    <w:rsid w:val="0018025D"/>
    <w:rsid w:val="001802E8"/>
    <w:rsid w:val="00180A56"/>
    <w:rsid w:val="0018131E"/>
    <w:rsid w:val="001817F4"/>
    <w:rsid w:val="00181995"/>
    <w:rsid w:val="00181FBD"/>
    <w:rsid w:val="001826CA"/>
    <w:rsid w:val="0018275B"/>
    <w:rsid w:val="00182C3B"/>
    <w:rsid w:val="00182D4A"/>
    <w:rsid w:val="00182D64"/>
    <w:rsid w:val="00182FAD"/>
    <w:rsid w:val="00183119"/>
    <w:rsid w:val="001837C1"/>
    <w:rsid w:val="00183D86"/>
    <w:rsid w:val="001842BB"/>
    <w:rsid w:val="00184940"/>
    <w:rsid w:val="00184E3E"/>
    <w:rsid w:val="00184E49"/>
    <w:rsid w:val="0018506D"/>
    <w:rsid w:val="001856DA"/>
    <w:rsid w:val="00185812"/>
    <w:rsid w:val="00185A12"/>
    <w:rsid w:val="00185AA1"/>
    <w:rsid w:val="00185D74"/>
    <w:rsid w:val="001861EB"/>
    <w:rsid w:val="0018654D"/>
    <w:rsid w:val="00186592"/>
    <w:rsid w:val="001868CE"/>
    <w:rsid w:val="00186A43"/>
    <w:rsid w:val="00186D12"/>
    <w:rsid w:val="00186E45"/>
    <w:rsid w:val="00186F04"/>
    <w:rsid w:val="001872E0"/>
    <w:rsid w:val="001872F3"/>
    <w:rsid w:val="001876E4"/>
    <w:rsid w:val="00187759"/>
    <w:rsid w:val="00187B46"/>
    <w:rsid w:val="00187CAB"/>
    <w:rsid w:val="00187D1D"/>
    <w:rsid w:val="00190223"/>
    <w:rsid w:val="00190738"/>
    <w:rsid w:val="00190F33"/>
    <w:rsid w:val="00190F9E"/>
    <w:rsid w:val="001911A9"/>
    <w:rsid w:val="001914A1"/>
    <w:rsid w:val="00191668"/>
    <w:rsid w:val="00191709"/>
    <w:rsid w:val="0019194C"/>
    <w:rsid w:val="00191AC1"/>
    <w:rsid w:val="00191F0F"/>
    <w:rsid w:val="001920D6"/>
    <w:rsid w:val="00192244"/>
    <w:rsid w:val="001922FB"/>
    <w:rsid w:val="001924DD"/>
    <w:rsid w:val="0019257C"/>
    <w:rsid w:val="00192694"/>
    <w:rsid w:val="00192772"/>
    <w:rsid w:val="0019291E"/>
    <w:rsid w:val="00192D14"/>
    <w:rsid w:val="00192EC3"/>
    <w:rsid w:val="001936BF"/>
    <w:rsid w:val="00193917"/>
    <w:rsid w:val="001939DD"/>
    <w:rsid w:val="00193B02"/>
    <w:rsid w:val="00193B89"/>
    <w:rsid w:val="00193C28"/>
    <w:rsid w:val="00193E06"/>
    <w:rsid w:val="00193EA7"/>
    <w:rsid w:val="00193F23"/>
    <w:rsid w:val="0019401D"/>
    <w:rsid w:val="00194048"/>
    <w:rsid w:val="00194460"/>
    <w:rsid w:val="001944CD"/>
    <w:rsid w:val="001945AC"/>
    <w:rsid w:val="0019462B"/>
    <w:rsid w:val="0019466F"/>
    <w:rsid w:val="001949A0"/>
    <w:rsid w:val="00194C16"/>
    <w:rsid w:val="00194C9F"/>
    <w:rsid w:val="00194E6D"/>
    <w:rsid w:val="00194FA0"/>
    <w:rsid w:val="001953E1"/>
    <w:rsid w:val="00195419"/>
    <w:rsid w:val="00195552"/>
    <w:rsid w:val="001957E7"/>
    <w:rsid w:val="001957EA"/>
    <w:rsid w:val="001959A7"/>
    <w:rsid w:val="00195A67"/>
    <w:rsid w:val="00195DBF"/>
    <w:rsid w:val="001960F0"/>
    <w:rsid w:val="001965DA"/>
    <w:rsid w:val="001967C5"/>
    <w:rsid w:val="001967D5"/>
    <w:rsid w:val="001968E4"/>
    <w:rsid w:val="00196B42"/>
    <w:rsid w:val="00196C6E"/>
    <w:rsid w:val="00196E0D"/>
    <w:rsid w:val="001971FD"/>
    <w:rsid w:val="001975D8"/>
    <w:rsid w:val="001979C7"/>
    <w:rsid w:val="001979CE"/>
    <w:rsid w:val="00197BBB"/>
    <w:rsid w:val="00197DDC"/>
    <w:rsid w:val="00197EAE"/>
    <w:rsid w:val="001A017E"/>
    <w:rsid w:val="001A03C2"/>
    <w:rsid w:val="001A0638"/>
    <w:rsid w:val="001A07B8"/>
    <w:rsid w:val="001A0891"/>
    <w:rsid w:val="001A093B"/>
    <w:rsid w:val="001A0B73"/>
    <w:rsid w:val="001A0CB9"/>
    <w:rsid w:val="001A1270"/>
    <w:rsid w:val="001A1F40"/>
    <w:rsid w:val="001A2074"/>
    <w:rsid w:val="001A2227"/>
    <w:rsid w:val="001A22E9"/>
    <w:rsid w:val="001A2343"/>
    <w:rsid w:val="001A2494"/>
    <w:rsid w:val="001A26E3"/>
    <w:rsid w:val="001A2857"/>
    <w:rsid w:val="001A2A07"/>
    <w:rsid w:val="001A2A59"/>
    <w:rsid w:val="001A2CE6"/>
    <w:rsid w:val="001A310B"/>
    <w:rsid w:val="001A331B"/>
    <w:rsid w:val="001A33D8"/>
    <w:rsid w:val="001A3661"/>
    <w:rsid w:val="001A3DEB"/>
    <w:rsid w:val="001A3F69"/>
    <w:rsid w:val="001A43F6"/>
    <w:rsid w:val="001A46C2"/>
    <w:rsid w:val="001A47B9"/>
    <w:rsid w:val="001A4ACB"/>
    <w:rsid w:val="001A4B31"/>
    <w:rsid w:val="001A4C28"/>
    <w:rsid w:val="001A527E"/>
    <w:rsid w:val="001A54CD"/>
    <w:rsid w:val="001A5F9B"/>
    <w:rsid w:val="001A60CB"/>
    <w:rsid w:val="001A635A"/>
    <w:rsid w:val="001A6534"/>
    <w:rsid w:val="001A6552"/>
    <w:rsid w:val="001A657F"/>
    <w:rsid w:val="001A65B0"/>
    <w:rsid w:val="001A65C4"/>
    <w:rsid w:val="001A65E4"/>
    <w:rsid w:val="001A666F"/>
    <w:rsid w:val="001A6711"/>
    <w:rsid w:val="001A676F"/>
    <w:rsid w:val="001A6803"/>
    <w:rsid w:val="001A6B72"/>
    <w:rsid w:val="001A6D97"/>
    <w:rsid w:val="001A7245"/>
    <w:rsid w:val="001A74EE"/>
    <w:rsid w:val="001B01AC"/>
    <w:rsid w:val="001B0204"/>
    <w:rsid w:val="001B0979"/>
    <w:rsid w:val="001B0C91"/>
    <w:rsid w:val="001B14B8"/>
    <w:rsid w:val="001B1AB3"/>
    <w:rsid w:val="001B1F6F"/>
    <w:rsid w:val="001B204D"/>
    <w:rsid w:val="001B20A2"/>
    <w:rsid w:val="001B2B04"/>
    <w:rsid w:val="001B306C"/>
    <w:rsid w:val="001B31B7"/>
    <w:rsid w:val="001B320A"/>
    <w:rsid w:val="001B322D"/>
    <w:rsid w:val="001B338C"/>
    <w:rsid w:val="001B34D1"/>
    <w:rsid w:val="001B3E9F"/>
    <w:rsid w:val="001B3F67"/>
    <w:rsid w:val="001B41A0"/>
    <w:rsid w:val="001B439E"/>
    <w:rsid w:val="001B49B0"/>
    <w:rsid w:val="001B4A81"/>
    <w:rsid w:val="001B4F0A"/>
    <w:rsid w:val="001B4F88"/>
    <w:rsid w:val="001B4FF8"/>
    <w:rsid w:val="001B51D8"/>
    <w:rsid w:val="001B56C4"/>
    <w:rsid w:val="001B59C5"/>
    <w:rsid w:val="001B5A8E"/>
    <w:rsid w:val="001B5B19"/>
    <w:rsid w:val="001B5B1D"/>
    <w:rsid w:val="001B5B32"/>
    <w:rsid w:val="001B5C4B"/>
    <w:rsid w:val="001B5DDD"/>
    <w:rsid w:val="001B5E50"/>
    <w:rsid w:val="001B5F6B"/>
    <w:rsid w:val="001B5FEB"/>
    <w:rsid w:val="001B6118"/>
    <w:rsid w:val="001B6199"/>
    <w:rsid w:val="001B640C"/>
    <w:rsid w:val="001B68A2"/>
    <w:rsid w:val="001B68BB"/>
    <w:rsid w:val="001B6CC9"/>
    <w:rsid w:val="001B6D5A"/>
    <w:rsid w:val="001B70E4"/>
    <w:rsid w:val="001B73D5"/>
    <w:rsid w:val="001B7517"/>
    <w:rsid w:val="001B7C1E"/>
    <w:rsid w:val="001B7E28"/>
    <w:rsid w:val="001B7F16"/>
    <w:rsid w:val="001B7F59"/>
    <w:rsid w:val="001C073C"/>
    <w:rsid w:val="001C084B"/>
    <w:rsid w:val="001C08EF"/>
    <w:rsid w:val="001C0F19"/>
    <w:rsid w:val="001C13FF"/>
    <w:rsid w:val="001C15F5"/>
    <w:rsid w:val="001C1975"/>
    <w:rsid w:val="001C1A0E"/>
    <w:rsid w:val="001C1B25"/>
    <w:rsid w:val="001C29E0"/>
    <w:rsid w:val="001C2E3C"/>
    <w:rsid w:val="001C2F9D"/>
    <w:rsid w:val="001C2FD0"/>
    <w:rsid w:val="001C3378"/>
    <w:rsid w:val="001C33F3"/>
    <w:rsid w:val="001C378A"/>
    <w:rsid w:val="001C44E8"/>
    <w:rsid w:val="001C47B6"/>
    <w:rsid w:val="001C49BC"/>
    <w:rsid w:val="001C4A82"/>
    <w:rsid w:val="001C4CAA"/>
    <w:rsid w:val="001C4F90"/>
    <w:rsid w:val="001C54D4"/>
    <w:rsid w:val="001C5620"/>
    <w:rsid w:val="001C565E"/>
    <w:rsid w:val="001C5903"/>
    <w:rsid w:val="001C59A0"/>
    <w:rsid w:val="001C5D48"/>
    <w:rsid w:val="001C6403"/>
    <w:rsid w:val="001C6453"/>
    <w:rsid w:val="001C65A1"/>
    <w:rsid w:val="001C65F9"/>
    <w:rsid w:val="001C66CD"/>
    <w:rsid w:val="001C6C20"/>
    <w:rsid w:val="001C6CE5"/>
    <w:rsid w:val="001C6DE7"/>
    <w:rsid w:val="001C70A7"/>
    <w:rsid w:val="001C7332"/>
    <w:rsid w:val="001C7670"/>
    <w:rsid w:val="001C7725"/>
    <w:rsid w:val="001C7D28"/>
    <w:rsid w:val="001C7FD0"/>
    <w:rsid w:val="001D00CB"/>
    <w:rsid w:val="001D0111"/>
    <w:rsid w:val="001D0565"/>
    <w:rsid w:val="001D05CF"/>
    <w:rsid w:val="001D096A"/>
    <w:rsid w:val="001D0AA6"/>
    <w:rsid w:val="001D0C27"/>
    <w:rsid w:val="001D0D9F"/>
    <w:rsid w:val="001D0F07"/>
    <w:rsid w:val="001D0F31"/>
    <w:rsid w:val="001D1874"/>
    <w:rsid w:val="001D199C"/>
    <w:rsid w:val="001D1AB8"/>
    <w:rsid w:val="001D1B48"/>
    <w:rsid w:val="001D1BAC"/>
    <w:rsid w:val="001D1E28"/>
    <w:rsid w:val="001D1F19"/>
    <w:rsid w:val="001D2250"/>
    <w:rsid w:val="001D237C"/>
    <w:rsid w:val="001D2537"/>
    <w:rsid w:val="001D26B2"/>
    <w:rsid w:val="001D2D9B"/>
    <w:rsid w:val="001D35E0"/>
    <w:rsid w:val="001D3899"/>
    <w:rsid w:val="001D394C"/>
    <w:rsid w:val="001D3AE6"/>
    <w:rsid w:val="001D3AF9"/>
    <w:rsid w:val="001D3AFC"/>
    <w:rsid w:val="001D3C09"/>
    <w:rsid w:val="001D3DB4"/>
    <w:rsid w:val="001D415B"/>
    <w:rsid w:val="001D4DEC"/>
    <w:rsid w:val="001D4E0D"/>
    <w:rsid w:val="001D5234"/>
    <w:rsid w:val="001D536C"/>
    <w:rsid w:val="001D5786"/>
    <w:rsid w:val="001D58A6"/>
    <w:rsid w:val="001D599D"/>
    <w:rsid w:val="001D5A60"/>
    <w:rsid w:val="001D5ACD"/>
    <w:rsid w:val="001D5D0E"/>
    <w:rsid w:val="001D60A6"/>
    <w:rsid w:val="001D60AD"/>
    <w:rsid w:val="001D635A"/>
    <w:rsid w:val="001D6449"/>
    <w:rsid w:val="001D65A1"/>
    <w:rsid w:val="001D68B3"/>
    <w:rsid w:val="001D6BE4"/>
    <w:rsid w:val="001D6EC4"/>
    <w:rsid w:val="001D74C4"/>
    <w:rsid w:val="001D78C9"/>
    <w:rsid w:val="001D7B9B"/>
    <w:rsid w:val="001D7EF2"/>
    <w:rsid w:val="001E0126"/>
    <w:rsid w:val="001E07C4"/>
    <w:rsid w:val="001E0CE1"/>
    <w:rsid w:val="001E12F8"/>
    <w:rsid w:val="001E13E8"/>
    <w:rsid w:val="001E15BB"/>
    <w:rsid w:val="001E166B"/>
    <w:rsid w:val="001E1673"/>
    <w:rsid w:val="001E1767"/>
    <w:rsid w:val="001E1985"/>
    <w:rsid w:val="001E1B8D"/>
    <w:rsid w:val="001E1C5E"/>
    <w:rsid w:val="001E1D71"/>
    <w:rsid w:val="001E1FD4"/>
    <w:rsid w:val="001E230B"/>
    <w:rsid w:val="001E2459"/>
    <w:rsid w:val="001E2637"/>
    <w:rsid w:val="001E299F"/>
    <w:rsid w:val="001E29F0"/>
    <w:rsid w:val="001E29F1"/>
    <w:rsid w:val="001E2A51"/>
    <w:rsid w:val="001E2B7D"/>
    <w:rsid w:val="001E2F94"/>
    <w:rsid w:val="001E31BC"/>
    <w:rsid w:val="001E3308"/>
    <w:rsid w:val="001E331F"/>
    <w:rsid w:val="001E335B"/>
    <w:rsid w:val="001E34C4"/>
    <w:rsid w:val="001E352D"/>
    <w:rsid w:val="001E36A8"/>
    <w:rsid w:val="001E37CA"/>
    <w:rsid w:val="001E3904"/>
    <w:rsid w:val="001E3E89"/>
    <w:rsid w:val="001E3EA6"/>
    <w:rsid w:val="001E41CE"/>
    <w:rsid w:val="001E461D"/>
    <w:rsid w:val="001E495B"/>
    <w:rsid w:val="001E4A54"/>
    <w:rsid w:val="001E4B5F"/>
    <w:rsid w:val="001E536B"/>
    <w:rsid w:val="001E57A3"/>
    <w:rsid w:val="001E57DB"/>
    <w:rsid w:val="001E5804"/>
    <w:rsid w:val="001E582E"/>
    <w:rsid w:val="001E5F0A"/>
    <w:rsid w:val="001E6288"/>
    <w:rsid w:val="001E6294"/>
    <w:rsid w:val="001E6316"/>
    <w:rsid w:val="001E682E"/>
    <w:rsid w:val="001E69A7"/>
    <w:rsid w:val="001E6C1C"/>
    <w:rsid w:val="001E6D29"/>
    <w:rsid w:val="001E6D2F"/>
    <w:rsid w:val="001E6EA5"/>
    <w:rsid w:val="001E7194"/>
    <w:rsid w:val="001E78A6"/>
    <w:rsid w:val="001E7A06"/>
    <w:rsid w:val="001E7D01"/>
    <w:rsid w:val="001E7EF6"/>
    <w:rsid w:val="001F05DC"/>
    <w:rsid w:val="001F064A"/>
    <w:rsid w:val="001F0C8C"/>
    <w:rsid w:val="001F0ED0"/>
    <w:rsid w:val="001F1352"/>
    <w:rsid w:val="001F1614"/>
    <w:rsid w:val="001F1C20"/>
    <w:rsid w:val="001F1F7F"/>
    <w:rsid w:val="001F2076"/>
    <w:rsid w:val="001F250F"/>
    <w:rsid w:val="001F28A9"/>
    <w:rsid w:val="001F29E6"/>
    <w:rsid w:val="001F2D62"/>
    <w:rsid w:val="001F2FB0"/>
    <w:rsid w:val="001F3226"/>
    <w:rsid w:val="001F34F8"/>
    <w:rsid w:val="001F3666"/>
    <w:rsid w:val="001F3949"/>
    <w:rsid w:val="001F3D8F"/>
    <w:rsid w:val="001F41DF"/>
    <w:rsid w:val="001F4248"/>
    <w:rsid w:val="001F42BA"/>
    <w:rsid w:val="001F4BCC"/>
    <w:rsid w:val="001F4F70"/>
    <w:rsid w:val="001F5006"/>
    <w:rsid w:val="001F5082"/>
    <w:rsid w:val="001F5180"/>
    <w:rsid w:val="001F51F2"/>
    <w:rsid w:val="001F5636"/>
    <w:rsid w:val="001F56AA"/>
    <w:rsid w:val="001F57AC"/>
    <w:rsid w:val="001F57E1"/>
    <w:rsid w:val="001F5C23"/>
    <w:rsid w:val="001F672C"/>
    <w:rsid w:val="001F691E"/>
    <w:rsid w:val="001F6D58"/>
    <w:rsid w:val="001F6DB9"/>
    <w:rsid w:val="001F6DBC"/>
    <w:rsid w:val="001F6FBD"/>
    <w:rsid w:val="001F72B8"/>
    <w:rsid w:val="001F7640"/>
    <w:rsid w:val="001F7BFA"/>
    <w:rsid w:val="001F7C93"/>
    <w:rsid w:val="001F7EE6"/>
    <w:rsid w:val="00200002"/>
    <w:rsid w:val="00200078"/>
    <w:rsid w:val="002001A8"/>
    <w:rsid w:val="002002EC"/>
    <w:rsid w:val="002004BA"/>
    <w:rsid w:val="00200555"/>
    <w:rsid w:val="002005E3"/>
    <w:rsid w:val="00200C4F"/>
    <w:rsid w:val="00200DA1"/>
    <w:rsid w:val="00200FA3"/>
    <w:rsid w:val="002011E5"/>
    <w:rsid w:val="002012B8"/>
    <w:rsid w:val="00201722"/>
    <w:rsid w:val="00201FBA"/>
    <w:rsid w:val="002026DC"/>
    <w:rsid w:val="00202748"/>
    <w:rsid w:val="00202A43"/>
    <w:rsid w:val="00202BA1"/>
    <w:rsid w:val="00202C19"/>
    <w:rsid w:val="0020366F"/>
    <w:rsid w:val="00203773"/>
    <w:rsid w:val="0020389B"/>
    <w:rsid w:val="00203C37"/>
    <w:rsid w:val="00203D36"/>
    <w:rsid w:val="00203F19"/>
    <w:rsid w:val="002043F1"/>
    <w:rsid w:val="002044B1"/>
    <w:rsid w:val="0020468E"/>
    <w:rsid w:val="002048C0"/>
    <w:rsid w:val="00204A16"/>
    <w:rsid w:val="00204A9E"/>
    <w:rsid w:val="00204AC3"/>
    <w:rsid w:val="00204C40"/>
    <w:rsid w:val="00204D49"/>
    <w:rsid w:val="00204F98"/>
    <w:rsid w:val="0020508B"/>
    <w:rsid w:val="002051C9"/>
    <w:rsid w:val="002052B2"/>
    <w:rsid w:val="0020571B"/>
    <w:rsid w:val="0020592A"/>
    <w:rsid w:val="00205AEA"/>
    <w:rsid w:val="00205D95"/>
    <w:rsid w:val="002060BB"/>
    <w:rsid w:val="002060EA"/>
    <w:rsid w:val="002060EC"/>
    <w:rsid w:val="00206223"/>
    <w:rsid w:val="0020629E"/>
    <w:rsid w:val="002066ED"/>
    <w:rsid w:val="0020677B"/>
    <w:rsid w:val="00206839"/>
    <w:rsid w:val="00206919"/>
    <w:rsid w:val="00206D77"/>
    <w:rsid w:val="00206E38"/>
    <w:rsid w:val="00206E61"/>
    <w:rsid w:val="00206EF8"/>
    <w:rsid w:val="00207500"/>
    <w:rsid w:val="00207556"/>
    <w:rsid w:val="00207D9F"/>
    <w:rsid w:val="00210065"/>
    <w:rsid w:val="00210326"/>
    <w:rsid w:val="00210468"/>
    <w:rsid w:val="00210730"/>
    <w:rsid w:val="002108CF"/>
    <w:rsid w:val="00210BD6"/>
    <w:rsid w:val="00210C3D"/>
    <w:rsid w:val="00210EFF"/>
    <w:rsid w:val="00211048"/>
    <w:rsid w:val="002110F6"/>
    <w:rsid w:val="002111D0"/>
    <w:rsid w:val="002112EA"/>
    <w:rsid w:val="00211543"/>
    <w:rsid w:val="00211556"/>
    <w:rsid w:val="0021192F"/>
    <w:rsid w:val="00211B3E"/>
    <w:rsid w:val="00211D48"/>
    <w:rsid w:val="0021234B"/>
    <w:rsid w:val="00212395"/>
    <w:rsid w:val="0021274D"/>
    <w:rsid w:val="00212926"/>
    <w:rsid w:val="00212A0C"/>
    <w:rsid w:val="00212A84"/>
    <w:rsid w:val="00212DC3"/>
    <w:rsid w:val="00212EFB"/>
    <w:rsid w:val="00213098"/>
    <w:rsid w:val="002130A0"/>
    <w:rsid w:val="002133EA"/>
    <w:rsid w:val="002136B1"/>
    <w:rsid w:val="00213A7F"/>
    <w:rsid w:val="00213A9A"/>
    <w:rsid w:val="00213B8B"/>
    <w:rsid w:val="00213D64"/>
    <w:rsid w:val="00213E86"/>
    <w:rsid w:val="00213F25"/>
    <w:rsid w:val="00214ACC"/>
    <w:rsid w:val="002150C4"/>
    <w:rsid w:val="0021515E"/>
    <w:rsid w:val="002154DF"/>
    <w:rsid w:val="00215AE9"/>
    <w:rsid w:val="002167FC"/>
    <w:rsid w:val="00216981"/>
    <w:rsid w:val="00216C51"/>
    <w:rsid w:val="002175E8"/>
    <w:rsid w:val="00217E1A"/>
    <w:rsid w:val="002203AB"/>
    <w:rsid w:val="002204C5"/>
    <w:rsid w:val="002206F7"/>
    <w:rsid w:val="00220763"/>
    <w:rsid w:val="002208EE"/>
    <w:rsid w:val="00220FA9"/>
    <w:rsid w:val="0022135C"/>
    <w:rsid w:val="00221363"/>
    <w:rsid w:val="00221C0F"/>
    <w:rsid w:val="00221D9E"/>
    <w:rsid w:val="00221E78"/>
    <w:rsid w:val="00221FF4"/>
    <w:rsid w:val="0022201B"/>
    <w:rsid w:val="00222044"/>
    <w:rsid w:val="0022224A"/>
    <w:rsid w:val="00222441"/>
    <w:rsid w:val="002224E2"/>
    <w:rsid w:val="002226DD"/>
    <w:rsid w:val="00222799"/>
    <w:rsid w:val="00222BEC"/>
    <w:rsid w:val="00222D7F"/>
    <w:rsid w:val="00222E49"/>
    <w:rsid w:val="0022318D"/>
    <w:rsid w:val="002233C1"/>
    <w:rsid w:val="002234FB"/>
    <w:rsid w:val="00223599"/>
    <w:rsid w:val="002237BD"/>
    <w:rsid w:val="00223C01"/>
    <w:rsid w:val="00223C10"/>
    <w:rsid w:val="00223D77"/>
    <w:rsid w:val="0022415C"/>
    <w:rsid w:val="002242FA"/>
    <w:rsid w:val="00224336"/>
    <w:rsid w:val="00224376"/>
    <w:rsid w:val="00224493"/>
    <w:rsid w:val="002246BA"/>
    <w:rsid w:val="002246C2"/>
    <w:rsid w:val="002249CE"/>
    <w:rsid w:val="00224AFD"/>
    <w:rsid w:val="00224E33"/>
    <w:rsid w:val="002251EF"/>
    <w:rsid w:val="002254E4"/>
    <w:rsid w:val="00225545"/>
    <w:rsid w:val="0022557C"/>
    <w:rsid w:val="00225806"/>
    <w:rsid w:val="00225A4A"/>
    <w:rsid w:val="00225A52"/>
    <w:rsid w:val="00225A99"/>
    <w:rsid w:val="00225E6D"/>
    <w:rsid w:val="00226690"/>
    <w:rsid w:val="002267B0"/>
    <w:rsid w:val="00227325"/>
    <w:rsid w:val="00227A93"/>
    <w:rsid w:val="00227B27"/>
    <w:rsid w:val="002302AC"/>
    <w:rsid w:val="00230564"/>
    <w:rsid w:val="002305B7"/>
    <w:rsid w:val="00230AF9"/>
    <w:rsid w:val="002311D0"/>
    <w:rsid w:val="00231218"/>
    <w:rsid w:val="00231351"/>
    <w:rsid w:val="002313F6"/>
    <w:rsid w:val="00231452"/>
    <w:rsid w:val="00231673"/>
    <w:rsid w:val="002316E5"/>
    <w:rsid w:val="0023192E"/>
    <w:rsid w:val="002319BC"/>
    <w:rsid w:val="00231EE1"/>
    <w:rsid w:val="0023241A"/>
    <w:rsid w:val="002326E7"/>
    <w:rsid w:val="002328B4"/>
    <w:rsid w:val="00232A7E"/>
    <w:rsid w:val="00232E3C"/>
    <w:rsid w:val="00232F8D"/>
    <w:rsid w:val="0023329E"/>
    <w:rsid w:val="00233449"/>
    <w:rsid w:val="0023366B"/>
    <w:rsid w:val="00233902"/>
    <w:rsid w:val="00233A6A"/>
    <w:rsid w:val="00233E8E"/>
    <w:rsid w:val="00234093"/>
    <w:rsid w:val="0023411D"/>
    <w:rsid w:val="002345AF"/>
    <w:rsid w:val="002345C5"/>
    <w:rsid w:val="00234734"/>
    <w:rsid w:val="00234817"/>
    <w:rsid w:val="0023491A"/>
    <w:rsid w:val="00234990"/>
    <w:rsid w:val="00234B19"/>
    <w:rsid w:val="00234F5E"/>
    <w:rsid w:val="002352C4"/>
    <w:rsid w:val="002353AC"/>
    <w:rsid w:val="002354F5"/>
    <w:rsid w:val="00235572"/>
    <w:rsid w:val="00235AEB"/>
    <w:rsid w:val="00235F2B"/>
    <w:rsid w:val="00236305"/>
    <w:rsid w:val="00236618"/>
    <w:rsid w:val="002366B9"/>
    <w:rsid w:val="002366D2"/>
    <w:rsid w:val="00236A03"/>
    <w:rsid w:val="00236B0F"/>
    <w:rsid w:val="00237693"/>
    <w:rsid w:val="00237714"/>
    <w:rsid w:val="00237765"/>
    <w:rsid w:val="0024001C"/>
    <w:rsid w:val="002405FC"/>
    <w:rsid w:val="00240661"/>
    <w:rsid w:val="002409E9"/>
    <w:rsid w:val="00240A33"/>
    <w:rsid w:val="00240B8E"/>
    <w:rsid w:val="00240F96"/>
    <w:rsid w:val="002415A0"/>
    <w:rsid w:val="0024161A"/>
    <w:rsid w:val="00241690"/>
    <w:rsid w:val="00241A2D"/>
    <w:rsid w:val="00241EBA"/>
    <w:rsid w:val="0024209D"/>
    <w:rsid w:val="00242716"/>
    <w:rsid w:val="00242761"/>
    <w:rsid w:val="002428A4"/>
    <w:rsid w:val="002428A6"/>
    <w:rsid w:val="0024298E"/>
    <w:rsid w:val="00242AA5"/>
    <w:rsid w:val="00243494"/>
    <w:rsid w:val="0024349C"/>
    <w:rsid w:val="002434AA"/>
    <w:rsid w:val="00243D43"/>
    <w:rsid w:val="00243D56"/>
    <w:rsid w:val="00243D6A"/>
    <w:rsid w:val="0024456A"/>
    <w:rsid w:val="0024468A"/>
    <w:rsid w:val="0024478D"/>
    <w:rsid w:val="0024479E"/>
    <w:rsid w:val="00244862"/>
    <w:rsid w:val="00244F96"/>
    <w:rsid w:val="0024553D"/>
    <w:rsid w:val="00245632"/>
    <w:rsid w:val="00245861"/>
    <w:rsid w:val="002459C4"/>
    <w:rsid w:val="00245C86"/>
    <w:rsid w:val="00246063"/>
    <w:rsid w:val="002460B8"/>
    <w:rsid w:val="002461E5"/>
    <w:rsid w:val="0024621C"/>
    <w:rsid w:val="002467A4"/>
    <w:rsid w:val="0024683B"/>
    <w:rsid w:val="00246990"/>
    <w:rsid w:val="00246A37"/>
    <w:rsid w:val="00247200"/>
    <w:rsid w:val="00247314"/>
    <w:rsid w:val="00247453"/>
    <w:rsid w:val="0024777F"/>
    <w:rsid w:val="0025006A"/>
    <w:rsid w:val="00250083"/>
    <w:rsid w:val="00250167"/>
    <w:rsid w:val="0025017F"/>
    <w:rsid w:val="002503B8"/>
    <w:rsid w:val="002504CD"/>
    <w:rsid w:val="002508EF"/>
    <w:rsid w:val="00250DAC"/>
    <w:rsid w:val="00250DCE"/>
    <w:rsid w:val="00250EC5"/>
    <w:rsid w:val="00250F16"/>
    <w:rsid w:val="00251005"/>
    <w:rsid w:val="002515F6"/>
    <w:rsid w:val="00251901"/>
    <w:rsid w:val="002519F6"/>
    <w:rsid w:val="00251D79"/>
    <w:rsid w:val="00251DFB"/>
    <w:rsid w:val="00251FEF"/>
    <w:rsid w:val="0025243D"/>
    <w:rsid w:val="0025269E"/>
    <w:rsid w:val="002529DE"/>
    <w:rsid w:val="00252B80"/>
    <w:rsid w:val="00252CEF"/>
    <w:rsid w:val="00252D9D"/>
    <w:rsid w:val="0025317B"/>
    <w:rsid w:val="00253194"/>
    <w:rsid w:val="002532CB"/>
    <w:rsid w:val="00253613"/>
    <w:rsid w:val="00253706"/>
    <w:rsid w:val="00253BB4"/>
    <w:rsid w:val="00253BF5"/>
    <w:rsid w:val="00253DC9"/>
    <w:rsid w:val="0025425A"/>
    <w:rsid w:val="0025427D"/>
    <w:rsid w:val="002542F6"/>
    <w:rsid w:val="00254364"/>
    <w:rsid w:val="0025440C"/>
    <w:rsid w:val="0025467D"/>
    <w:rsid w:val="002546A9"/>
    <w:rsid w:val="002546BE"/>
    <w:rsid w:val="00254A67"/>
    <w:rsid w:val="00254B5C"/>
    <w:rsid w:val="00254CC8"/>
    <w:rsid w:val="00254D82"/>
    <w:rsid w:val="00254E69"/>
    <w:rsid w:val="00254FBD"/>
    <w:rsid w:val="00255138"/>
    <w:rsid w:val="002553D8"/>
    <w:rsid w:val="00255564"/>
    <w:rsid w:val="00255821"/>
    <w:rsid w:val="00255B30"/>
    <w:rsid w:val="00255ECD"/>
    <w:rsid w:val="0025650F"/>
    <w:rsid w:val="00256A38"/>
    <w:rsid w:val="00256CCF"/>
    <w:rsid w:val="00256D5A"/>
    <w:rsid w:val="00256F10"/>
    <w:rsid w:val="00257088"/>
    <w:rsid w:val="002570AD"/>
    <w:rsid w:val="00257155"/>
    <w:rsid w:val="0025730E"/>
    <w:rsid w:val="002577BB"/>
    <w:rsid w:val="002579D4"/>
    <w:rsid w:val="002579E9"/>
    <w:rsid w:val="00257C8D"/>
    <w:rsid w:val="00257DDC"/>
    <w:rsid w:val="00260670"/>
    <w:rsid w:val="0026092A"/>
    <w:rsid w:val="0026098B"/>
    <w:rsid w:val="00260A88"/>
    <w:rsid w:val="00260C7C"/>
    <w:rsid w:val="0026127F"/>
    <w:rsid w:val="002612BB"/>
    <w:rsid w:val="0026139D"/>
    <w:rsid w:val="0026157F"/>
    <w:rsid w:val="002615B6"/>
    <w:rsid w:val="002619B4"/>
    <w:rsid w:val="00261CE0"/>
    <w:rsid w:val="00261E35"/>
    <w:rsid w:val="00261F33"/>
    <w:rsid w:val="002625E7"/>
    <w:rsid w:val="00262930"/>
    <w:rsid w:val="00262A07"/>
    <w:rsid w:val="00262AAD"/>
    <w:rsid w:val="00262F05"/>
    <w:rsid w:val="0026379C"/>
    <w:rsid w:val="0026379E"/>
    <w:rsid w:val="00263C40"/>
    <w:rsid w:val="00263CDA"/>
    <w:rsid w:val="00263D08"/>
    <w:rsid w:val="00263DA5"/>
    <w:rsid w:val="00263F4F"/>
    <w:rsid w:val="00264083"/>
    <w:rsid w:val="00264128"/>
    <w:rsid w:val="00264142"/>
    <w:rsid w:val="002641B8"/>
    <w:rsid w:val="002641F5"/>
    <w:rsid w:val="002642F8"/>
    <w:rsid w:val="00264312"/>
    <w:rsid w:val="0026476C"/>
    <w:rsid w:val="002649C3"/>
    <w:rsid w:val="00265650"/>
    <w:rsid w:val="00265848"/>
    <w:rsid w:val="00265884"/>
    <w:rsid w:val="00265C16"/>
    <w:rsid w:val="002661AD"/>
    <w:rsid w:val="0026626A"/>
    <w:rsid w:val="002663F5"/>
    <w:rsid w:val="002665AD"/>
    <w:rsid w:val="00266A0A"/>
    <w:rsid w:val="00266EB8"/>
    <w:rsid w:val="002671DB"/>
    <w:rsid w:val="00267221"/>
    <w:rsid w:val="002672B0"/>
    <w:rsid w:val="00267448"/>
    <w:rsid w:val="00267560"/>
    <w:rsid w:val="00267A8C"/>
    <w:rsid w:val="002701A7"/>
    <w:rsid w:val="00270498"/>
    <w:rsid w:val="00270574"/>
    <w:rsid w:val="002707AF"/>
    <w:rsid w:val="00270A4E"/>
    <w:rsid w:val="0027108E"/>
    <w:rsid w:val="00271196"/>
    <w:rsid w:val="0027121B"/>
    <w:rsid w:val="002713A8"/>
    <w:rsid w:val="00271479"/>
    <w:rsid w:val="00271685"/>
    <w:rsid w:val="00271727"/>
    <w:rsid w:val="00271793"/>
    <w:rsid w:val="00271C1C"/>
    <w:rsid w:val="00271C82"/>
    <w:rsid w:val="00271D06"/>
    <w:rsid w:val="0027212C"/>
    <w:rsid w:val="00272F9D"/>
    <w:rsid w:val="00273014"/>
    <w:rsid w:val="00273204"/>
    <w:rsid w:val="00273354"/>
    <w:rsid w:val="00273634"/>
    <w:rsid w:val="0027366F"/>
    <w:rsid w:val="0027382E"/>
    <w:rsid w:val="00273DE5"/>
    <w:rsid w:val="00273F9C"/>
    <w:rsid w:val="002749C3"/>
    <w:rsid w:val="00274DF9"/>
    <w:rsid w:val="00274FEE"/>
    <w:rsid w:val="00275103"/>
    <w:rsid w:val="0027551E"/>
    <w:rsid w:val="002756FD"/>
    <w:rsid w:val="002757DF"/>
    <w:rsid w:val="00275DF0"/>
    <w:rsid w:val="002760C1"/>
    <w:rsid w:val="0027622D"/>
    <w:rsid w:val="002768A9"/>
    <w:rsid w:val="0027740A"/>
    <w:rsid w:val="002777C2"/>
    <w:rsid w:val="00277ED4"/>
    <w:rsid w:val="00280236"/>
    <w:rsid w:val="0028043F"/>
    <w:rsid w:val="0028053F"/>
    <w:rsid w:val="00280598"/>
    <w:rsid w:val="0028065B"/>
    <w:rsid w:val="002809E6"/>
    <w:rsid w:val="00280A7A"/>
    <w:rsid w:val="00280ACF"/>
    <w:rsid w:val="00280C89"/>
    <w:rsid w:val="00281569"/>
    <w:rsid w:val="00281606"/>
    <w:rsid w:val="00281AE0"/>
    <w:rsid w:val="00281D3E"/>
    <w:rsid w:val="00281E49"/>
    <w:rsid w:val="00282154"/>
    <w:rsid w:val="00282424"/>
    <w:rsid w:val="00282457"/>
    <w:rsid w:val="00282883"/>
    <w:rsid w:val="00282923"/>
    <w:rsid w:val="00282D18"/>
    <w:rsid w:val="0028357F"/>
    <w:rsid w:val="00283CA3"/>
    <w:rsid w:val="00283E44"/>
    <w:rsid w:val="00283F2E"/>
    <w:rsid w:val="00283FA7"/>
    <w:rsid w:val="0028410D"/>
    <w:rsid w:val="0028439D"/>
    <w:rsid w:val="002843E7"/>
    <w:rsid w:val="00284515"/>
    <w:rsid w:val="00284822"/>
    <w:rsid w:val="002849C3"/>
    <w:rsid w:val="00284A51"/>
    <w:rsid w:val="0028538B"/>
    <w:rsid w:val="002857EB"/>
    <w:rsid w:val="00285B34"/>
    <w:rsid w:val="00285C1D"/>
    <w:rsid w:val="00285C37"/>
    <w:rsid w:val="00285DC0"/>
    <w:rsid w:val="00285FA7"/>
    <w:rsid w:val="002862A1"/>
    <w:rsid w:val="00286BF4"/>
    <w:rsid w:val="00286DDD"/>
    <w:rsid w:val="00286FD9"/>
    <w:rsid w:val="002876BC"/>
    <w:rsid w:val="00287A2A"/>
    <w:rsid w:val="00287BC5"/>
    <w:rsid w:val="002901C8"/>
    <w:rsid w:val="0029076A"/>
    <w:rsid w:val="00290854"/>
    <w:rsid w:val="00290ADE"/>
    <w:rsid w:val="00290DFC"/>
    <w:rsid w:val="00290EA7"/>
    <w:rsid w:val="002911A2"/>
    <w:rsid w:val="00291243"/>
    <w:rsid w:val="002917A2"/>
    <w:rsid w:val="00291A4D"/>
    <w:rsid w:val="00291BD8"/>
    <w:rsid w:val="00291FB3"/>
    <w:rsid w:val="0029256D"/>
    <w:rsid w:val="0029292C"/>
    <w:rsid w:val="00292BD7"/>
    <w:rsid w:val="00292D5D"/>
    <w:rsid w:val="00292DB3"/>
    <w:rsid w:val="00292E0F"/>
    <w:rsid w:val="0029307B"/>
    <w:rsid w:val="002934BF"/>
    <w:rsid w:val="00293AA6"/>
    <w:rsid w:val="00293C89"/>
    <w:rsid w:val="00293D8D"/>
    <w:rsid w:val="0029402A"/>
    <w:rsid w:val="00294209"/>
    <w:rsid w:val="0029421E"/>
    <w:rsid w:val="00294646"/>
    <w:rsid w:val="00294662"/>
    <w:rsid w:val="00294826"/>
    <w:rsid w:val="00294A26"/>
    <w:rsid w:val="00294B51"/>
    <w:rsid w:val="00294D7F"/>
    <w:rsid w:val="00294DC1"/>
    <w:rsid w:val="00294EE2"/>
    <w:rsid w:val="002952DC"/>
    <w:rsid w:val="00295324"/>
    <w:rsid w:val="00295393"/>
    <w:rsid w:val="00295456"/>
    <w:rsid w:val="002956F8"/>
    <w:rsid w:val="002958E5"/>
    <w:rsid w:val="00295FDC"/>
    <w:rsid w:val="002962D0"/>
    <w:rsid w:val="0029630C"/>
    <w:rsid w:val="002964DE"/>
    <w:rsid w:val="0029653F"/>
    <w:rsid w:val="002965E9"/>
    <w:rsid w:val="00296915"/>
    <w:rsid w:val="002969F1"/>
    <w:rsid w:val="00296C46"/>
    <w:rsid w:val="00296CDE"/>
    <w:rsid w:val="00296EA7"/>
    <w:rsid w:val="0029765B"/>
    <w:rsid w:val="00297F30"/>
    <w:rsid w:val="002A0187"/>
    <w:rsid w:val="002A0376"/>
    <w:rsid w:val="002A0D5B"/>
    <w:rsid w:val="002A0E99"/>
    <w:rsid w:val="002A11E4"/>
    <w:rsid w:val="002A1312"/>
    <w:rsid w:val="002A14D5"/>
    <w:rsid w:val="002A1658"/>
    <w:rsid w:val="002A177E"/>
    <w:rsid w:val="002A20EA"/>
    <w:rsid w:val="002A20F1"/>
    <w:rsid w:val="002A25E9"/>
    <w:rsid w:val="002A268F"/>
    <w:rsid w:val="002A26AA"/>
    <w:rsid w:val="002A2799"/>
    <w:rsid w:val="002A27E4"/>
    <w:rsid w:val="002A29D4"/>
    <w:rsid w:val="002A2AA5"/>
    <w:rsid w:val="002A2BB1"/>
    <w:rsid w:val="002A2C43"/>
    <w:rsid w:val="002A2C92"/>
    <w:rsid w:val="002A2D56"/>
    <w:rsid w:val="002A2E92"/>
    <w:rsid w:val="002A2FE0"/>
    <w:rsid w:val="002A35C9"/>
    <w:rsid w:val="002A3764"/>
    <w:rsid w:val="002A3A5E"/>
    <w:rsid w:val="002A3FD7"/>
    <w:rsid w:val="002A40B4"/>
    <w:rsid w:val="002A4380"/>
    <w:rsid w:val="002A4527"/>
    <w:rsid w:val="002A4696"/>
    <w:rsid w:val="002A492E"/>
    <w:rsid w:val="002A4995"/>
    <w:rsid w:val="002A4BB9"/>
    <w:rsid w:val="002A5028"/>
    <w:rsid w:val="002A5138"/>
    <w:rsid w:val="002A570F"/>
    <w:rsid w:val="002A5820"/>
    <w:rsid w:val="002A5B13"/>
    <w:rsid w:val="002A5B68"/>
    <w:rsid w:val="002A5D21"/>
    <w:rsid w:val="002A60C4"/>
    <w:rsid w:val="002A60E8"/>
    <w:rsid w:val="002A6198"/>
    <w:rsid w:val="002A62BA"/>
    <w:rsid w:val="002A6334"/>
    <w:rsid w:val="002A639C"/>
    <w:rsid w:val="002A6549"/>
    <w:rsid w:val="002A6890"/>
    <w:rsid w:val="002A699E"/>
    <w:rsid w:val="002A69A8"/>
    <w:rsid w:val="002A6D27"/>
    <w:rsid w:val="002A6DDB"/>
    <w:rsid w:val="002A6F5D"/>
    <w:rsid w:val="002A731E"/>
    <w:rsid w:val="002A7820"/>
    <w:rsid w:val="002A7AA0"/>
    <w:rsid w:val="002A7B08"/>
    <w:rsid w:val="002A7B3B"/>
    <w:rsid w:val="002A7C72"/>
    <w:rsid w:val="002A7DB8"/>
    <w:rsid w:val="002A7E0C"/>
    <w:rsid w:val="002B01D8"/>
    <w:rsid w:val="002B047B"/>
    <w:rsid w:val="002B0682"/>
    <w:rsid w:val="002B06EC"/>
    <w:rsid w:val="002B0FE7"/>
    <w:rsid w:val="002B12DF"/>
    <w:rsid w:val="002B1355"/>
    <w:rsid w:val="002B1665"/>
    <w:rsid w:val="002B176C"/>
    <w:rsid w:val="002B1A67"/>
    <w:rsid w:val="002B1DFE"/>
    <w:rsid w:val="002B236E"/>
    <w:rsid w:val="002B2537"/>
    <w:rsid w:val="002B27D8"/>
    <w:rsid w:val="002B298B"/>
    <w:rsid w:val="002B29A4"/>
    <w:rsid w:val="002B2E90"/>
    <w:rsid w:val="002B300B"/>
    <w:rsid w:val="002B31E4"/>
    <w:rsid w:val="002B323F"/>
    <w:rsid w:val="002B35F5"/>
    <w:rsid w:val="002B367B"/>
    <w:rsid w:val="002B3870"/>
    <w:rsid w:val="002B3B75"/>
    <w:rsid w:val="002B41A0"/>
    <w:rsid w:val="002B426E"/>
    <w:rsid w:val="002B432F"/>
    <w:rsid w:val="002B45ED"/>
    <w:rsid w:val="002B4C7E"/>
    <w:rsid w:val="002B4C85"/>
    <w:rsid w:val="002B4E02"/>
    <w:rsid w:val="002B577B"/>
    <w:rsid w:val="002B57F0"/>
    <w:rsid w:val="002B5928"/>
    <w:rsid w:val="002B5A36"/>
    <w:rsid w:val="002B5C7E"/>
    <w:rsid w:val="002B5CEC"/>
    <w:rsid w:val="002B62F7"/>
    <w:rsid w:val="002B63AC"/>
    <w:rsid w:val="002B6507"/>
    <w:rsid w:val="002B6760"/>
    <w:rsid w:val="002B68EA"/>
    <w:rsid w:val="002B6BC1"/>
    <w:rsid w:val="002B6D52"/>
    <w:rsid w:val="002B6DD7"/>
    <w:rsid w:val="002B6FF0"/>
    <w:rsid w:val="002B7003"/>
    <w:rsid w:val="002B74CB"/>
    <w:rsid w:val="002B763E"/>
    <w:rsid w:val="002C0080"/>
    <w:rsid w:val="002C03FB"/>
    <w:rsid w:val="002C0773"/>
    <w:rsid w:val="002C0935"/>
    <w:rsid w:val="002C0A21"/>
    <w:rsid w:val="002C0B33"/>
    <w:rsid w:val="002C0E77"/>
    <w:rsid w:val="002C1017"/>
    <w:rsid w:val="002C102B"/>
    <w:rsid w:val="002C1928"/>
    <w:rsid w:val="002C22FA"/>
    <w:rsid w:val="002C252C"/>
    <w:rsid w:val="002C254E"/>
    <w:rsid w:val="002C258A"/>
    <w:rsid w:val="002C25A0"/>
    <w:rsid w:val="002C25D4"/>
    <w:rsid w:val="002C2785"/>
    <w:rsid w:val="002C288D"/>
    <w:rsid w:val="002C2A1C"/>
    <w:rsid w:val="002C2B46"/>
    <w:rsid w:val="002C2C23"/>
    <w:rsid w:val="002C2DD1"/>
    <w:rsid w:val="002C3008"/>
    <w:rsid w:val="002C3115"/>
    <w:rsid w:val="002C3232"/>
    <w:rsid w:val="002C32E7"/>
    <w:rsid w:val="002C346F"/>
    <w:rsid w:val="002C368F"/>
    <w:rsid w:val="002C36FF"/>
    <w:rsid w:val="002C38C2"/>
    <w:rsid w:val="002C3926"/>
    <w:rsid w:val="002C3D36"/>
    <w:rsid w:val="002C425F"/>
    <w:rsid w:val="002C45DB"/>
    <w:rsid w:val="002C47EB"/>
    <w:rsid w:val="002C4861"/>
    <w:rsid w:val="002C48AB"/>
    <w:rsid w:val="002C4C95"/>
    <w:rsid w:val="002C4CA6"/>
    <w:rsid w:val="002C4F07"/>
    <w:rsid w:val="002C5313"/>
    <w:rsid w:val="002C5487"/>
    <w:rsid w:val="002C54A5"/>
    <w:rsid w:val="002C571B"/>
    <w:rsid w:val="002C59EF"/>
    <w:rsid w:val="002C5B6E"/>
    <w:rsid w:val="002C6075"/>
    <w:rsid w:val="002C60A8"/>
    <w:rsid w:val="002C6187"/>
    <w:rsid w:val="002C64DA"/>
    <w:rsid w:val="002C690F"/>
    <w:rsid w:val="002C6C06"/>
    <w:rsid w:val="002C7505"/>
    <w:rsid w:val="002C7982"/>
    <w:rsid w:val="002C79B0"/>
    <w:rsid w:val="002C7B98"/>
    <w:rsid w:val="002C7C74"/>
    <w:rsid w:val="002D0068"/>
    <w:rsid w:val="002D00EA"/>
    <w:rsid w:val="002D010B"/>
    <w:rsid w:val="002D06A3"/>
    <w:rsid w:val="002D07B8"/>
    <w:rsid w:val="002D0942"/>
    <w:rsid w:val="002D0A3B"/>
    <w:rsid w:val="002D0A5C"/>
    <w:rsid w:val="002D0AC4"/>
    <w:rsid w:val="002D0D4F"/>
    <w:rsid w:val="002D0DB6"/>
    <w:rsid w:val="002D0EDE"/>
    <w:rsid w:val="002D12C7"/>
    <w:rsid w:val="002D16B9"/>
    <w:rsid w:val="002D16E0"/>
    <w:rsid w:val="002D1931"/>
    <w:rsid w:val="002D1D84"/>
    <w:rsid w:val="002D208B"/>
    <w:rsid w:val="002D222B"/>
    <w:rsid w:val="002D2932"/>
    <w:rsid w:val="002D2947"/>
    <w:rsid w:val="002D2A39"/>
    <w:rsid w:val="002D31FA"/>
    <w:rsid w:val="002D3244"/>
    <w:rsid w:val="002D38EF"/>
    <w:rsid w:val="002D3E6A"/>
    <w:rsid w:val="002D41E5"/>
    <w:rsid w:val="002D4699"/>
    <w:rsid w:val="002D4A1E"/>
    <w:rsid w:val="002D4CD0"/>
    <w:rsid w:val="002D4CE4"/>
    <w:rsid w:val="002D4FC2"/>
    <w:rsid w:val="002D5018"/>
    <w:rsid w:val="002D526A"/>
    <w:rsid w:val="002D52AD"/>
    <w:rsid w:val="002D52C3"/>
    <w:rsid w:val="002D52E7"/>
    <w:rsid w:val="002D5310"/>
    <w:rsid w:val="002D5657"/>
    <w:rsid w:val="002D570E"/>
    <w:rsid w:val="002D57AC"/>
    <w:rsid w:val="002D57F6"/>
    <w:rsid w:val="002D5A9A"/>
    <w:rsid w:val="002D5B54"/>
    <w:rsid w:val="002D5CF1"/>
    <w:rsid w:val="002D5FEF"/>
    <w:rsid w:val="002D65FB"/>
    <w:rsid w:val="002D67B1"/>
    <w:rsid w:val="002D68AC"/>
    <w:rsid w:val="002D6FAE"/>
    <w:rsid w:val="002D70CE"/>
    <w:rsid w:val="002D73D8"/>
    <w:rsid w:val="002D7DF2"/>
    <w:rsid w:val="002D7F67"/>
    <w:rsid w:val="002D7FDB"/>
    <w:rsid w:val="002E026E"/>
    <w:rsid w:val="002E04D5"/>
    <w:rsid w:val="002E054C"/>
    <w:rsid w:val="002E06CC"/>
    <w:rsid w:val="002E07E7"/>
    <w:rsid w:val="002E08C8"/>
    <w:rsid w:val="002E10D9"/>
    <w:rsid w:val="002E140F"/>
    <w:rsid w:val="002E1509"/>
    <w:rsid w:val="002E1635"/>
    <w:rsid w:val="002E17C2"/>
    <w:rsid w:val="002E1907"/>
    <w:rsid w:val="002E1AEE"/>
    <w:rsid w:val="002E1BA9"/>
    <w:rsid w:val="002E2268"/>
    <w:rsid w:val="002E2298"/>
    <w:rsid w:val="002E22D9"/>
    <w:rsid w:val="002E2692"/>
    <w:rsid w:val="002E2765"/>
    <w:rsid w:val="002E2A91"/>
    <w:rsid w:val="002E2E1E"/>
    <w:rsid w:val="002E32A2"/>
    <w:rsid w:val="002E3544"/>
    <w:rsid w:val="002E3773"/>
    <w:rsid w:val="002E3933"/>
    <w:rsid w:val="002E3EAD"/>
    <w:rsid w:val="002E4150"/>
    <w:rsid w:val="002E44B4"/>
    <w:rsid w:val="002E487F"/>
    <w:rsid w:val="002E4960"/>
    <w:rsid w:val="002E4A99"/>
    <w:rsid w:val="002E4F2C"/>
    <w:rsid w:val="002E522A"/>
    <w:rsid w:val="002E5331"/>
    <w:rsid w:val="002E551C"/>
    <w:rsid w:val="002E555C"/>
    <w:rsid w:val="002E5727"/>
    <w:rsid w:val="002E5A19"/>
    <w:rsid w:val="002E5A9D"/>
    <w:rsid w:val="002E5A9F"/>
    <w:rsid w:val="002E6211"/>
    <w:rsid w:val="002E629D"/>
    <w:rsid w:val="002E635E"/>
    <w:rsid w:val="002E6381"/>
    <w:rsid w:val="002E648F"/>
    <w:rsid w:val="002E65C9"/>
    <w:rsid w:val="002E66B6"/>
    <w:rsid w:val="002E67C2"/>
    <w:rsid w:val="002E6930"/>
    <w:rsid w:val="002E6AF2"/>
    <w:rsid w:val="002E6D43"/>
    <w:rsid w:val="002E6E8C"/>
    <w:rsid w:val="002E7885"/>
    <w:rsid w:val="002E7BDB"/>
    <w:rsid w:val="002E7D57"/>
    <w:rsid w:val="002F02DF"/>
    <w:rsid w:val="002F051A"/>
    <w:rsid w:val="002F08F5"/>
    <w:rsid w:val="002F0A73"/>
    <w:rsid w:val="002F0E7A"/>
    <w:rsid w:val="002F0FD8"/>
    <w:rsid w:val="002F1428"/>
    <w:rsid w:val="002F147A"/>
    <w:rsid w:val="002F151F"/>
    <w:rsid w:val="002F1A81"/>
    <w:rsid w:val="002F1CDE"/>
    <w:rsid w:val="002F1E46"/>
    <w:rsid w:val="002F22E7"/>
    <w:rsid w:val="002F236B"/>
    <w:rsid w:val="002F24F5"/>
    <w:rsid w:val="002F2807"/>
    <w:rsid w:val="002F2B4E"/>
    <w:rsid w:val="002F2C05"/>
    <w:rsid w:val="002F2E60"/>
    <w:rsid w:val="002F3633"/>
    <w:rsid w:val="002F388D"/>
    <w:rsid w:val="002F3A62"/>
    <w:rsid w:val="002F3B01"/>
    <w:rsid w:val="002F3BC8"/>
    <w:rsid w:val="002F3C57"/>
    <w:rsid w:val="002F4194"/>
    <w:rsid w:val="002F43BE"/>
    <w:rsid w:val="002F456E"/>
    <w:rsid w:val="002F4B4A"/>
    <w:rsid w:val="002F4C3A"/>
    <w:rsid w:val="002F4D44"/>
    <w:rsid w:val="002F4FB0"/>
    <w:rsid w:val="002F4FB5"/>
    <w:rsid w:val="002F58C0"/>
    <w:rsid w:val="002F59DB"/>
    <w:rsid w:val="002F5B5F"/>
    <w:rsid w:val="002F5DE3"/>
    <w:rsid w:val="002F5EAF"/>
    <w:rsid w:val="002F6053"/>
    <w:rsid w:val="002F6168"/>
    <w:rsid w:val="002F63CE"/>
    <w:rsid w:val="002F641B"/>
    <w:rsid w:val="002F64F4"/>
    <w:rsid w:val="002F669A"/>
    <w:rsid w:val="002F69F4"/>
    <w:rsid w:val="002F6A58"/>
    <w:rsid w:val="002F6BF2"/>
    <w:rsid w:val="002F732F"/>
    <w:rsid w:val="002F7420"/>
    <w:rsid w:val="002F74D3"/>
    <w:rsid w:val="002F74E4"/>
    <w:rsid w:val="002F760A"/>
    <w:rsid w:val="002F7B32"/>
    <w:rsid w:val="002F7CB1"/>
    <w:rsid w:val="002F7FD4"/>
    <w:rsid w:val="003005BF"/>
    <w:rsid w:val="003007F5"/>
    <w:rsid w:val="00300BD1"/>
    <w:rsid w:val="00300D98"/>
    <w:rsid w:val="00300EC6"/>
    <w:rsid w:val="00301032"/>
    <w:rsid w:val="00301251"/>
    <w:rsid w:val="00301384"/>
    <w:rsid w:val="00301588"/>
    <w:rsid w:val="00301E6B"/>
    <w:rsid w:val="00301EC2"/>
    <w:rsid w:val="00302055"/>
    <w:rsid w:val="003020D2"/>
    <w:rsid w:val="0030221E"/>
    <w:rsid w:val="00302433"/>
    <w:rsid w:val="00302712"/>
    <w:rsid w:val="00302ADA"/>
    <w:rsid w:val="00302B22"/>
    <w:rsid w:val="00302D2B"/>
    <w:rsid w:val="00302DC3"/>
    <w:rsid w:val="00303083"/>
    <w:rsid w:val="003030FE"/>
    <w:rsid w:val="0030318A"/>
    <w:rsid w:val="003034C0"/>
    <w:rsid w:val="003036E6"/>
    <w:rsid w:val="00303C06"/>
    <w:rsid w:val="00303C77"/>
    <w:rsid w:val="003041FD"/>
    <w:rsid w:val="00304244"/>
    <w:rsid w:val="00304292"/>
    <w:rsid w:val="00304389"/>
    <w:rsid w:val="003043FF"/>
    <w:rsid w:val="0030464E"/>
    <w:rsid w:val="00304651"/>
    <w:rsid w:val="003046ED"/>
    <w:rsid w:val="003047BC"/>
    <w:rsid w:val="00304ACC"/>
    <w:rsid w:val="00304B85"/>
    <w:rsid w:val="00304EC7"/>
    <w:rsid w:val="00304FDD"/>
    <w:rsid w:val="00305161"/>
    <w:rsid w:val="003052E2"/>
    <w:rsid w:val="0030535B"/>
    <w:rsid w:val="0030537A"/>
    <w:rsid w:val="00305553"/>
    <w:rsid w:val="00305741"/>
    <w:rsid w:val="0030600F"/>
    <w:rsid w:val="003061D9"/>
    <w:rsid w:val="00306462"/>
    <w:rsid w:val="003064E2"/>
    <w:rsid w:val="003066D2"/>
    <w:rsid w:val="0030683A"/>
    <w:rsid w:val="0030690B"/>
    <w:rsid w:val="00306A6B"/>
    <w:rsid w:val="00306E81"/>
    <w:rsid w:val="00306F4A"/>
    <w:rsid w:val="0030764F"/>
    <w:rsid w:val="00307704"/>
    <w:rsid w:val="00307959"/>
    <w:rsid w:val="00307D51"/>
    <w:rsid w:val="00307D76"/>
    <w:rsid w:val="00310035"/>
    <w:rsid w:val="003100F2"/>
    <w:rsid w:val="00310160"/>
    <w:rsid w:val="0031038E"/>
    <w:rsid w:val="00310619"/>
    <w:rsid w:val="00310839"/>
    <w:rsid w:val="00310A6B"/>
    <w:rsid w:val="00310CA9"/>
    <w:rsid w:val="00310CBD"/>
    <w:rsid w:val="00311314"/>
    <w:rsid w:val="0031181B"/>
    <w:rsid w:val="0031184C"/>
    <w:rsid w:val="003118B2"/>
    <w:rsid w:val="00311CFC"/>
    <w:rsid w:val="00311D48"/>
    <w:rsid w:val="00311E65"/>
    <w:rsid w:val="0031227E"/>
    <w:rsid w:val="00312F0A"/>
    <w:rsid w:val="0031313B"/>
    <w:rsid w:val="0031354A"/>
    <w:rsid w:val="00313799"/>
    <w:rsid w:val="00313973"/>
    <w:rsid w:val="003139F9"/>
    <w:rsid w:val="00313C63"/>
    <w:rsid w:val="00313D49"/>
    <w:rsid w:val="00313D88"/>
    <w:rsid w:val="00313E2A"/>
    <w:rsid w:val="003142EA"/>
    <w:rsid w:val="00314476"/>
    <w:rsid w:val="00314839"/>
    <w:rsid w:val="00314D26"/>
    <w:rsid w:val="00314E59"/>
    <w:rsid w:val="00314FF0"/>
    <w:rsid w:val="00315173"/>
    <w:rsid w:val="003152CC"/>
    <w:rsid w:val="00315A06"/>
    <w:rsid w:val="00315FD8"/>
    <w:rsid w:val="003160A9"/>
    <w:rsid w:val="0031621F"/>
    <w:rsid w:val="00316509"/>
    <w:rsid w:val="00316629"/>
    <w:rsid w:val="00316902"/>
    <w:rsid w:val="00316C2B"/>
    <w:rsid w:val="00316CC3"/>
    <w:rsid w:val="00316CE3"/>
    <w:rsid w:val="00317195"/>
    <w:rsid w:val="00317245"/>
    <w:rsid w:val="0031725E"/>
    <w:rsid w:val="00317260"/>
    <w:rsid w:val="00317300"/>
    <w:rsid w:val="0031749E"/>
    <w:rsid w:val="00317590"/>
    <w:rsid w:val="00317828"/>
    <w:rsid w:val="003179B8"/>
    <w:rsid w:val="00317F29"/>
    <w:rsid w:val="00320165"/>
    <w:rsid w:val="003206CC"/>
    <w:rsid w:val="003206F6"/>
    <w:rsid w:val="00320934"/>
    <w:rsid w:val="003213C0"/>
    <w:rsid w:val="00321484"/>
    <w:rsid w:val="00321D8A"/>
    <w:rsid w:val="00321E3F"/>
    <w:rsid w:val="00321F9C"/>
    <w:rsid w:val="003221EF"/>
    <w:rsid w:val="0032257B"/>
    <w:rsid w:val="0032259E"/>
    <w:rsid w:val="00322701"/>
    <w:rsid w:val="0032289D"/>
    <w:rsid w:val="00322934"/>
    <w:rsid w:val="00322A74"/>
    <w:rsid w:val="00322C41"/>
    <w:rsid w:val="003233B9"/>
    <w:rsid w:val="00323766"/>
    <w:rsid w:val="00323FE4"/>
    <w:rsid w:val="00324660"/>
    <w:rsid w:val="00324890"/>
    <w:rsid w:val="0032495B"/>
    <w:rsid w:val="00324E1E"/>
    <w:rsid w:val="003256BD"/>
    <w:rsid w:val="0032576E"/>
    <w:rsid w:val="0032599D"/>
    <w:rsid w:val="003260BA"/>
    <w:rsid w:val="003261D4"/>
    <w:rsid w:val="003261EF"/>
    <w:rsid w:val="00326301"/>
    <w:rsid w:val="00326393"/>
    <w:rsid w:val="00326475"/>
    <w:rsid w:val="0032656C"/>
    <w:rsid w:val="00326820"/>
    <w:rsid w:val="003268BF"/>
    <w:rsid w:val="003269E7"/>
    <w:rsid w:val="00326ED6"/>
    <w:rsid w:val="003270DA"/>
    <w:rsid w:val="003271D9"/>
    <w:rsid w:val="0032731E"/>
    <w:rsid w:val="0032784F"/>
    <w:rsid w:val="003278B8"/>
    <w:rsid w:val="00327B34"/>
    <w:rsid w:val="00327DD9"/>
    <w:rsid w:val="00327FF2"/>
    <w:rsid w:val="00330180"/>
    <w:rsid w:val="00330240"/>
    <w:rsid w:val="0033030E"/>
    <w:rsid w:val="00330719"/>
    <w:rsid w:val="00330B57"/>
    <w:rsid w:val="00331023"/>
    <w:rsid w:val="0033105C"/>
    <w:rsid w:val="003310DD"/>
    <w:rsid w:val="003318E0"/>
    <w:rsid w:val="00331B07"/>
    <w:rsid w:val="00331B36"/>
    <w:rsid w:val="00331B5B"/>
    <w:rsid w:val="00331BE2"/>
    <w:rsid w:val="00331D10"/>
    <w:rsid w:val="0033207D"/>
    <w:rsid w:val="003320AC"/>
    <w:rsid w:val="00332244"/>
    <w:rsid w:val="00332253"/>
    <w:rsid w:val="0033231A"/>
    <w:rsid w:val="00332394"/>
    <w:rsid w:val="00332615"/>
    <w:rsid w:val="0033293B"/>
    <w:rsid w:val="0033295B"/>
    <w:rsid w:val="00332B03"/>
    <w:rsid w:val="0033310A"/>
    <w:rsid w:val="0033344A"/>
    <w:rsid w:val="003335DC"/>
    <w:rsid w:val="00333745"/>
    <w:rsid w:val="00333A33"/>
    <w:rsid w:val="00334075"/>
    <w:rsid w:val="00334123"/>
    <w:rsid w:val="003343C6"/>
    <w:rsid w:val="0033469A"/>
    <w:rsid w:val="00334812"/>
    <w:rsid w:val="003348D4"/>
    <w:rsid w:val="003349D6"/>
    <w:rsid w:val="00334ED1"/>
    <w:rsid w:val="00334F14"/>
    <w:rsid w:val="00335217"/>
    <w:rsid w:val="0033531F"/>
    <w:rsid w:val="00335434"/>
    <w:rsid w:val="003355C5"/>
    <w:rsid w:val="00335939"/>
    <w:rsid w:val="00335A65"/>
    <w:rsid w:val="00335EE3"/>
    <w:rsid w:val="00335F0C"/>
    <w:rsid w:val="00336638"/>
    <w:rsid w:val="003366B2"/>
    <w:rsid w:val="00336942"/>
    <w:rsid w:val="00336979"/>
    <w:rsid w:val="003369DC"/>
    <w:rsid w:val="00336B86"/>
    <w:rsid w:val="00336D7A"/>
    <w:rsid w:val="00336F12"/>
    <w:rsid w:val="0033703A"/>
    <w:rsid w:val="0033715B"/>
    <w:rsid w:val="0033793C"/>
    <w:rsid w:val="003379E5"/>
    <w:rsid w:val="00337E76"/>
    <w:rsid w:val="00340076"/>
    <w:rsid w:val="003403FB"/>
    <w:rsid w:val="00340B8C"/>
    <w:rsid w:val="00340BF7"/>
    <w:rsid w:val="00341086"/>
    <w:rsid w:val="00341245"/>
    <w:rsid w:val="0034169F"/>
    <w:rsid w:val="003417C3"/>
    <w:rsid w:val="00341836"/>
    <w:rsid w:val="003418B6"/>
    <w:rsid w:val="00341C98"/>
    <w:rsid w:val="00341CFD"/>
    <w:rsid w:val="00341DF0"/>
    <w:rsid w:val="00341E20"/>
    <w:rsid w:val="003420EB"/>
    <w:rsid w:val="00342239"/>
    <w:rsid w:val="00342397"/>
    <w:rsid w:val="003423E9"/>
    <w:rsid w:val="00342793"/>
    <w:rsid w:val="0034293F"/>
    <w:rsid w:val="00342B80"/>
    <w:rsid w:val="003430BD"/>
    <w:rsid w:val="003432D5"/>
    <w:rsid w:val="003433BC"/>
    <w:rsid w:val="00343B72"/>
    <w:rsid w:val="00343CC8"/>
    <w:rsid w:val="00343DAD"/>
    <w:rsid w:val="003441C0"/>
    <w:rsid w:val="00344355"/>
    <w:rsid w:val="0034481B"/>
    <w:rsid w:val="003449C2"/>
    <w:rsid w:val="003449FD"/>
    <w:rsid w:val="00344B6E"/>
    <w:rsid w:val="0034542D"/>
    <w:rsid w:val="0034549E"/>
    <w:rsid w:val="00345546"/>
    <w:rsid w:val="00345C3F"/>
    <w:rsid w:val="00346007"/>
    <w:rsid w:val="00346116"/>
    <w:rsid w:val="00346235"/>
    <w:rsid w:val="003463A0"/>
    <w:rsid w:val="00346922"/>
    <w:rsid w:val="0034696F"/>
    <w:rsid w:val="00346B30"/>
    <w:rsid w:val="00346BA6"/>
    <w:rsid w:val="00347165"/>
    <w:rsid w:val="0034731C"/>
    <w:rsid w:val="00347572"/>
    <w:rsid w:val="00347BA1"/>
    <w:rsid w:val="00347BAD"/>
    <w:rsid w:val="00347CE3"/>
    <w:rsid w:val="00347DF0"/>
    <w:rsid w:val="00347EC3"/>
    <w:rsid w:val="00347FB1"/>
    <w:rsid w:val="00350226"/>
    <w:rsid w:val="00350238"/>
    <w:rsid w:val="00350369"/>
    <w:rsid w:val="003506A5"/>
    <w:rsid w:val="00350C81"/>
    <w:rsid w:val="00350F44"/>
    <w:rsid w:val="0035111E"/>
    <w:rsid w:val="0035113B"/>
    <w:rsid w:val="003513C9"/>
    <w:rsid w:val="003517D7"/>
    <w:rsid w:val="00351A4B"/>
    <w:rsid w:val="00351BAE"/>
    <w:rsid w:val="00351BDA"/>
    <w:rsid w:val="00351D77"/>
    <w:rsid w:val="00351F07"/>
    <w:rsid w:val="00351FED"/>
    <w:rsid w:val="00352680"/>
    <w:rsid w:val="00352A3F"/>
    <w:rsid w:val="00353216"/>
    <w:rsid w:val="00353415"/>
    <w:rsid w:val="00353506"/>
    <w:rsid w:val="003536C9"/>
    <w:rsid w:val="00353DB3"/>
    <w:rsid w:val="00353E4C"/>
    <w:rsid w:val="0035427F"/>
    <w:rsid w:val="003543CF"/>
    <w:rsid w:val="003544DE"/>
    <w:rsid w:val="00354884"/>
    <w:rsid w:val="00354F55"/>
    <w:rsid w:val="00355080"/>
    <w:rsid w:val="0035542D"/>
    <w:rsid w:val="00355445"/>
    <w:rsid w:val="00355537"/>
    <w:rsid w:val="003556F6"/>
    <w:rsid w:val="00355874"/>
    <w:rsid w:val="00355D0E"/>
    <w:rsid w:val="00355ECD"/>
    <w:rsid w:val="00355FB5"/>
    <w:rsid w:val="00356351"/>
    <w:rsid w:val="00356B44"/>
    <w:rsid w:val="00356D70"/>
    <w:rsid w:val="00356E1D"/>
    <w:rsid w:val="00356F08"/>
    <w:rsid w:val="00356F23"/>
    <w:rsid w:val="003576BF"/>
    <w:rsid w:val="0036008F"/>
    <w:rsid w:val="003602C9"/>
    <w:rsid w:val="003604FE"/>
    <w:rsid w:val="00360707"/>
    <w:rsid w:val="00360C6B"/>
    <w:rsid w:val="00360F7C"/>
    <w:rsid w:val="003610BE"/>
    <w:rsid w:val="003611B4"/>
    <w:rsid w:val="003611BE"/>
    <w:rsid w:val="00361647"/>
    <w:rsid w:val="00361A03"/>
    <w:rsid w:val="00361DB0"/>
    <w:rsid w:val="0036276D"/>
    <w:rsid w:val="00362D73"/>
    <w:rsid w:val="003634A9"/>
    <w:rsid w:val="0036350E"/>
    <w:rsid w:val="00363700"/>
    <w:rsid w:val="00363B61"/>
    <w:rsid w:val="00363F18"/>
    <w:rsid w:val="00364048"/>
    <w:rsid w:val="00364175"/>
    <w:rsid w:val="00364389"/>
    <w:rsid w:val="00364408"/>
    <w:rsid w:val="00364BCF"/>
    <w:rsid w:val="00364C4C"/>
    <w:rsid w:val="00364C6A"/>
    <w:rsid w:val="00364F31"/>
    <w:rsid w:val="00364F89"/>
    <w:rsid w:val="00364FE9"/>
    <w:rsid w:val="00365169"/>
    <w:rsid w:val="003651AB"/>
    <w:rsid w:val="0036520F"/>
    <w:rsid w:val="00365244"/>
    <w:rsid w:val="00365437"/>
    <w:rsid w:val="0036561E"/>
    <w:rsid w:val="003657F6"/>
    <w:rsid w:val="003659D5"/>
    <w:rsid w:val="00365C74"/>
    <w:rsid w:val="00365D35"/>
    <w:rsid w:val="00366277"/>
    <w:rsid w:val="0036646F"/>
    <w:rsid w:val="0036657F"/>
    <w:rsid w:val="003665D5"/>
    <w:rsid w:val="0036672B"/>
    <w:rsid w:val="00366914"/>
    <w:rsid w:val="003670E1"/>
    <w:rsid w:val="003671D4"/>
    <w:rsid w:val="003674D2"/>
    <w:rsid w:val="00367602"/>
    <w:rsid w:val="00367B66"/>
    <w:rsid w:val="00367CF2"/>
    <w:rsid w:val="00367F5B"/>
    <w:rsid w:val="00367FB0"/>
    <w:rsid w:val="00367FCD"/>
    <w:rsid w:val="00370033"/>
    <w:rsid w:val="0037008F"/>
    <w:rsid w:val="00370202"/>
    <w:rsid w:val="00370227"/>
    <w:rsid w:val="00370267"/>
    <w:rsid w:val="00370510"/>
    <w:rsid w:val="00370DCB"/>
    <w:rsid w:val="00371118"/>
    <w:rsid w:val="00371139"/>
    <w:rsid w:val="00371275"/>
    <w:rsid w:val="003713D8"/>
    <w:rsid w:val="00371474"/>
    <w:rsid w:val="003719C0"/>
    <w:rsid w:val="00371A35"/>
    <w:rsid w:val="00371C2B"/>
    <w:rsid w:val="00371CA0"/>
    <w:rsid w:val="00371CF2"/>
    <w:rsid w:val="00372370"/>
    <w:rsid w:val="003723F9"/>
    <w:rsid w:val="00372848"/>
    <w:rsid w:val="00372975"/>
    <w:rsid w:val="003729A7"/>
    <w:rsid w:val="00372B82"/>
    <w:rsid w:val="00372D1B"/>
    <w:rsid w:val="00373553"/>
    <w:rsid w:val="0037383A"/>
    <w:rsid w:val="00373851"/>
    <w:rsid w:val="00373994"/>
    <w:rsid w:val="00373996"/>
    <w:rsid w:val="00373CD5"/>
    <w:rsid w:val="00373D10"/>
    <w:rsid w:val="00373D8F"/>
    <w:rsid w:val="00373DF1"/>
    <w:rsid w:val="00373F2B"/>
    <w:rsid w:val="00374009"/>
    <w:rsid w:val="0037471D"/>
    <w:rsid w:val="0037475B"/>
    <w:rsid w:val="00374AE0"/>
    <w:rsid w:val="00374CF2"/>
    <w:rsid w:val="00374DF3"/>
    <w:rsid w:val="00374E88"/>
    <w:rsid w:val="00375291"/>
    <w:rsid w:val="00375390"/>
    <w:rsid w:val="0037548C"/>
    <w:rsid w:val="00375563"/>
    <w:rsid w:val="003758EF"/>
    <w:rsid w:val="00375A59"/>
    <w:rsid w:val="00375DE7"/>
    <w:rsid w:val="00375F3E"/>
    <w:rsid w:val="00375FB8"/>
    <w:rsid w:val="003761C8"/>
    <w:rsid w:val="003763AE"/>
    <w:rsid w:val="00376862"/>
    <w:rsid w:val="003769B0"/>
    <w:rsid w:val="00376BA7"/>
    <w:rsid w:val="00376DF4"/>
    <w:rsid w:val="00376E23"/>
    <w:rsid w:val="003775E6"/>
    <w:rsid w:val="00377609"/>
    <w:rsid w:val="003776B6"/>
    <w:rsid w:val="00377AFE"/>
    <w:rsid w:val="003801BB"/>
    <w:rsid w:val="00380395"/>
    <w:rsid w:val="0038091D"/>
    <w:rsid w:val="0038101A"/>
    <w:rsid w:val="0038128A"/>
    <w:rsid w:val="00381302"/>
    <w:rsid w:val="003813E9"/>
    <w:rsid w:val="0038195D"/>
    <w:rsid w:val="00381965"/>
    <w:rsid w:val="00381D25"/>
    <w:rsid w:val="0038241C"/>
    <w:rsid w:val="003827B1"/>
    <w:rsid w:val="0038292B"/>
    <w:rsid w:val="00382A84"/>
    <w:rsid w:val="003831ED"/>
    <w:rsid w:val="0038345B"/>
    <w:rsid w:val="003835F4"/>
    <w:rsid w:val="00383D77"/>
    <w:rsid w:val="00383E19"/>
    <w:rsid w:val="00383F5D"/>
    <w:rsid w:val="0038420E"/>
    <w:rsid w:val="003842A5"/>
    <w:rsid w:val="0038457F"/>
    <w:rsid w:val="00384642"/>
    <w:rsid w:val="00384671"/>
    <w:rsid w:val="00384E9B"/>
    <w:rsid w:val="00384FC6"/>
    <w:rsid w:val="0038503E"/>
    <w:rsid w:val="00385161"/>
    <w:rsid w:val="00385360"/>
    <w:rsid w:val="003856D0"/>
    <w:rsid w:val="00385786"/>
    <w:rsid w:val="003857F3"/>
    <w:rsid w:val="0038583C"/>
    <w:rsid w:val="00385964"/>
    <w:rsid w:val="00385A71"/>
    <w:rsid w:val="00385B8B"/>
    <w:rsid w:val="00385DF3"/>
    <w:rsid w:val="00385E7D"/>
    <w:rsid w:val="00385F23"/>
    <w:rsid w:val="003862FA"/>
    <w:rsid w:val="00386489"/>
    <w:rsid w:val="00386556"/>
    <w:rsid w:val="00386909"/>
    <w:rsid w:val="00386AFB"/>
    <w:rsid w:val="00387261"/>
    <w:rsid w:val="00387C0D"/>
    <w:rsid w:val="00387E79"/>
    <w:rsid w:val="00390021"/>
    <w:rsid w:val="0039006E"/>
    <w:rsid w:val="00390355"/>
    <w:rsid w:val="00390AFB"/>
    <w:rsid w:val="00390DC2"/>
    <w:rsid w:val="00391242"/>
    <w:rsid w:val="0039137C"/>
    <w:rsid w:val="00391642"/>
    <w:rsid w:val="0039182A"/>
    <w:rsid w:val="00391925"/>
    <w:rsid w:val="00391945"/>
    <w:rsid w:val="00391B5B"/>
    <w:rsid w:val="00391EB2"/>
    <w:rsid w:val="00391F49"/>
    <w:rsid w:val="00392195"/>
    <w:rsid w:val="00392408"/>
    <w:rsid w:val="003925F1"/>
    <w:rsid w:val="00392776"/>
    <w:rsid w:val="003928CA"/>
    <w:rsid w:val="0039290A"/>
    <w:rsid w:val="003929DD"/>
    <w:rsid w:val="00392C85"/>
    <w:rsid w:val="00392F82"/>
    <w:rsid w:val="00392FAB"/>
    <w:rsid w:val="00392FF2"/>
    <w:rsid w:val="0039307F"/>
    <w:rsid w:val="00393163"/>
    <w:rsid w:val="003933D2"/>
    <w:rsid w:val="003934C8"/>
    <w:rsid w:val="00393826"/>
    <w:rsid w:val="00393DAB"/>
    <w:rsid w:val="0039402F"/>
    <w:rsid w:val="00394366"/>
    <w:rsid w:val="0039442A"/>
    <w:rsid w:val="00394599"/>
    <w:rsid w:val="003945EC"/>
    <w:rsid w:val="00394620"/>
    <w:rsid w:val="0039467F"/>
    <w:rsid w:val="00394702"/>
    <w:rsid w:val="00394AC7"/>
    <w:rsid w:val="00394AD8"/>
    <w:rsid w:val="00394BD8"/>
    <w:rsid w:val="00394C5F"/>
    <w:rsid w:val="00394FB4"/>
    <w:rsid w:val="0039556B"/>
    <w:rsid w:val="0039577B"/>
    <w:rsid w:val="00395977"/>
    <w:rsid w:val="00395B0A"/>
    <w:rsid w:val="00395C1E"/>
    <w:rsid w:val="00395DDB"/>
    <w:rsid w:val="00395F2D"/>
    <w:rsid w:val="00395FA3"/>
    <w:rsid w:val="00396304"/>
    <w:rsid w:val="00396ACF"/>
    <w:rsid w:val="00396B32"/>
    <w:rsid w:val="00396B40"/>
    <w:rsid w:val="00396DA1"/>
    <w:rsid w:val="00396E80"/>
    <w:rsid w:val="0039707B"/>
    <w:rsid w:val="003973CA"/>
    <w:rsid w:val="003974E0"/>
    <w:rsid w:val="00397699"/>
    <w:rsid w:val="003976B5"/>
    <w:rsid w:val="0039793C"/>
    <w:rsid w:val="00397AC9"/>
    <w:rsid w:val="00397B94"/>
    <w:rsid w:val="00397C8D"/>
    <w:rsid w:val="003A0439"/>
    <w:rsid w:val="003A0528"/>
    <w:rsid w:val="003A07AE"/>
    <w:rsid w:val="003A0DF8"/>
    <w:rsid w:val="003A0ECF"/>
    <w:rsid w:val="003A0F17"/>
    <w:rsid w:val="003A1275"/>
    <w:rsid w:val="003A1286"/>
    <w:rsid w:val="003A1436"/>
    <w:rsid w:val="003A145F"/>
    <w:rsid w:val="003A17CC"/>
    <w:rsid w:val="003A1825"/>
    <w:rsid w:val="003A1B25"/>
    <w:rsid w:val="003A1C22"/>
    <w:rsid w:val="003A1C32"/>
    <w:rsid w:val="003A1E37"/>
    <w:rsid w:val="003A1ED2"/>
    <w:rsid w:val="003A1FF3"/>
    <w:rsid w:val="003A2326"/>
    <w:rsid w:val="003A2328"/>
    <w:rsid w:val="003A237A"/>
    <w:rsid w:val="003A24B7"/>
    <w:rsid w:val="003A2993"/>
    <w:rsid w:val="003A2BB1"/>
    <w:rsid w:val="003A2D40"/>
    <w:rsid w:val="003A2D98"/>
    <w:rsid w:val="003A2FE5"/>
    <w:rsid w:val="003A305B"/>
    <w:rsid w:val="003A3575"/>
    <w:rsid w:val="003A3B53"/>
    <w:rsid w:val="003A3CDB"/>
    <w:rsid w:val="003A3E6D"/>
    <w:rsid w:val="003A4289"/>
    <w:rsid w:val="003A4320"/>
    <w:rsid w:val="003A45C4"/>
    <w:rsid w:val="003A4C98"/>
    <w:rsid w:val="003A503A"/>
    <w:rsid w:val="003A5245"/>
    <w:rsid w:val="003A5261"/>
    <w:rsid w:val="003A531A"/>
    <w:rsid w:val="003A572D"/>
    <w:rsid w:val="003A57DC"/>
    <w:rsid w:val="003A5FA2"/>
    <w:rsid w:val="003A6191"/>
    <w:rsid w:val="003A6757"/>
    <w:rsid w:val="003A67F1"/>
    <w:rsid w:val="003A68B9"/>
    <w:rsid w:val="003A698D"/>
    <w:rsid w:val="003A71B2"/>
    <w:rsid w:val="003A7264"/>
    <w:rsid w:val="003A729F"/>
    <w:rsid w:val="003A7455"/>
    <w:rsid w:val="003A7AF3"/>
    <w:rsid w:val="003A7B1B"/>
    <w:rsid w:val="003B0036"/>
    <w:rsid w:val="003B02CB"/>
    <w:rsid w:val="003B0306"/>
    <w:rsid w:val="003B0362"/>
    <w:rsid w:val="003B039F"/>
    <w:rsid w:val="003B04C9"/>
    <w:rsid w:val="003B0561"/>
    <w:rsid w:val="003B0610"/>
    <w:rsid w:val="003B070B"/>
    <w:rsid w:val="003B08DE"/>
    <w:rsid w:val="003B0ADF"/>
    <w:rsid w:val="003B0C73"/>
    <w:rsid w:val="003B0F7D"/>
    <w:rsid w:val="003B1922"/>
    <w:rsid w:val="003B1ACC"/>
    <w:rsid w:val="003B1E67"/>
    <w:rsid w:val="003B1F4F"/>
    <w:rsid w:val="003B20DB"/>
    <w:rsid w:val="003B285D"/>
    <w:rsid w:val="003B288C"/>
    <w:rsid w:val="003B293D"/>
    <w:rsid w:val="003B2AFE"/>
    <w:rsid w:val="003B2DBB"/>
    <w:rsid w:val="003B2EDB"/>
    <w:rsid w:val="003B3001"/>
    <w:rsid w:val="003B366D"/>
    <w:rsid w:val="003B3695"/>
    <w:rsid w:val="003B36D7"/>
    <w:rsid w:val="003B376D"/>
    <w:rsid w:val="003B3FEE"/>
    <w:rsid w:val="003B4208"/>
    <w:rsid w:val="003B43A1"/>
    <w:rsid w:val="003B443D"/>
    <w:rsid w:val="003B4672"/>
    <w:rsid w:val="003B48A0"/>
    <w:rsid w:val="003B49E3"/>
    <w:rsid w:val="003B4F14"/>
    <w:rsid w:val="003B5256"/>
    <w:rsid w:val="003B54DE"/>
    <w:rsid w:val="003B6015"/>
    <w:rsid w:val="003B6181"/>
    <w:rsid w:val="003B6318"/>
    <w:rsid w:val="003B6612"/>
    <w:rsid w:val="003B67C8"/>
    <w:rsid w:val="003B698E"/>
    <w:rsid w:val="003B6ACD"/>
    <w:rsid w:val="003B6BFF"/>
    <w:rsid w:val="003B6CCF"/>
    <w:rsid w:val="003B6CE8"/>
    <w:rsid w:val="003B6DF9"/>
    <w:rsid w:val="003B6FD6"/>
    <w:rsid w:val="003B73AA"/>
    <w:rsid w:val="003B7648"/>
    <w:rsid w:val="003B77EA"/>
    <w:rsid w:val="003B7835"/>
    <w:rsid w:val="003B78DF"/>
    <w:rsid w:val="003B7A08"/>
    <w:rsid w:val="003B7A11"/>
    <w:rsid w:val="003B872D"/>
    <w:rsid w:val="003C02FD"/>
    <w:rsid w:val="003C0653"/>
    <w:rsid w:val="003C073F"/>
    <w:rsid w:val="003C0831"/>
    <w:rsid w:val="003C0A8D"/>
    <w:rsid w:val="003C0AA2"/>
    <w:rsid w:val="003C0C47"/>
    <w:rsid w:val="003C1037"/>
    <w:rsid w:val="003C149B"/>
    <w:rsid w:val="003C18E3"/>
    <w:rsid w:val="003C1B9B"/>
    <w:rsid w:val="003C1BD0"/>
    <w:rsid w:val="003C1CA8"/>
    <w:rsid w:val="003C1E1D"/>
    <w:rsid w:val="003C1E78"/>
    <w:rsid w:val="003C1E8E"/>
    <w:rsid w:val="003C2073"/>
    <w:rsid w:val="003C22ED"/>
    <w:rsid w:val="003C2524"/>
    <w:rsid w:val="003C26C8"/>
    <w:rsid w:val="003C2932"/>
    <w:rsid w:val="003C2B00"/>
    <w:rsid w:val="003C2ED6"/>
    <w:rsid w:val="003C3183"/>
    <w:rsid w:val="003C3247"/>
    <w:rsid w:val="003C33E5"/>
    <w:rsid w:val="003C368D"/>
    <w:rsid w:val="003C37C5"/>
    <w:rsid w:val="003C39EB"/>
    <w:rsid w:val="003C3AC0"/>
    <w:rsid w:val="003C3B7A"/>
    <w:rsid w:val="003C3C87"/>
    <w:rsid w:val="003C42A2"/>
    <w:rsid w:val="003C4300"/>
    <w:rsid w:val="003C47B1"/>
    <w:rsid w:val="003C48E9"/>
    <w:rsid w:val="003C4B1A"/>
    <w:rsid w:val="003C5267"/>
    <w:rsid w:val="003C55F9"/>
    <w:rsid w:val="003C5981"/>
    <w:rsid w:val="003C5A1D"/>
    <w:rsid w:val="003C5B91"/>
    <w:rsid w:val="003C5DB2"/>
    <w:rsid w:val="003C5E16"/>
    <w:rsid w:val="003C60C4"/>
    <w:rsid w:val="003C6146"/>
    <w:rsid w:val="003C617A"/>
    <w:rsid w:val="003C61B5"/>
    <w:rsid w:val="003C6410"/>
    <w:rsid w:val="003C6467"/>
    <w:rsid w:val="003C6874"/>
    <w:rsid w:val="003C6942"/>
    <w:rsid w:val="003C6B3A"/>
    <w:rsid w:val="003C6DB7"/>
    <w:rsid w:val="003C6DC3"/>
    <w:rsid w:val="003C6F15"/>
    <w:rsid w:val="003C738C"/>
    <w:rsid w:val="003C76DF"/>
    <w:rsid w:val="003C7851"/>
    <w:rsid w:val="003C7AE5"/>
    <w:rsid w:val="003C7B7F"/>
    <w:rsid w:val="003C7C58"/>
    <w:rsid w:val="003C7E7E"/>
    <w:rsid w:val="003C7FEA"/>
    <w:rsid w:val="003D096C"/>
    <w:rsid w:val="003D09E9"/>
    <w:rsid w:val="003D0ADD"/>
    <w:rsid w:val="003D0BB7"/>
    <w:rsid w:val="003D0D10"/>
    <w:rsid w:val="003D0ECA"/>
    <w:rsid w:val="003D10D3"/>
    <w:rsid w:val="003D11AF"/>
    <w:rsid w:val="003D1210"/>
    <w:rsid w:val="003D18FF"/>
    <w:rsid w:val="003D1953"/>
    <w:rsid w:val="003D1A3A"/>
    <w:rsid w:val="003D1CBD"/>
    <w:rsid w:val="003D1FB9"/>
    <w:rsid w:val="003D21A4"/>
    <w:rsid w:val="003D21BB"/>
    <w:rsid w:val="003D2312"/>
    <w:rsid w:val="003D2359"/>
    <w:rsid w:val="003D2581"/>
    <w:rsid w:val="003D26FC"/>
    <w:rsid w:val="003D2A57"/>
    <w:rsid w:val="003D2A6C"/>
    <w:rsid w:val="003D2DD1"/>
    <w:rsid w:val="003D2EA2"/>
    <w:rsid w:val="003D2F22"/>
    <w:rsid w:val="003D3107"/>
    <w:rsid w:val="003D3211"/>
    <w:rsid w:val="003D3248"/>
    <w:rsid w:val="003D341D"/>
    <w:rsid w:val="003D3D45"/>
    <w:rsid w:val="003D3D73"/>
    <w:rsid w:val="003D3DD7"/>
    <w:rsid w:val="003D3E07"/>
    <w:rsid w:val="003D3E7D"/>
    <w:rsid w:val="003D423D"/>
    <w:rsid w:val="003D4C63"/>
    <w:rsid w:val="003D4D68"/>
    <w:rsid w:val="003D4D78"/>
    <w:rsid w:val="003D4DA7"/>
    <w:rsid w:val="003D4E8C"/>
    <w:rsid w:val="003D500E"/>
    <w:rsid w:val="003D526E"/>
    <w:rsid w:val="003D5354"/>
    <w:rsid w:val="003D5450"/>
    <w:rsid w:val="003D5D3E"/>
    <w:rsid w:val="003D61B3"/>
    <w:rsid w:val="003D628C"/>
    <w:rsid w:val="003D62E7"/>
    <w:rsid w:val="003D6951"/>
    <w:rsid w:val="003D6AF9"/>
    <w:rsid w:val="003D6D1C"/>
    <w:rsid w:val="003D6EB2"/>
    <w:rsid w:val="003D7765"/>
    <w:rsid w:val="003D78A2"/>
    <w:rsid w:val="003D78D3"/>
    <w:rsid w:val="003D7B0C"/>
    <w:rsid w:val="003D7E31"/>
    <w:rsid w:val="003D7E44"/>
    <w:rsid w:val="003E0273"/>
    <w:rsid w:val="003E0358"/>
    <w:rsid w:val="003E05CD"/>
    <w:rsid w:val="003E07E4"/>
    <w:rsid w:val="003E0935"/>
    <w:rsid w:val="003E0973"/>
    <w:rsid w:val="003E11DA"/>
    <w:rsid w:val="003E14B4"/>
    <w:rsid w:val="003E18A3"/>
    <w:rsid w:val="003E1A88"/>
    <w:rsid w:val="003E1AF8"/>
    <w:rsid w:val="003E1E67"/>
    <w:rsid w:val="003E20E0"/>
    <w:rsid w:val="003E26B2"/>
    <w:rsid w:val="003E28A2"/>
    <w:rsid w:val="003E28EE"/>
    <w:rsid w:val="003E2C29"/>
    <w:rsid w:val="003E2FAE"/>
    <w:rsid w:val="003E3713"/>
    <w:rsid w:val="003E3991"/>
    <w:rsid w:val="003E3E5D"/>
    <w:rsid w:val="003E3FCF"/>
    <w:rsid w:val="003E4317"/>
    <w:rsid w:val="003E4863"/>
    <w:rsid w:val="003E490B"/>
    <w:rsid w:val="003E4AB7"/>
    <w:rsid w:val="003E4AC5"/>
    <w:rsid w:val="003E4BF3"/>
    <w:rsid w:val="003E4C5E"/>
    <w:rsid w:val="003E4CB5"/>
    <w:rsid w:val="003E4F0F"/>
    <w:rsid w:val="003E50C5"/>
    <w:rsid w:val="003E52EA"/>
    <w:rsid w:val="003E5876"/>
    <w:rsid w:val="003E58A9"/>
    <w:rsid w:val="003E58F1"/>
    <w:rsid w:val="003E5919"/>
    <w:rsid w:val="003E59AD"/>
    <w:rsid w:val="003E59CC"/>
    <w:rsid w:val="003E5C2D"/>
    <w:rsid w:val="003E5C73"/>
    <w:rsid w:val="003E6278"/>
    <w:rsid w:val="003E6282"/>
    <w:rsid w:val="003E637B"/>
    <w:rsid w:val="003E7365"/>
    <w:rsid w:val="003E788A"/>
    <w:rsid w:val="003E7B5C"/>
    <w:rsid w:val="003E7C80"/>
    <w:rsid w:val="003F0116"/>
    <w:rsid w:val="003F01B8"/>
    <w:rsid w:val="003F04D0"/>
    <w:rsid w:val="003F0A57"/>
    <w:rsid w:val="003F0A7B"/>
    <w:rsid w:val="003F0B45"/>
    <w:rsid w:val="003F11D2"/>
    <w:rsid w:val="003F1519"/>
    <w:rsid w:val="003F186B"/>
    <w:rsid w:val="003F1905"/>
    <w:rsid w:val="003F1C16"/>
    <w:rsid w:val="003F1F67"/>
    <w:rsid w:val="003F1F7C"/>
    <w:rsid w:val="003F1FC7"/>
    <w:rsid w:val="003F237C"/>
    <w:rsid w:val="003F2438"/>
    <w:rsid w:val="003F26AE"/>
    <w:rsid w:val="003F28CE"/>
    <w:rsid w:val="003F2ADC"/>
    <w:rsid w:val="003F2D3B"/>
    <w:rsid w:val="003F2F6F"/>
    <w:rsid w:val="003F31E2"/>
    <w:rsid w:val="003F336D"/>
    <w:rsid w:val="003F3784"/>
    <w:rsid w:val="003F37A5"/>
    <w:rsid w:val="003F3813"/>
    <w:rsid w:val="003F398B"/>
    <w:rsid w:val="003F3A23"/>
    <w:rsid w:val="003F3A67"/>
    <w:rsid w:val="003F3D5D"/>
    <w:rsid w:val="003F4025"/>
    <w:rsid w:val="003F4B2C"/>
    <w:rsid w:val="003F4BF9"/>
    <w:rsid w:val="003F4C3C"/>
    <w:rsid w:val="003F4D26"/>
    <w:rsid w:val="003F4EE0"/>
    <w:rsid w:val="003F4FBE"/>
    <w:rsid w:val="003F5254"/>
    <w:rsid w:val="003F560A"/>
    <w:rsid w:val="003F560C"/>
    <w:rsid w:val="003F5B29"/>
    <w:rsid w:val="003F5E15"/>
    <w:rsid w:val="003F6016"/>
    <w:rsid w:val="003F622C"/>
    <w:rsid w:val="003F6C02"/>
    <w:rsid w:val="003F6C4F"/>
    <w:rsid w:val="003F6D4C"/>
    <w:rsid w:val="003F70A7"/>
    <w:rsid w:val="003F775E"/>
    <w:rsid w:val="003F7D97"/>
    <w:rsid w:val="003F7E81"/>
    <w:rsid w:val="003F7E8F"/>
    <w:rsid w:val="003F7F54"/>
    <w:rsid w:val="003FBBC4"/>
    <w:rsid w:val="0040009B"/>
    <w:rsid w:val="0040029C"/>
    <w:rsid w:val="004002E7"/>
    <w:rsid w:val="004004A1"/>
    <w:rsid w:val="00400570"/>
    <w:rsid w:val="0040073C"/>
    <w:rsid w:val="0040089E"/>
    <w:rsid w:val="0040093D"/>
    <w:rsid w:val="00400C29"/>
    <w:rsid w:val="00400C6D"/>
    <w:rsid w:val="00400E95"/>
    <w:rsid w:val="00401002"/>
    <w:rsid w:val="00401071"/>
    <w:rsid w:val="004013D9"/>
    <w:rsid w:val="00401464"/>
    <w:rsid w:val="00401608"/>
    <w:rsid w:val="00401681"/>
    <w:rsid w:val="00401AEA"/>
    <w:rsid w:val="00401C27"/>
    <w:rsid w:val="00401E3C"/>
    <w:rsid w:val="00401F38"/>
    <w:rsid w:val="00401F69"/>
    <w:rsid w:val="00401FFB"/>
    <w:rsid w:val="004023A6"/>
    <w:rsid w:val="0040297B"/>
    <w:rsid w:val="00402C58"/>
    <w:rsid w:val="00402EA3"/>
    <w:rsid w:val="00403445"/>
    <w:rsid w:val="00403504"/>
    <w:rsid w:val="0040364D"/>
    <w:rsid w:val="00404073"/>
    <w:rsid w:val="004041F3"/>
    <w:rsid w:val="004043C8"/>
    <w:rsid w:val="004047A0"/>
    <w:rsid w:val="00404822"/>
    <w:rsid w:val="0040497A"/>
    <w:rsid w:val="00404AAD"/>
    <w:rsid w:val="0040535A"/>
    <w:rsid w:val="004057B9"/>
    <w:rsid w:val="004057C1"/>
    <w:rsid w:val="0040588E"/>
    <w:rsid w:val="004058A9"/>
    <w:rsid w:val="00405D1E"/>
    <w:rsid w:val="00405DE3"/>
    <w:rsid w:val="00405E5B"/>
    <w:rsid w:val="00405ED7"/>
    <w:rsid w:val="00406353"/>
    <w:rsid w:val="00406B2C"/>
    <w:rsid w:val="00406B6F"/>
    <w:rsid w:val="00406D68"/>
    <w:rsid w:val="00406EC7"/>
    <w:rsid w:val="00407069"/>
    <w:rsid w:val="00407184"/>
    <w:rsid w:val="004071AF"/>
    <w:rsid w:val="00407246"/>
    <w:rsid w:val="004073CC"/>
    <w:rsid w:val="0040747C"/>
    <w:rsid w:val="004077BB"/>
    <w:rsid w:val="00407AC0"/>
    <w:rsid w:val="00407D75"/>
    <w:rsid w:val="00407DCF"/>
    <w:rsid w:val="00407EA7"/>
    <w:rsid w:val="004104DE"/>
    <w:rsid w:val="0041056D"/>
    <w:rsid w:val="00410A17"/>
    <w:rsid w:val="00410E97"/>
    <w:rsid w:val="004111B8"/>
    <w:rsid w:val="004113C1"/>
    <w:rsid w:val="0041165C"/>
    <w:rsid w:val="00411783"/>
    <w:rsid w:val="00411B5F"/>
    <w:rsid w:val="0041278D"/>
    <w:rsid w:val="00412988"/>
    <w:rsid w:val="00412BA5"/>
    <w:rsid w:val="00412C90"/>
    <w:rsid w:val="00412D0F"/>
    <w:rsid w:val="00412D1A"/>
    <w:rsid w:val="00412E4C"/>
    <w:rsid w:val="00412E90"/>
    <w:rsid w:val="0041306A"/>
    <w:rsid w:val="00413260"/>
    <w:rsid w:val="0041337D"/>
    <w:rsid w:val="004136AD"/>
    <w:rsid w:val="00413804"/>
    <w:rsid w:val="004139D2"/>
    <w:rsid w:val="00413ADC"/>
    <w:rsid w:val="00413BF6"/>
    <w:rsid w:val="00413C76"/>
    <w:rsid w:val="00413CDE"/>
    <w:rsid w:val="00413E02"/>
    <w:rsid w:val="00413FC2"/>
    <w:rsid w:val="00413FD8"/>
    <w:rsid w:val="0041440F"/>
    <w:rsid w:val="00414488"/>
    <w:rsid w:val="00414652"/>
    <w:rsid w:val="00415101"/>
    <w:rsid w:val="0041556B"/>
    <w:rsid w:val="00415681"/>
    <w:rsid w:val="004157A7"/>
    <w:rsid w:val="00415B6E"/>
    <w:rsid w:val="00415BC7"/>
    <w:rsid w:val="00415BE6"/>
    <w:rsid w:val="00415CBE"/>
    <w:rsid w:val="00415F75"/>
    <w:rsid w:val="00416123"/>
    <w:rsid w:val="00416172"/>
    <w:rsid w:val="004162ED"/>
    <w:rsid w:val="00416326"/>
    <w:rsid w:val="0041653B"/>
    <w:rsid w:val="004165E6"/>
    <w:rsid w:val="00416B8F"/>
    <w:rsid w:val="00416B92"/>
    <w:rsid w:val="00416C65"/>
    <w:rsid w:val="00416E09"/>
    <w:rsid w:val="00417153"/>
    <w:rsid w:val="004172FC"/>
    <w:rsid w:val="004173DF"/>
    <w:rsid w:val="004174AB"/>
    <w:rsid w:val="0041785C"/>
    <w:rsid w:val="004179BC"/>
    <w:rsid w:val="004179F5"/>
    <w:rsid w:val="00417B4A"/>
    <w:rsid w:val="00417C1A"/>
    <w:rsid w:val="00417C64"/>
    <w:rsid w:val="00417D8F"/>
    <w:rsid w:val="00417F66"/>
    <w:rsid w:val="00420456"/>
    <w:rsid w:val="00420496"/>
    <w:rsid w:val="00420597"/>
    <w:rsid w:val="00420B5B"/>
    <w:rsid w:val="004212B2"/>
    <w:rsid w:val="004213CE"/>
    <w:rsid w:val="004216D0"/>
    <w:rsid w:val="004217E8"/>
    <w:rsid w:val="00421C75"/>
    <w:rsid w:val="00421EDF"/>
    <w:rsid w:val="004223C5"/>
    <w:rsid w:val="00422C20"/>
    <w:rsid w:val="00423232"/>
    <w:rsid w:val="004235C5"/>
    <w:rsid w:val="00423810"/>
    <w:rsid w:val="004239F3"/>
    <w:rsid w:val="00423AC9"/>
    <w:rsid w:val="004244BB"/>
    <w:rsid w:val="0042453B"/>
    <w:rsid w:val="0042454E"/>
    <w:rsid w:val="0042471E"/>
    <w:rsid w:val="0042478E"/>
    <w:rsid w:val="00424CE2"/>
    <w:rsid w:val="00425190"/>
    <w:rsid w:val="004251EB"/>
    <w:rsid w:val="004252B2"/>
    <w:rsid w:val="0042537C"/>
    <w:rsid w:val="004255FA"/>
    <w:rsid w:val="004255FB"/>
    <w:rsid w:val="00425A23"/>
    <w:rsid w:val="00425DCE"/>
    <w:rsid w:val="00425DE9"/>
    <w:rsid w:val="00426369"/>
    <w:rsid w:val="00427916"/>
    <w:rsid w:val="00427F56"/>
    <w:rsid w:val="00430835"/>
    <w:rsid w:val="00430F28"/>
    <w:rsid w:val="0043137A"/>
    <w:rsid w:val="0043152D"/>
    <w:rsid w:val="00431573"/>
    <w:rsid w:val="004316BA"/>
    <w:rsid w:val="00431B5E"/>
    <w:rsid w:val="00431CA7"/>
    <w:rsid w:val="00431F87"/>
    <w:rsid w:val="00432113"/>
    <w:rsid w:val="004321B2"/>
    <w:rsid w:val="0043264C"/>
    <w:rsid w:val="004327C2"/>
    <w:rsid w:val="00432931"/>
    <w:rsid w:val="00432999"/>
    <w:rsid w:val="0043312E"/>
    <w:rsid w:val="00433569"/>
    <w:rsid w:val="0043361C"/>
    <w:rsid w:val="0043395B"/>
    <w:rsid w:val="0043396A"/>
    <w:rsid w:val="00433C71"/>
    <w:rsid w:val="00433DDC"/>
    <w:rsid w:val="00433F78"/>
    <w:rsid w:val="00434211"/>
    <w:rsid w:val="004346C7"/>
    <w:rsid w:val="00434787"/>
    <w:rsid w:val="00434984"/>
    <w:rsid w:val="00434D0E"/>
    <w:rsid w:val="00434D33"/>
    <w:rsid w:val="00435134"/>
    <w:rsid w:val="004351F1"/>
    <w:rsid w:val="004356BE"/>
    <w:rsid w:val="00435A92"/>
    <w:rsid w:val="00435BAD"/>
    <w:rsid w:val="00435D29"/>
    <w:rsid w:val="00435D3F"/>
    <w:rsid w:val="00435D8B"/>
    <w:rsid w:val="00435E34"/>
    <w:rsid w:val="004361F0"/>
    <w:rsid w:val="0043660F"/>
    <w:rsid w:val="00436851"/>
    <w:rsid w:val="00436B25"/>
    <w:rsid w:val="00436C5B"/>
    <w:rsid w:val="00436CEF"/>
    <w:rsid w:val="00436DF9"/>
    <w:rsid w:val="00436DFE"/>
    <w:rsid w:val="00436E72"/>
    <w:rsid w:val="00436EBC"/>
    <w:rsid w:val="00437046"/>
    <w:rsid w:val="004370FD"/>
    <w:rsid w:val="004375D3"/>
    <w:rsid w:val="00437F75"/>
    <w:rsid w:val="004401D9"/>
    <w:rsid w:val="004402CE"/>
    <w:rsid w:val="00440656"/>
    <w:rsid w:val="0044082D"/>
    <w:rsid w:val="004409BA"/>
    <w:rsid w:val="00441117"/>
    <w:rsid w:val="004414C6"/>
    <w:rsid w:val="004414DC"/>
    <w:rsid w:val="004414F9"/>
    <w:rsid w:val="0044164D"/>
    <w:rsid w:val="0044184E"/>
    <w:rsid w:val="00441F1F"/>
    <w:rsid w:val="004424F2"/>
    <w:rsid w:val="00442536"/>
    <w:rsid w:val="0044288E"/>
    <w:rsid w:val="00442938"/>
    <w:rsid w:val="00442959"/>
    <w:rsid w:val="00442A73"/>
    <w:rsid w:val="00442B67"/>
    <w:rsid w:val="00442BB9"/>
    <w:rsid w:val="00442CD8"/>
    <w:rsid w:val="00442F0C"/>
    <w:rsid w:val="00442FBC"/>
    <w:rsid w:val="00442FCA"/>
    <w:rsid w:val="004433BC"/>
    <w:rsid w:val="004435F4"/>
    <w:rsid w:val="00443CE5"/>
    <w:rsid w:val="00443E37"/>
    <w:rsid w:val="00443E8D"/>
    <w:rsid w:val="00443EAE"/>
    <w:rsid w:val="004440D3"/>
    <w:rsid w:val="0044444D"/>
    <w:rsid w:val="00444472"/>
    <w:rsid w:val="004448D5"/>
    <w:rsid w:val="00445161"/>
    <w:rsid w:val="00445879"/>
    <w:rsid w:val="004458BB"/>
    <w:rsid w:val="004458C7"/>
    <w:rsid w:val="00445AEA"/>
    <w:rsid w:val="00445B7E"/>
    <w:rsid w:val="00446115"/>
    <w:rsid w:val="0044647A"/>
    <w:rsid w:val="004464F4"/>
    <w:rsid w:val="004468E6"/>
    <w:rsid w:val="0044699A"/>
    <w:rsid w:val="0044699E"/>
    <w:rsid w:val="00446B6A"/>
    <w:rsid w:val="00446E2B"/>
    <w:rsid w:val="00447111"/>
    <w:rsid w:val="004471E6"/>
    <w:rsid w:val="00447262"/>
    <w:rsid w:val="004472F1"/>
    <w:rsid w:val="00447453"/>
    <w:rsid w:val="00447736"/>
    <w:rsid w:val="00447DC8"/>
    <w:rsid w:val="00447FC5"/>
    <w:rsid w:val="004501AA"/>
    <w:rsid w:val="004502BE"/>
    <w:rsid w:val="0045076B"/>
    <w:rsid w:val="0045103E"/>
    <w:rsid w:val="00451234"/>
    <w:rsid w:val="00451517"/>
    <w:rsid w:val="004516C1"/>
    <w:rsid w:val="00451B7D"/>
    <w:rsid w:val="00451CDD"/>
    <w:rsid w:val="00451E56"/>
    <w:rsid w:val="00451E8E"/>
    <w:rsid w:val="004523BB"/>
    <w:rsid w:val="004526C5"/>
    <w:rsid w:val="004528FE"/>
    <w:rsid w:val="004529FC"/>
    <w:rsid w:val="00452ACE"/>
    <w:rsid w:val="00452BB7"/>
    <w:rsid w:val="00452EFA"/>
    <w:rsid w:val="00453537"/>
    <w:rsid w:val="00453DC9"/>
    <w:rsid w:val="00453F3D"/>
    <w:rsid w:val="00454143"/>
    <w:rsid w:val="0045414A"/>
    <w:rsid w:val="004543A8"/>
    <w:rsid w:val="0045444C"/>
    <w:rsid w:val="00454476"/>
    <w:rsid w:val="004544E2"/>
    <w:rsid w:val="00454606"/>
    <w:rsid w:val="00454740"/>
    <w:rsid w:val="00454EF5"/>
    <w:rsid w:val="00455944"/>
    <w:rsid w:val="00455AB8"/>
    <w:rsid w:val="00455D0F"/>
    <w:rsid w:val="00455D84"/>
    <w:rsid w:val="00455E10"/>
    <w:rsid w:val="00455F48"/>
    <w:rsid w:val="0045621A"/>
    <w:rsid w:val="00456410"/>
    <w:rsid w:val="0045662A"/>
    <w:rsid w:val="00456670"/>
    <w:rsid w:val="004566B3"/>
    <w:rsid w:val="00456AD3"/>
    <w:rsid w:val="00456F14"/>
    <w:rsid w:val="00456F7B"/>
    <w:rsid w:val="0045700B"/>
    <w:rsid w:val="0045723A"/>
    <w:rsid w:val="004572A0"/>
    <w:rsid w:val="0045734D"/>
    <w:rsid w:val="004575F0"/>
    <w:rsid w:val="00457834"/>
    <w:rsid w:val="00457D13"/>
    <w:rsid w:val="004600D4"/>
    <w:rsid w:val="0046049A"/>
    <w:rsid w:val="00460730"/>
    <w:rsid w:val="0046095F"/>
    <w:rsid w:val="00460C4D"/>
    <w:rsid w:val="00460CD2"/>
    <w:rsid w:val="00460CF1"/>
    <w:rsid w:val="00460D94"/>
    <w:rsid w:val="004615D4"/>
    <w:rsid w:val="0046161D"/>
    <w:rsid w:val="004617E3"/>
    <w:rsid w:val="00461A00"/>
    <w:rsid w:val="00461FDF"/>
    <w:rsid w:val="004623B9"/>
    <w:rsid w:val="004625C9"/>
    <w:rsid w:val="00462885"/>
    <w:rsid w:val="004628FF"/>
    <w:rsid w:val="00462A4E"/>
    <w:rsid w:val="00462BD1"/>
    <w:rsid w:val="00462C55"/>
    <w:rsid w:val="00462F2F"/>
    <w:rsid w:val="00462F98"/>
    <w:rsid w:val="00463185"/>
    <w:rsid w:val="004632E7"/>
    <w:rsid w:val="00463346"/>
    <w:rsid w:val="00463702"/>
    <w:rsid w:val="004638A1"/>
    <w:rsid w:val="00463D75"/>
    <w:rsid w:val="00463DC0"/>
    <w:rsid w:val="0046436E"/>
    <w:rsid w:val="004643B5"/>
    <w:rsid w:val="00464A62"/>
    <w:rsid w:val="00464C2E"/>
    <w:rsid w:val="00464CA4"/>
    <w:rsid w:val="004651EA"/>
    <w:rsid w:val="0046568B"/>
    <w:rsid w:val="004656E1"/>
    <w:rsid w:val="004658DE"/>
    <w:rsid w:val="0046618F"/>
    <w:rsid w:val="004663ED"/>
    <w:rsid w:val="0046659A"/>
    <w:rsid w:val="00466896"/>
    <w:rsid w:val="004669A4"/>
    <w:rsid w:val="00466A02"/>
    <w:rsid w:val="00466C40"/>
    <w:rsid w:val="00466EB0"/>
    <w:rsid w:val="00466F46"/>
    <w:rsid w:val="004672D5"/>
    <w:rsid w:val="0046736C"/>
    <w:rsid w:val="00467385"/>
    <w:rsid w:val="00467AA7"/>
    <w:rsid w:val="00467AB7"/>
    <w:rsid w:val="00467C90"/>
    <w:rsid w:val="00467DAC"/>
    <w:rsid w:val="00467E14"/>
    <w:rsid w:val="0047023B"/>
    <w:rsid w:val="004704F0"/>
    <w:rsid w:val="00470787"/>
    <w:rsid w:val="00470846"/>
    <w:rsid w:val="004709B9"/>
    <w:rsid w:val="00470A19"/>
    <w:rsid w:val="00470BAC"/>
    <w:rsid w:val="00470BD0"/>
    <w:rsid w:val="00470C14"/>
    <w:rsid w:val="00471303"/>
    <w:rsid w:val="004713DC"/>
    <w:rsid w:val="00471468"/>
    <w:rsid w:val="004717D7"/>
    <w:rsid w:val="004717DF"/>
    <w:rsid w:val="004718DB"/>
    <w:rsid w:val="00471A46"/>
    <w:rsid w:val="00471C1F"/>
    <w:rsid w:val="00471E2C"/>
    <w:rsid w:val="00471E9A"/>
    <w:rsid w:val="00471F1F"/>
    <w:rsid w:val="004724E6"/>
    <w:rsid w:val="00472543"/>
    <w:rsid w:val="00472949"/>
    <w:rsid w:val="00472A0A"/>
    <w:rsid w:val="00472FBD"/>
    <w:rsid w:val="004731D9"/>
    <w:rsid w:val="00473433"/>
    <w:rsid w:val="0047348F"/>
    <w:rsid w:val="004737A4"/>
    <w:rsid w:val="004737A9"/>
    <w:rsid w:val="00473945"/>
    <w:rsid w:val="00474272"/>
    <w:rsid w:val="00474386"/>
    <w:rsid w:val="004746B5"/>
    <w:rsid w:val="00474708"/>
    <w:rsid w:val="004748C5"/>
    <w:rsid w:val="00474969"/>
    <w:rsid w:val="00474ADF"/>
    <w:rsid w:val="00474E7E"/>
    <w:rsid w:val="004750B8"/>
    <w:rsid w:val="00475AE3"/>
    <w:rsid w:val="00476038"/>
    <w:rsid w:val="00476147"/>
    <w:rsid w:val="00476421"/>
    <w:rsid w:val="00476436"/>
    <w:rsid w:val="004765F3"/>
    <w:rsid w:val="00476750"/>
    <w:rsid w:val="00476EAD"/>
    <w:rsid w:val="00476FB2"/>
    <w:rsid w:val="00477069"/>
    <w:rsid w:val="00477519"/>
    <w:rsid w:val="0047752C"/>
    <w:rsid w:val="00477670"/>
    <w:rsid w:val="00477E82"/>
    <w:rsid w:val="004800BE"/>
    <w:rsid w:val="00480138"/>
    <w:rsid w:val="004808B2"/>
    <w:rsid w:val="00480C8D"/>
    <w:rsid w:val="00481060"/>
    <w:rsid w:val="00481292"/>
    <w:rsid w:val="004816B1"/>
    <w:rsid w:val="004817EA"/>
    <w:rsid w:val="00481BA3"/>
    <w:rsid w:val="0048202A"/>
    <w:rsid w:val="004821FA"/>
    <w:rsid w:val="00482355"/>
    <w:rsid w:val="0048276A"/>
    <w:rsid w:val="00482793"/>
    <w:rsid w:val="00482868"/>
    <w:rsid w:val="00482B59"/>
    <w:rsid w:val="00482D28"/>
    <w:rsid w:val="00482D6B"/>
    <w:rsid w:val="00482F7C"/>
    <w:rsid w:val="004832FE"/>
    <w:rsid w:val="00483309"/>
    <w:rsid w:val="004834D0"/>
    <w:rsid w:val="0048357F"/>
    <w:rsid w:val="004836D0"/>
    <w:rsid w:val="00483962"/>
    <w:rsid w:val="00483A44"/>
    <w:rsid w:val="00483CDA"/>
    <w:rsid w:val="00483EB9"/>
    <w:rsid w:val="00483ED3"/>
    <w:rsid w:val="00484774"/>
    <w:rsid w:val="004848D3"/>
    <w:rsid w:val="00484A6C"/>
    <w:rsid w:val="00484B44"/>
    <w:rsid w:val="00484BD4"/>
    <w:rsid w:val="0048512A"/>
    <w:rsid w:val="004851B1"/>
    <w:rsid w:val="004851E9"/>
    <w:rsid w:val="004856ED"/>
    <w:rsid w:val="004857ED"/>
    <w:rsid w:val="0048587D"/>
    <w:rsid w:val="00485A47"/>
    <w:rsid w:val="00485CC2"/>
    <w:rsid w:val="00485FA7"/>
    <w:rsid w:val="00485FD3"/>
    <w:rsid w:val="004861D6"/>
    <w:rsid w:val="00486466"/>
    <w:rsid w:val="00486593"/>
    <w:rsid w:val="00486796"/>
    <w:rsid w:val="00486A1F"/>
    <w:rsid w:val="00486CC7"/>
    <w:rsid w:val="00486EAC"/>
    <w:rsid w:val="00487047"/>
    <w:rsid w:val="00487301"/>
    <w:rsid w:val="004873BD"/>
    <w:rsid w:val="004875CC"/>
    <w:rsid w:val="004877EB"/>
    <w:rsid w:val="00487C5C"/>
    <w:rsid w:val="00487D8F"/>
    <w:rsid w:val="00487FAD"/>
    <w:rsid w:val="00490414"/>
    <w:rsid w:val="0049052C"/>
    <w:rsid w:val="0049053A"/>
    <w:rsid w:val="00490F44"/>
    <w:rsid w:val="004914F9"/>
    <w:rsid w:val="004916AC"/>
    <w:rsid w:val="0049192B"/>
    <w:rsid w:val="00491AA5"/>
    <w:rsid w:val="00491E57"/>
    <w:rsid w:val="00491FAD"/>
    <w:rsid w:val="0049234F"/>
    <w:rsid w:val="0049276C"/>
    <w:rsid w:val="00492959"/>
    <w:rsid w:val="004929C0"/>
    <w:rsid w:val="004929D2"/>
    <w:rsid w:val="00492AE9"/>
    <w:rsid w:val="00492F3A"/>
    <w:rsid w:val="00492FDD"/>
    <w:rsid w:val="004932F0"/>
    <w:rsid w:val="00493381"/>
    <w:rsid w:val="004936AE"/>
    <w:rsid w:val="00493A45"/>
    <w:rsid w:val="00493A5C"/>
    <w:rsid w:val="00493BE9"/>
    <w:rsid w:val="00493D22"/>
    <w:rsid w:val="00493DFB"/>
    <w:rsid w:val="00493E97"/>
    <w:rsid w:val="00493FAA"/>
    <w:rsid w:val="00494181"/>
    <w:rsid w:val="004942BF"/>
    <w:rsid w:val="00494591"/>
    <w:rsid w:val="0049467D"/>
    <w:rsid w:val="00494AD8"/>
    <w:rsid w:val="00494B50"/>
    <w:rsid w:val="00494B7F"/>
    <w:rsid w:val="00494C9C"/>
    <w:rsid w:val="00494D08"/>
    <w:rsid w:val="00494DE4"/>
    <w:rsid w:val="00494E76"/>
    <w:rsid w:val="00494F60"/>
    <w:rsid w:val="00494FBA"/>
    <w:rsid w:val="00495115"/>
    <w:rsid w:val="00495231"/>
    <w:rsid w:val="0049528E"/>
    <w:rsid w:val="00495435"/>
    <w:rsid w:val="00495461"/>
    <w:rsid w:val="0049588E"/>
    <w:rsid w:val="004959EE"/>
    <w:rsid w:val="00495C5D"/>
    <w:rsid w:val="00495D82"/>
    <w:rsid w:val="00495E09"/>
    <w:rsid w:val="0049601C"/>
    <w:rsid w:val="0049636E"/>
    <w:rsid w:val="00496487"/>
    <w:rsid w:val="00496488"/>
    <w:rsid w:val="004966D8"/>
    <w:rsid w:val="0049678C"/>
    <w:rsid w:val="0049686F"/>
    <w:rsid w:val="00496A3B"/>
    <w:rsid w:val="00496B0A"/>
    <w:rsid w:val="00496D22"/>
    <w:rsid w:val="00497007"/>
    <w:rsid w:val="004970CA"/>
    <w:rsid w:val="004974A0"/>
    <w:rsid w:val="00497810"/>
    <w:rsid w:val="0049783D"/>
    <w:rsid w:val="00497E85"/>
    <w:rsid w:val="004A0026"/>
    <w:rsid w:val="004A00EE"/>
    <w:rsid w:val="004A0416"/>
    <w:rsid w:val="004A076B"/>
    <w:rsid w:val="004A08F1"/>
    <w:rsid w:val="004A0961"/>
    <w:rsid w:val="004A0EEE"/>
    <w:rsid w:val="004A11FC"/>
    <w:rsid w:val="004A164C"/>
    <w:rsid w:val="004A165C"/>
    <w:rsid w:val="004A1748"/>
    <w:rsid w:val="004A1839"/>
    <w:rsid w:val="004A1ADE"/>
    <w:rsid w:val="004A1AE3"/>
    <w:rsid w:val="004A1E44"/>
    <w:rsid w:val="004A1F56"/>
    <w:rsid w:val="004A26F0"/>
    <w:rsid w:val="004A2714"/>
    <w:rsid w:val="004A2815"/>
    <w:rsid w:val="004A29D5"/>
    <w:rsid w:val="004A2AEA"/>
    <w:rsid w:val="004A2B72"/>
    <w:rsid w:val="004A2CF9"/>
    <w:rsid w:val="004A2E62"/>
    <w:rsid w:val="004A3285"/>
    <w:rsid w:val="004A3A00"/>
    <w:rsid w:val="004A4010"/>
    <w:rsid w:val="004A4084"/>
    <w:rsid w:val="004A47BA"/>
    <w:rsid w:val="004A48AD"/>
    <w:rsid w:val="004A4D84"/>
    <w:rsid w:val="004A4FD1"/>
    <w:rsid w:val="004A5428"/>
    <w:rsid w:val="004A5496"/>
    <w:rsid w:val="004A54A3"/>
    <w:rsid w:val="004A5784"/>
    <w:rsid w:val="004A5902"/>
    <w:rsid w:val="004A5E21"/>
    <w:rsid w:val="004A5F39"/>
    <w:rsid w:val="004A6159"/>
    <w:rsid w:val="004A62DD"/>
    <w:rsid w:val="004A65B1"/>
    <w:rsid w:val="004A67FF"/>
    <w:rsid w:val="004A6A55"/>
    <w:rsid w:val="004A6AE6"/>
    <w:rsid w:val="004A6E2C"/>
    <w:rsid w:val="004A6E33"/>
    <w:rsid w:val="004A700C"/>
    <w:rsid w:val="004A71F3"/>
    <w:rsid w:val="004A7568"/>
    <w:rsid w:val="004A7866"/>
    <w:rsid w:val="004A7881"/>
    <w:rsid w:val="004A79CC"/>
    <w:rsid w:val="004A7B08"/>
    <w:rsid w:val="004A7B63"/>
    <w:rsid w:val="004A7E06"/>
    <w:rsid w:val="004A7EB7"/>
    <w:rsid w:val="004B0211"/>
    <w:rsid w:val="004B0926"/>
    <w:rsid w:val="004B0A19"/>
    <w:rsid w:val="004B0A1A"/>
    <w:rsid w:val="004B0A6C"/>
    <w:rsid w:val="004B0BB7"/>
    <w:rsid w:val="004B0EAE"/>
    <w:rsid w:val="004B0F0B"/>
    <w:rsid w:val="004B143F"/>
    <w:rsid w:val="004B1965"/>
    <w:rsid w:val="004B1B49"/>
    <w:rsid w:val="004B1D8F"/>
    <w:rsid w:val="004B1E99"/>
    <w:rsid w:val="004B2278"/>
    <w:rsid w:val="004B2C6F"/>
    <w:rsid w:val="004B2E17"/>
    <w:rsid w:val="004B2E9A"/>
    <w:rsid w:val="004B307D"/>
    <w:rsid w:val="004B362C"/>
    <w:rsid w:val="004B3F87"/>
    <w:rsid w:val="004B3FAF"/>
    <w:rsid w:val="004B4057"/>
    <w:rsid w:val="004B4094"/>
    <w:rsid w:val="004B40E6"/>
    <w:rsid w:val="004B43AB"/>
    <w:rsid w:val="004B44DE"/>
    <w:rsid w:val="004B4505"/>
    <w:rsid w:val="004B46A6"/>
    <w:rsid w:val="004B475D"/>
    <w:rsid w:val="004B4B03"/>
    <w:rsid w:val="004B4C7A"/>
    <w:rsid w:val="004B4C9E"/>
    <w:rsid w:val="004B50B6"/>
    <w:rsid w:val="004B50FC"/>
    <w:rsid w:val="004B5235"/>
    <w:rsid w:val="004B5364"/>
    <w:rsid w:val="004B540B"/>
    <w:rsid w:val="004B5410"/>
    <w:rsid w:val="004B56F5"/>
    <w:rsid w:val="004B580B"/>
    <w:rsid w:val="004B5996"/>
    <w:rsid w:val="004B5AEF"/>
    <w:rsid w:val="004B5BFB"/>
    <w:rsid w:val="004B5DA2"/>
    <w:rsid w:val="004B5DB7"/>
    <w:rsid w:val="004B5FEF"/>
    <w:rsid w:val="004B6AEE"/>
    <w:rsid w:val="004B6C4A"/>
    <w:rsid w:val="004B6DE4"/>
    <w:rsid w:val="004B6F7D"/>
    <w:rsid w:val="004B7125"/>
    <w:rsid w:val="004B7273"/>
    <w:rsid w:val="004B7824"/>
    <w:rsid w:val="004B7892"/>
    <w:rsid w:val="004B79D3"/>
    <w:rsid w:val="004B7AC9"/>
    <w:rsid w:val="004B7BD3"/>
    <w:rsid w:val="004C00D5"/>
    <w:rsid w:val="004C01A3"/>
    <w:rsid w:val="004C0204"/>
    <w:rsid w:val="004C0227"/>
    <w:rsid w:val="004C056B"/>
    <w:rsid w:val="004C07FF"/>
    <w:rsid w:val="004C0B1A"/>
    <w:rsid w:val="004C12D0"/>
    <w:rsid w:val="004C164F"/>
    <w:rsid w:val="004C1683"/>
    <w:rsid w:val="004C16A0"/>
    <w:rsid w:val="004C16F5"/>
    <w:rsid w:val="004C1B8D"/>
    <w:rsid w:val="004C1D37"/>
    <w:rsid w:val="004C2386"/>
    <w:rsid w:val="004C2406"/>
    <w:rsid w:val="004C269E"/>
    <w:rsid w:val="004C26A1"/>
    <w:rsid w:val="004C26B8"/>
    <w:rsid w:val="004C275E"/>
    <w:rsid w:val="004C2A68"/>
    <w:rsid w:val="004C2EDC"/>
    <w:rsid w:val="004C30B3"/>
    <w:rsid w:val="004C3149"/>
    <w:rsid w:val="004C321A"/>
    <w:rsid w:val="004C3237"/>
    <w:rsid w:val="004C341C"/>
    <w:rsid w:val="004C3884"/>
    <w:rsid w:val="004C3983"/>
    <w:rsid w:val="004C3AAA"/>
    <w:rsid w:val="004C3B32"/>
    <w:rsid w:val="004C3BA2"/>
    <w:rsid w:val="004C3F50"/>
    <w:rsid w:val="004C4603"/>
    <w:rsid w:val="004C4608"/>
    <w:rsid w:val="004C46A7"/>
    <w:rsid w:val="004C46EA"/>
    <w:rsid w:val="004C48AD"/>
    <w:rsid w:val="004C498D"/>
    <w:rsid w:val="004C4AAD"/>
    <w:rsid w:val="004C4B4D"/>
    <w:rsid w:val="004C4B79"/>
    <w:rsid w:val="004C531C"/>
    <w:rsid w:val="004C54D2"/>
    <w:rsid w:val="004C58B0"/>
    <w:rsid w:val="004C5B13"/>
    <w:rsid w:val="004C5ECA"/>
    <w:rsid w:val="004C6060"/>
    <w:rsid w:val="004C60BC"/>
    <w:rsid w:val="004C618C"/>
    <w:rsid w:val="004C65A9"/>
    <w:rsid w:val="004C6691"/>
    <w:rsid w:val="004C6825"/>
    <w:rsid w:val="004C6ADB"/>
    <w:rsid w:val="004C6B48"/>
    <w:rsid w:val="004C6C46"/>
    <w:rsid w:val="004C74EE"/>
    <w:rsid w:val="004C76FB"/>
    <w:rsid w:val="004C787A"/>
    <w:rsid w:val="004C7A9A"/>
    <w:rsid w:val="004C7B5C"/>
    <w:rsid w:val="004C7B8B"/>
    <w:rsid w:val="004C7C04"/>
    <w:rsid w:val="004D000C"/>
    <w:rsid w:val="004D042D"/>
    <w:rsid w:val="004D0559"/>
    <w:rsid w:val="004D0598"/>
    <w:rsid w:val="004D0806"/>
    <w:rsid w:val="004D081C"/>
    <w:rsid w:val="004D0AF7"/>
    <w:rsid w:val="004D1262"/>
    <w:rsid w:val="004D1310"/>
    <w:rsid w:val="004D16BC"/>
    <w:rsid w:val="004D16DD"/>
    <w:rsid w:val="004D1722"/>
    <w:rsid w:val="004D1D61"/>
    <w:rsid w:val="004D1F34"/>
    <w:rsid w:val="004D236F"/>
    <w:rsid w:val="004D26BE"/>
    <w:rsid w:val="004D2C75"/>
    <w:rsid w:val="004D2D7F"/>
    <w:rsid w:val="004D2FE3"/>
    <w:rsid w:val="004D30FD"/>
    <w:rsid w:val="004D3181"/>
    <w:rsid w:val="004D322B"/>
    <w:rsid w:val="004D32D8"/>
    <w:rsid w:val="004D336E"/>
    <w:rsid w:val="004D372C"/>
    <w:rsid w:val="004D3B31"/>
    <w:rsid w:val="004D3C9C"/>
    <w:rsid w:val="004D3FDA"/>
    <w:rsid w:val="004D421E"/>
    <w:rsid w:val="004D46C7"/>
    <w:rsid w:val="004D480C"/>
    <w:rsid w:val="004D4F2A"/>
    <w:rsid w:val="004D5473"/>
    <w:rsid w:val="004D561E"/>
    <w:rsid w:val="004D59D2"/>
    <w:rsid w:val="004D5A93"/>
    <w:rsid w:val="004D5AF6"/>
    <w:rsid w:val="004D5D42"/>
    <w:rsid w:val="004D62FA"/>
    <w:rsid w:val="004D658E"/>
    <w:rsid w:val="004D696A"/>
    <w:rsid w:val="004D6D9C"/>
    <w:rsid w:val="004D6DD8"/>
    <w:rsid w:val="004D7243"/>
    <w:rsid w:val="004D7269"/>
    <w:rsid w:val="004D73B3"/>
    <w:rsid w:val="004D7542"/>
    <w:rsid w:val="004D7C82"/>
    <w:rsid w:val="004D7D8F"/>
    <w:rsid w:val="004E0009"/>
    <w:rsid w:val="004E01B1"/>
    <w:rsid w:val="004E01EF"/>
    <w:rsid w:val="004E039D"/>
    <w:rsid w:val="004E08A3"/>
    <w:rsid w:val="004E0A70"/>
    <w:rsid w:val="004E0AFE"/>
    <w:rsid w:val="004E0E76"/>
    <w:rsid w:val="004E10C5"/>
    <w:rsid w:val="004E1616"/>
    <w:rsid w:val="004E19F8"/>
    <w:rsid w:val="004E1A06"/>
    <w:rsid w:val="004E1A98"/>
    <w:rsid w:val="004E1AF3"/>
    <w:rsid w:val="004E1C05"/>
    <w:rsid w:val="004E204D"/>
    <w:rsid w:val="004E20D7"/>
    <w:rsid w:val="004E2388"/>
    <w:rsid w:val="004E23E8"/>
    <w:rsid w:val="004E2705"/>
    <w:rsid w:val="004E2962"/>
    <w:rsid w:val="004E33EE"/>
    <w:rsid w:val="004E357D"/>
    <w:rsid w:val="004E35F4"/>
    <w:rsid w:val="004E3858"/>
    <w:rsid w:val="004E38AB"/>
    <w:rsid w:val="004E3A19"/>
    <w:rsid w:val="004E3A9F"/>
    <w:rsid w:val="004E3C33"/>
    <w:rsid w:val="004E3E2D"/>
    <w:rsid w:val="004E400A"/>
    <w:rsid w:val="004E47C1"/>
    <w:rsid w:val="004E4BB5"/>
    <w:rsid w:val="004E4CDC"/>
    <w:rsid w:val="004E4D5B"/>
    <w:rsid w:val="004E4EA6"/>
    <w:rsid w:val="004E4EC9"/>
    <w:rsid w:val="004E4EDA"/>
    <w:rsid w:val="004E520C"/>
    <w:rsid w:val="004E5221"/>
    <w:rsid w:val="004E5511"/>
    <w:rsid w:val="004E57C9"/>
    <w:rsid w:val="004E57FA"/>
    <w:rsid w:val="004E5B49"/>
    <w:rsid w:val="004E5E71"/>
    <w:rsid w:val="004E6841"/>
    <w:rsid w:val="004E6CD9"/>
    <w:rsid w:val="004E6F94"/>
    <w:rsid w:val="004E73C5"/>
    <w:rsid w:val="004E769D"/>
    <w:rsid w:val="004E77A4"/>
    <w:rsid w:val="004E77E9"/>
    <w:rsid w:val="004E78E6"/>
    <w:rsid w:val="004E7933"/>
    <w:rsid w:val="004E799D"/>
    <w:rsid w:val="004E7A81"/>
    <w:rsid w:val="004E7AB3"/>
    <w:rsid w:val="004E7F40"/>
    <w:rsid w:val="004F00E3"/>
    <w:rsid w:val="004F0370"/>
    <w:rsid w:val="004F0459"/>
    <w:rsid w:val="004F05D7"/>
    <w:rsid w:val="004F06B6"/>
    <w:rsid w:val="004F071B"/>
    <w:rsid w:val="004F07A2"/>
    <w:rsid w:val="004F0A18"/>
    <w:rsid w:val="004F0B02"/>
    <w:rsid w:val="004F0B24"/>
    <w:rsid w:val="004F0D41"/>
    <w:rsid w:val="004F0E09"/>
    <w:rsid w:val="004F122F"/>
    <w:rsid w:val="004F16DC"/>
    <w:rsid w:val="004F1901"/>
    <w:rsid w:val="004F1955"/>
    <w:rsid w:val="004F19B9"/>
    <w:rsid w:val="004F1EEC"/>
    <w:rsid w:val="004F1FAC"/>
    <w:rsid w:val="004F20D5"/>
    <w:rsid w:val="004F2439"/>
    <w:rsid w:val="004F245E"/>
    <w:rsid w:val="004F29CE"/>
    <w:rsid w:val="004F2C42"/>
    <w:rsid w:val="004F2D43"/>
    <w:rsid w:val="004F2ECF"/>
    <w:rsid w:val="004F2F92"/>
    <w:rsid w:val="004F3469"/>
    <w:rsid w:val="004F396A"/>
    <w:rsid w:val="004F3A46"/>
    <w:rsid w:val="004F3D1C"/>
    <w:rsid w:val="004F3DA8"/>
    <w:rsid w:val="004F3EDA"/>
    <w:rsid w:val="004F4055"/>
    <w:rsid w:val="004F408E"/>
    <w:rsid w:val="004F41E7"/>
    <w:rsid w:val="004F48CA"/>
    <w:rsid w:val="004F4DC6"/>
    <w:rsid w:val="004F4E47"/>
    <w:rsid w:val="004F4F38"/>
    <w:rsid w:val="004F5271"/>
    <w:rsid w:val="004F54AC"/>
    <w:rsid w:val="004F58B3"/>
    <w:rsid w:val="004F59DD"/>
    <w:rsid w:val="004F5A2B"/>
    <w:rsid w:val="004F5B65"/>
    <w:rsid w:val="004F6565"/>
    <w:rsid w:val="004F6725"/>
    <w:rsid w:val="004F674C"/>
    <w:rsid w:val="004F68E9"/>
    <w:rsid w:val="004F69C2"/>
    <w:rsid w:val="004F6A87"/>
    <w:rsid w:val="004F70A7"/>
    <w:rsid w:val="004F70AF"/>
    <w:rsid w:val="004F72DB"/>
    <w:rsid w:val="004F72E2"/>
    <w:rsid w:val="004F7A2C"/>
    <w:rsid w:val="004F7B24"/>
    <w:rsid w:val="004F7DF6"/>
    <w:rsid w:val="004F7F93"/>
    <w:rsid w:val="00500185"/>
    <w:rsid w:val="005009A4"/>
    <w:rsid w:val="00500B4B"/>
    <w:rsid w:val="00500DD1"/>
    <w:rsid w:val="00500E92"/>
    <w:rsid w:val="00501053"/>
    <w:rsid w:val="0050107C"/>
    <w:rsid w:val="0050109F"/>
    <w:rsid w:val="0050134B"/>
    <w:rsid w:val="005013BC"/>
    <w:rsid w:val="005014D7"/>
    <w:rsid w:val="00501531"/>
    <w:rsid w:val="0050166D"/>
    <w:rsid w:val="00501870"/>
    <w:rsid w:val="00501AD1"/>
    <w:rsid w:val="00501DF5"/>
    <w:rsid w:val="00501E5F"/>
    <w:rsid w:val="005020BE"/>
    <w:rsid w:val="00502162"/>
    <w:rsid w:val="00502301"/>
    <w:rsid w:val="00502730"/>
    <w:rsid w:val="005027A3"/>
    <w:rsid w:val="005028AF"/>
    <w:rsid w:val="00502D1F"/>
    <w:rsid w:val="00502D35"/>
    <w:rsid w:val="00502F66"/>
    <w:rsid w:val="00502F74"/>
    <w:rsid w:val="0050312E"/>
    <w:rsid w:val="0050315B"/>
    <w:rsid w:val="00503D3E"/>
    <w:rsid w:val="00504186"/>
    <w:rsid w:val="0050418B"/>
    <w:rsid w:val="005044F3"/>
    <w:rsid w:val="0050480C"/>
    <w:rsid w:val="00504C32"/>
    <w:rsid w:val="00504C4B"/>
    <w:rsid w:val="00505659"/>
    <w:rsid w:val="005058B6"/>
    <w:rsid w:val="00505B2B"/>
    <w:rsid w:val="00505D02"/>
    <w:rsid w:val="00505E40"/>
    <w:rsid w:val="005060BC"/>
    <w:rsid w:val="005060D2"/>
    <w:rsid w:val="005063C6"/>
    <w:rsid w:val="00506549"/>
    <w:rsid w:val="00506845"/>
    <w:rsid w:val="00506989"/>
    <w:rsid w:val="0050698D"/>
    <w:rsid w:val="00506A75"/>
    <w:rsid w:val="00506C41"/>
    <w:rsid w:val="00506C9F"/>
    <w:rsid w:val="00506E28"/>
    <w:rsid w:val="00506E59"/>
    <w:rsid w:val="00506E73"/>
    <w:rsid w:val="00506FA8"/>
    <w:rsid w:val="0050726D"/>
    <w:rsid w:val="0050735C"/>
    <w:rsid w:val="005073A6"/>
    <w:rsid w:val="0050758A"/>
    <w:rsid w:val="00507891"/>
    <w:rsid w:val="00507B1B"/>
    <w:rsid w:val="00507E3A"/>
    <w:rsid w:val="00507F02"/>
    <w:rsid w:val="005109C2"/>
    <w:rsid w:val="00510FF0"/>
    <w:rsid w:val="0051116F"/>
    <w:rsid w:val="005115D6"/>
    <w:rsid w:val="005119C4"/>
    <w:rsid w:val="00511DDC"/>
    <w:rsid w:val="00511E91"/>
    <w:rsid w:val="00511FF8"/>
    <w:rsid w:val="00512068"/>
    <w:rsid w:val="0051237B"/>
    <w:rsid w:val="00512457"/>
    <w:rsid w:val="005126C8"/>
    <w:rsid w:val="00512A2E"/>
    <w:rsid w:val="00512BBF"/>
    <w:rsid w:val="00512FF1"/>
    <w:rsid w:val="00513345"/>
    <w:rsid w:val="00513409"/>
    <w:rsid w:val="00513503"/>
    <w:rsid w:val="0051356F"/>
    <w:rsid w:val="00513CAA"/>
    <w:rsid w:val="00513D42"/>
    <w:rsid w:val="00513D5B"/>
    <w:rsid w:val="00513E63"/>
    <w:rsid w:val="00513EDD"/>
    <w:rsid w:val="0051471F"/>
    <w:rsid w:val="00514770"/>
    <w:rsid w:val="005147EE"/>
    <w:rsid w:val="00514A1D"/>
    <w:rsid w:val="00514B6D"/>
    <w:rsid w:val="00514EA6"/>
    <w:rsid w:val="00515113"/>
    <w:rsid w:val="005154E1"/>
    <w:rsid w:val="0051558D"/>
    <w:rsid w:val="005155BD"/>
    <w:rsid w:val="00515762"/>
    <w:rsid w:val="00515A2B"/>
    <w:rsid w:val="00515BC5"/>
    <w:rsid w:val="00516171"/>
    <w:rsid w:val="005161C2"/>
    <w:rsid w:val="00516299"/>
    <w:rsid w:val="0051668C"/>
    <w:rsid w:val="005167C8"/>
    <w:rsid w:val="005167FA"/>
    <w:rsid w:val="00516916"/>
    <w:rsid w:val="00516D55"/>
    <w:rsid w:val="00516DC2"/>
    <w:rsid w:val="005171A5"/>
    <w:rsid w:val="00517BA2"/>
    <w:rsid w:val="00517D1F"/>
    <w:rsid w:val="0052009F"/>
    <w:rsid w:val="005200F7"/>
    <w:rsid w:val="00520D08"/>
    <w:rsid w:val="00520F58"/>
    <w:rsid w:val="00521403"/>
    <w:rsid w:val="005214BC"/>
    <w:rsid w:val="0052164F"/>
    <w:rsid w:val="00521A2D"/>
    <w:rsid w:val="00521B31"/>
    <w:rsid w:val="00521BC8"/>
    <w:rsid w:val="0052228E"/>
    <w:rsid w:val="005222DE"/>
    <w:rsid w:val="00522A17"/>
    <w:rsid w:val="00522EF4"/>
    <w:rsid w:val="0052318D"/>
    <w:rsid w:val="00523204"/>
    <w:rsid w:val="00523390"/>
    <w:rsid w:val="00523393"/>
    <w:rsid w:val="0052342E"/>
    <w:rsid w:val="00523AFC"/>
    <w:rsid w:val="00523D6A"/>
    <w:rsid w:val="00523DA0"/>
    <w:rsid w:val="0052429D"/>
    <w:rsid w:val="00524411"/>
    <w:rsid w:val="0052478B"/>
    <w:rsid w:val="005253D7"/>
    <w:rsid w:val="005258E4"/>
    <w:rsid w:val="005259A9"/>
    <w:rsid w:val="00525FC8"/>
    <w:rsid w:val="0052617E"/>
    <w:rsid w:val="0052635F"/>
    <w:rsid w:val="00526361"/>
    <w:rsid w:val="00526446"/>
    <w:rsid w:val="00526626"/>
    <w:rsid w:val="0052670F"/>
    <w:rsid w:val="005267D9"/>
    <w:rsid w:val="00526E28"/>
    <w:rsid w:val="00526F04"/>
    <w:rsid w:val="00526FA0"/>
    <w:rsid w:val="005271CD"/>
    <w:rsid w:val="005272AE"/>
    <w:rsid w:val="00527588"/>
    <w:rsid w:val="005275ED"/>
    <w:rsid w:val="005277D5"/>
    <w:rsid w:val="00527A8E"/>
    <w:rsid w:val="00527C27"/>
    <w:rsid w:val="00527E41"/>
    <w:rsid w:val="00527E71"/>
    <w:rsid w:val="005303D2"/>
    <w:rsid w:val="00530722"/>
    <w:rsid w:val="00530A62"/>
    <w:rsid w:val="00530E8E"/>
    <w:rsid w:val="00531270"/>
    <w:rsid w:val="00531671"/>
    <w:rsid w:val="00531686"/>
    <w:rsid w:val="005317BD"/>
    <w:rsid w:val="005317DE"/>
    <w:rsid w:val="005318EE"/>
    <w:rsid w:val="00531A8C"/>
    <w:rsid w:val="00531BC2"/>
    <w:rsid w:val="00531F1E"/>
    <w:rsid w:val="005320E9"/>
    <w:rsid w:val="005322B7"/>
    <w:rsid w:val="00532670"/>
    <w:rsid w:val="00532EB8"/>
    <w:rsid w:val="00532F5C"/>
    <w:rsid w:val="00533437"/>
    <w:rsid w:val="00533634"/>
    <w:rsid w:val="00533A04"/>
    <w:rsid w:val="00533A58"/>
    <w:rsid w:val="00533C36"/>
    <w:rsid w:val="00533CA7"/>
    <w:rsid w:val="00533F97"/>
    <w:rsid w:val="00534015"/>
    <w:rsid w:val="005343DE"/>
    <w:rsid w:val="00534453"/>
    <w:rsid w:val="0053449A"/>
    <w:rsid w:val="00534546"/>
    <w:rsid w:val="00534761"/>
    <w:rsid w:val="0053485C"/>
    <w:rsid w:val="00534964"/>
    <w:rsid w:val="00534BCA"/>
    <w:rsid w:val="00534CA9"/>
    <w:rsid w:val="0053500B"/>
    <w:rsid w:val="00535205"/>
    <w:rsid w:val="00535269"/>
    <w:rsid w:val="00535A2C"/>
    <w:rsid w:val="00535DAA"/>
    <w:rsid w:val="0053616C"/>
    <w:rsid w:val="0053634B"/>
    <w:rsid w:val="00536508"/>
    <w:rsid w:val="00536836"/>
    <w:rsid w:val="005369A5"/>
    <w:rsid w:val="00536C63"/>
    <w:rsid w:val="00536D50"/>
    <w:rsid w:val="00536E05"/>
    <w:rsid w:val="005376A8"/>
    <w:rsid w:val="00537723"/>
    <w:rsid w:val="00537B28"/>
    <w:rsid w:val="00537C96"/>
    <w:rsid w:val="00537DB1"/>
    <w:rsid w:val="00537EFE"/>
    <w:rsid w:val="00537F3F"/>
    <w:rsid w:val="00540251"/>
    <w:rsid w:val="005402FE"/>
    <w:rsid w:val="005408FC"/>
    <w:rsid w:val="00540EEE"/>
    <w:rsid w:val="0054102F"/>
    <w:rsid w:val="00541194"/>
    <w:rsid w:val="00541238"/>
    <w:rsid w:val="0054164C"/>
    <w:rsid w:val="00541AD8"/>
    <w:rsid w:val="00541BBD"/>
    <w:rsid w:val="00541BFE"/>
    <w:rsid w:val="00541C3D"/>
    <w:rsid w:val="00542155"/>
    <w:rsid w:val="005421CF"/>
    <w:rsid w:val="00542215"/>
    <w:rsid w:val="00542445"/>
    <w:rsid w:val="00542633"/>
    <w:rsid w:val="005428D2"/>
    <w:rsid w:val="0054298D"/>
    <w:rsid w:val="005429C0"/>
    <w:rsid w:val="00542A2B"/>
    <w:rsid w:val="00542A3B"/>
    <w:rsid w:val="00542B29"/>
    <w:rsid w:val="00542F00"/>
    <w:rsid w:val="00542F98"/>
    <w:rsid w:val="00543012"/>
    <w:rsid w:val="00543026"/>
    <w:rsid w:val="00543648"/>
    <w:rsid w:val="0054387E"/>
    <w:rsid w:val="0054396A"/>
    <w:rsid w:val="00543A02"/>
    <w:rsid w:val="00543A0C"/>
    <w:rsid w:val="00544852"/>
    <w:rsid w:val="00544B93"/>
    <w:rsid w:val="00544CB6"/>
    <w:rsid w:val="00545014"/>
    <w:rsid w:val="005450DC"/>
    <w:rsid w:val="005451BA"/>
    <w:rsid w:val="00545414"/>
    <w:rsid w:val="005454FE"/>
    <w:rsid w:val="00545769"/>
    <w:rsid w:val="005458E9"/>
    <w:rsid w:val="00545CA2"/>
    <w:rsid w:val="00545D52"/>
    <w:rsid w:val="00545FFD"/>
    <w:rsid w:val="00546076"/>
    <w:rsid w:val="005461D4"/>
    <w:rsid w:val="0054621C"/>
    <w:rsid w:val="00546409"/>
    <w:rsid w:val="0054683B"/>
    <w:rsid w:val="005469FC"/>
    <w:rsid w:val="00546B9D"/>
    <w:rsid w:val="00546C97"/>
    <w:rsid w:val="00546DD6"/>
    <w:rsid w:val="00546EF0"/>
    <w:rsid w:val="005470A4"/>
    <w:rsid w:val="005475E4"/>
    <w:rsid w:val="00547BB5"/>
    <w:rsid w:val="00550329"/>
    <w:rsid w:val="00550559"/>
    <w:rsid w:val="00550973"/>
    <w:rsid w:val="00550A8D"/>
    <w:rsid w:val="00550CEB"/>
    <w:rsid w:val="00550D34"/>
    <w:rsid w:val="00551233"/>
    <w:rsid w:val="005513D9"/>
    <w:rsid w:val="0055146F"/>
    <w:rsid w:val="005515BE"/>
    <w:rsid w:val="005519D7"/>
    <w:rsid w:val="00551EF5"/>
    <w:rsid w:val="00551FBB"/>
    <w:rsid w:val="0055210E"/>
    <w:rsid w:val="00552352"/>
    <w:rsid w:val="0055236F"/>
    <w:rsid w:val="0055259F"/>
    <w:rsid w:val="005527F3"/>
    <w:rsid w:val="00552A71"/>
    <w:rsid w:val="00552AB5"/>
    <w:rsid w:val="00552D6B"/>
    <w:rsid w:val="00552D83"/>
    <w:rsid w:val="00552E42"/>
    <w:rsid w:val="00552FD9"/>
    <w:rsid w:val="00553064"/>
    <w:rsid w:val="005531A6"/>
    <w:rsid w:val="005534C0"/>
    <w:rsid w:val="005534E4"/>
    <w:rsid w:val="00553844"/>
    <w:rsid w:val="0055396A"/>
    <w:rsid w:val="00553B87"/>
    <w:rsid w:val="00553C18"/>
    <w:rsid w:val="00553EDB"/>
    <w:rsid w:val="00554046"/>
    <w:rsid w:val="00554091"/>
    <w:rsid w:val="0055426A"/>
    <w:rsid w:val="005543AF"/>
    <w:rsid w:val="0055445E"/>
    <w:rsid w:val="00554665"/>
    <w:rsid w:val="005549C7"/>
    <w:rsid w:val="005550C4"/>
    <w:rsid w:val="00555111"/>
    <w:rsid w:val="00555363"/>
    <w:rsid w:val="005553D1"/>
    <w:rsid w:val="00555465"/>
    <w:rsid w:val="005558B4"/>
    <w:rsid w:val="005559A3"/>
    <w:rsid w:val="00555C71"/>
    <w:rsid w:val="00555DEE"/>
    <w:rsid w:val="0055655F"/>
    <w:rsid w:val="00556893"/>
    <w:rsid w:val="005568F2"/>
    <w:rsid w:val="00556ED0"/>
    <w:rsid w:val="005578B6"/>
    <w:rsid w:val="00557A40"/>
    <w:rsid w:val="00557E7C"/>
    <w:rsid w:val="00557EAB"/>
    <w:rsid w:val="00557F54"/>
    <w:rsid w:val="0056018F"/>
    <w:rsid w:val="00560ABB"/>
    <w:rsid w:val="00560B8C"/>
    <w:rsid w:val="00560D7E"/>
    <w:rsid w:val="00560F36"/>
    <w:rsid w:val="00560FED"/>
    <w:rsid w:val="00561153"/>
    <w:rsid w:val="005611AD"/>
    <w:rsid w:val="005614BD"/>
    <w:rsid w:val="00561593"/>
    <w:rsid w:val="00561770"/>
    <w:rsid w:val="00561C74"/>
    <w:rsid w:val="00561ED4"/>
    <w:rsid w:val="00561F7D"/>
    <w:rsid w:val="00562700"/>
    <w:rsid w:val="00562835"/>
    <w:rsid w:val="00562DEE"/>
    <w:rsid w:val="00562E3B"/>
    <w:rsid w:val="00563092"/>
    <w:rsid w:val="00563117"/>
    <w:rsid w:val="0056317B"/>
    <w:rsid w:val="0056319B"/>
    <w:rsid w:val="005637EA"/>
    <w:rsid w:val="005638CF"/>
    <w:rsid w:val="0056415C"/>
    <w:rsid w:val="00564321"/>
    <w:rsid w:val="00564376"/>
    <w:rsid w:val="00564420"/>
    <w:rsid w:val="005646B9"/>
    <w:rsid w:val="00564945"/>
    <w:rsid w:val="0056545E"/>
    <w:rsid w:val="005655DA"/>
    <w:rsid w:val="0056579C"/>
    <w:rsid w:val="0056595E"/>
    <w:rsid w:val="00565B63"/>
    <w:rsid w:val="00565C48"/>
    <w:rsid w:val="00565D0F"/>
    <w:rsid w:val="00565E19"/>
    <w:rsid w:val="00565E20"/>
    <w:rsid w:val="00565FA5"/>
    <w:rsid w:val="00566389"/>
    <w:rsid w:val="0056638C"/>
    <w:rsid w:val="00566417"/>
    <w:rsid w:val="00566528"/>
    <w:rsid w:val="005665D8"/>
    <w:rsid w:val="005667F7"/>
    <w:rsid w:val="00566850"/>
    <w:rsid w:val="00566930"/>
    <w:rsid w:val="00566EB6"/>
    <w:rsid w:val="00567740"/>
    <w:rsid w:val="00567916"/>
    <w:rsid w:val="00567976"/>
    <w:rsid w:val="00567DBC"/>
    <w:rsid w:val="00567E40"/>
    <w:rsid w:val="00570013"/>
    <w:rsid w:val="00570089"/>
    <w:rsid w:val="005700AA"/>
    <w:rsid w:val="005704F6"/>
    <w:rsid w:val="0057063E"/>
    <w:rsid w:val="00570898"/>
    <w:rsid w:val="00570DA4"/>
    <w:rsid w:val="00570E3F"/>
    <w:rsid w:val="005711CF"/>
    <w:rsid w:val="00571281"/>
    <w:rsid w:val="005714C2"/>
    <w:rsid w:val="0057159E"/>
    <w:rsid w:val="005715B5"/>
    <w:rsid w:val="005717C4"/>
    <w:rsid w:val="00571855"/>
    <w:rsid w:val="00571C15"/>
    <w:rsid w:val="00571D94"/>
    <w:rsid w:val="00571DB1"/>
    <w:rsid w:val="00571DE0"/>
    <w:rsid w:val="00571E30"/>
    <w:rsid w:val="0057208C"/>
    <w:rsid w:val="00572450"/>
    <w:rsid w:val="005725E3"/>
    <w:rsid w:val="005728CB"/>
    <w:rsid w:val="00572F15"/>
    <w:rsid w:val="005734A6"/>
    <w:rsid w:val="0057358C"/>
    <w:rsid w:val="00573641"/>
    <w:rsid w:val="00573840"/>
    <w:rsid w:val="005738A4"/>
    <w:rsid w:val="00573F8B"/>
    <w:rsid w:val="00574136"/>
    <w:rsid w:val="00574412"/>
    <w:rsid w:val="00574A78"/>
    <w:rsid w:val="00574D3D"/>
    <w:rsid w:val="00574E7C"/>
    <w:rsid w:val="00574FB7"/>
    <w:rsid w:val="00574FBE"/>
    <w:rsid w:val="00575096"/>
    <w:rsid w:val="005751D6"/>
    <w:rsid w:val="00575229"/>
    <w:rsid w:val="0057532F"/>
    <w:rsid w:val="00575659"/>
    <w:rsid w:val="00575663"/>
    <w:rsid w:val="0057579A"/>
    <w:rsid w:val="00575866"/>
    <w:rsid w:val="00575910"/>
    <w:rsid w:val="00575954"/>
    <w:rsid w:val="00575B0E"/>
    <w:rsid w:val="00575D4B"/>
    <w:rsid w:val="00575E6F"/>
    <w:rsid w:val="00575ED3"/>
    <w:rsid w:val="00575FF9"/>
    <w:rsid w:val="00576288"/>
    <w:rsid w:val="00576471"/>
    <w:rsid w:val="00576576"/>
    <w:rsid w:val="005765EE"/>
    <w:rsid w:val="005767B3"/>
    <w:rsid w:val="005768F2"/>
    <w:rsid w:val="005769B6"/>
    <w:rsid w:val="00576C15"/>
    <w:rsid w:val="00576C62"/>
    <w:rsid w:val="00576D90"/>
    <w:rsid w:val="00576DDD"/>
    <w:rsid w:val="00576DE9"/>
    <w:rsid w:val="00577113"/>
    <w:rsid w:val="00577241"/>
    <w:rsid w:val="00577746"/>
    <w:rsid w:val="00577912"/>
    <w:rsid w:val="0058017C"/>
    <w:rsid w:val="005804F2"/>
    <w:rsid w:val="005804F7"/>
    <w:rsid w:val="00580930"/>
    <w:rsid w:val="00580EF2"/>
    <w:rsid w:val="00581076"/>
    <w:rsid w:val="0058156F"/>
    <w:rsid w:val="005816D0"/>
    <w:rsid w:val="005817D6"/>
    <w:rsid w:val="00581BB3"/>
    <w:rsid w:val="00581C11"/>
    <w:rsid w:val="00581C8A"/>
    <w:rsid w:val="00581E27"/>
    <w:rsid w:val="00581FD9"/>
    <w:rsid w:val="00582210"/>
    <w:rsid w:val="005823CC"/>
    <w:rsid w:val="00582731"/>
    <w:rsid w:val="00582D99"/>
    <w:rsid w:val="00582E5D"/>
    <w:rsid w:val="0058321F"/>
    <w:rsid w:val="00583426"/>
    <w:rsid w:val="0058360A"/>
    <w:rsid w:val="00583696"/>
    <w:rsid w:val="005843AC"/>
    <w:rsid w:val="005846EB"/>
    <w:rsid w:val="005848F7"/>
    <w:rsid w:val="00584B00"/>
    <w:rsid w:val="00584C29"/>
    <w:rsid w:val="00584DDC"/>
    <w:rsid w:val="00585065"/>
    <w:rsid w:val="0058506B"/>
    <w:rsid w:val="005850D1"/>
    <w:rsid w:val="00585183"/>
    <w:rsid w:val="005851A7"/>
    <w:rsid w:val="005853C3"/>
    <w:rsid w:val="005855FE"/>
    <w:rsid w:val="0058564F"/>
    <w:rsid w:val="00585812"/>
    <w:rsid w:val="005859FD"/>
    <w:rsid w:val="00585DE5"/>
    <w:rsid w:val="0058617E"/>
    <w:rsid w:val="005863B7"/>
    <w:rsid w:val="0058691D"/>
    <w:rsid w:val="00586BC8"/>
    <w:rsid w:val="00586CAE"/>
    <w:rsid w:val="00586F6D"/>
    <w:rsid w:val="005871BD"/>
    <w:rsid w:val="00587474"/>
    <w:rsid w:val="00587711"/>
    <w:rsid w:val="0058771E"/>
    <w:rsid w:val="0058786C"/>
    <w:rsid w:val="005879FD"/>
    <w:rsid w:val="00587BC2"/>
    <w:rsid w:val="00587D75"/>
    <w:rsid w:val="00587DEF"/>
    <w:rsid w:val="00590401"/>
    <w:rsid w:val="00590405"/>
    <w:rsid w:val="00590479"/>
    <w:rsid w:val="00590716"/>
    <w:rsid w:val="00590A01"/>
    <w:rsid w:val="00590B53"/>
    <w:rsid w:val="00590CC3"/>
    <w:rsid w:val="00590E41"/>
    <w:rsid w:val="00591308"/>
    <w:rsid w:val="00591378"/>
    <w:rsid w:val="00591459"/>
    <w:rsid w:val="005919BA"/>
    <w:rsid w:val="005927F3"/>
    <w:rsid w:val="0059295A"/>
    <w:rsid w:val="00592D13"/>
    <w:rsid w:val="005931B0"/>
    <w:rsid w:val="005933E2"/>
    <w:rsid w:val="00593951"/>
    <w:rsid w:val="00593B97"/>
    <w:rsid w:val="00593CD4"/>
    <w:rsid w:val="00594000"/>
    <w:rsid w:val="0059406E"/>
    <w:rsid w:val="005942C7"/>
    <w:rsid w:val="00594792"/>
    <w:rsid w:val="0059479E"/>
    <w:rsid w:val="005947B2"/>
    <w:rsid w:val="00594A64"/>
    <w:rsid w:val="00595339"/>
    <w:rsid w:val="005956E9"/>
    <w:rsid w:val="0059594A"/>
    <w:rsid w:val="00595956"/>
    <w:rsid w:val="00595A10"/>
    <w:rsid w:val="00595C31"/>
    <w:rsid w:val="00596102"/>
    <w:rsid w:val="005961CD"/>
    <w:rsid w:val="005961DD"/>
    <w:rsid w:val="005961DF"/>
    <w:rsid w:val="005965A6"/>
    <w:rsid w:val="005966E4"/>
    <w:rsid w:val="0059676E"/>
    <w:rsid w:val="00596773"/>
    <w:rsid w:val="00596CFA"/>
    <w:rsid w:val="00596F0D"/>
    <w:rsid w:val="00597046"/>
    <w:rsid w:val="0059710C"/>
    <w:rsid w:val="005975A3"/>
    <w:rsid w:val="005978F2"/>
    <w:rsid w:val="00597DE4"/>
    <w:rsid w:val="005A01C6"/>
    <w:rsid w:val="005A06E1"/>
    <w:rsid w:val="005A085F"/>
    <w:rsid w:val="005A0B65"/>
    <w:rsid w:val="005A0E34"/>
    <w:rsid w:val="005A100F"/>
    <w:rsid w:val="005A1093"/>
    <w:rsid w:val="005A128B"/>
    <w:rsid w:val="005A173E"/>
    <w:rsid w:val="005A1966"/>
    <w:rsid w:val="005A1CDE"/>
    <w:rsid w:val="005A1E54"/>
    <w:rsid w:val="005A20D7"/>
    <w:rsid w:val="005A218F"/>
    <w:rsid w:val="005A248A"/>
    <w:rsid w:val="005A2514"/>
    <w:rsid w:val="005A266D"/>
    <w:rsid w:val="005A282F"/>
    <w:rsid w:val="005A299D"/>
    <w:rsid w:val="005A2BEE"/>
    <w:rsid w:val="005A2E71"/>
    <w:rsid w:val="005A2E77"/>
    <w:rsid w:val="005A2F5F"/>
    <w:rsid w:val="005A3755"/>
    <w:rsid w:val="005A3891"/>
    <w:rsid w:val="005A3DF3"/>
    <w:rsid w:val="005A3E21"/>
    <w:rsid w:val="005A406C"/>
    <w:rsid w:val="005A4565"/>
    <w:rsid w:val="005A4620"/>
    <w:rsid w:val="005A47F9"/>
    <w:rsid w:val="005A4A6B"/>
    <w:rsid w:val="005A4EE0"/>
    <w:rsid w:val="005A531C"/>
    <w:rsid w:val="005A5398"/>
    <w:rsid w:val="005A5435"/>
    <w:rsid w:val="005A553D"/>
    <w:rsid w:val="005A570A"/>
    <w:rsid w:val="005A574F"/>
    <w:rsid w:val="005A5778"/>
    <w:rsid w:val="005A58ED"/>
    <w:rsid w:val="005A5992"/>
    <w:rsid w:val="005A5C71"/>
    <w:rsid w:val="005A5D71"/>
    <w:rsid w:val="005A5FA0"/>
    <w:rsid w:val="005A614C"/>
    <w:rsid w:val="005A64B5"/>
    <w:rsid w:val="005A6606"/>
    <w:rsid w:val="005A685A"/>
    <w:rsid w:val="005A6B37"/>
    <w:rsid w:val="005A6B62"/>
    <w:rsid w:val="005A6E54"/>
    <w:rsid w:val="005A6FD4"/>
    <w:rsid w:val="005A6FFF"/>
    <w:rsid w:val="005A7388"/>
    <w:rsid w:val="005A739B"/>
    <w:rsid w:val="005A75ED"/>
    <w:rsid w:val="005A7807"/>
    <w:rsid w:val="005A7B47"/>
    <w:rsid w:val="005A7D03"/>
    <w:rsid w:val="005B0268"/>
    <w:rsid w:val="005B03A8"/>
    <w:rsid w:val="005B069F"/>
    <w:rsid w:val="005B086D"/>
    <w:rsid w:val="005B08C5"/>
    <w:rsid w:val="005B0B0B"/>
    <w:rsid w:val="005B1058"/>
    <w:rsid w:val="005B146D"/>
    <w:rsid w:val="005B1AD0"/>
    <w:rsid w:val="005B1CB6"/>
    <w:rsid w:val="005B1D87"/>
    <w:rsid w:val="005B1F14"/>
    <w:rsid w:val="005B20BB"/>
    <w:rsid w:val="005B27FB"/>
    <w:rsid w:val="005B2DCA"/>
    <w:rsid w:val="005B2F13"/>
    <w:rsid w:val="005B3028"/>
    <w:rsid w:val="005B32AA"/>
    <w:rsid w:val="005B32F0"/>
    <w:rsid w:val="005B35BE"/>
    <w:rsid w:val="005B3C89"/>
    <w:rsid w:val="005B3D49"/>
    <w:rsid w:val="005B40AA"/>
    <w:rsid w:val="005B4D0F"/>
    <w:rsid w:val="005B4D67"/>
    <w:rsid w:val="005B4DD4"/>
    <w:rsid w:val="005B4EEC"/>
    <w:rsid w:val="005B4FB8"/>
    <w:rsid w:val="005B51BD"/>
    <w:rsid w:val="005B51C1"/>
    <w:rsid w:val="005B535F"/>
    <w:rsid w:val="005B5445"/>
    <w:rsid w:val="005B5684"/>
    <w:rsid w:val="005B56F5"/>
    <w:rsid w:val="005B5878"/>
    <w:rsid w:val="005B5F4D"/>
    <w:rsid w:val="005B5FC4"/>
    <w:rsid w:val="005B66BE"/>
    <w:rsid w:val="005B6819"/>
    <w:rsid w:val="005B68A3"/>
    <w:rsid w:val="005B6AA3"/>
    <w:rsid w:val="005B729E"/>
    <w:rsid w:val="005B778D"/>
    <w:rsid w:val="005B79A0"/>
    <w:rsid w:val="005B7AC3"/>
    <w:rsid w:val="005B7D36"/>
    <w:rsid w:val="005B7EF0"/>
    <w:rsid w:val="005C028F"/>
    <w:rsid w:val="005C050D"/>
    <w:rsid w:val="005C0725"/>
    <w:rsid w:val="005C0774"/>
    <w:rsid w:val="005C0847"/>
    <w:rsid w:val="005C0860"/>
    <w:rsid w:val="005C08B9"/>
    <w:rsid w:val="005C09D4"/>
    <w:rsid w:val="005C0AE2"/>
    <w:rsid w:val="005C0DB6"/>
    <w:rsid w:val="005C1229"/>
    <w:rsid w:val="005C131F"/>
    <w:rsid w:val="005C137B"/>
    <w:rsid w:val="005C158D"/>
    <w:rsid w:val="005C185F"/>
    <w:rsid w:val="005C1AD6"/>
    <w:rsid w:val="005C1B05"/>
    <w:rsid w:val="005C1B4B"/>
    <w:rsid w:val="005C1C08"/>
    <w:rsid w:val="005C1D93"/>
    <w:rsid w:val="005C1EE1"/>
    <w:rsid w:val="005C1EE9"/>
    <w:rsid w:val="005C208E"/>
    <w:rsid w:val="005C220F"/>
    <w:rsid w:val="005C2373"/>
    <w:rsid w:val="005C2836"/>
    <w:rsid w:val="005C28EC"/>
    <w:rsid w:val="005C2BE3"/>
    <w:rsid w:val="005C2D91"/>
    <w:rsid w:val="005C3045"/>
    <w:rsid w:val="005C3052"/>
    <w:rsid w:val="005C356A"/>
    <w:rsid w:val="005C36D4"/>
    <w:rsid w:val="005C382D"/>
    <w:rsid w:val="005C38A2"/>
    <w:rsid w:val="005C3A5A"/>
    <w:rsid w:val="005C3AF6"/>
    <w:rsid w:val="005C3C8B"/>
    <w:rsid w:val="005C3D2D"/>
    <w:rsid w:val="005C3E0F"/>
    <w:rsid w:val="005C425A"/>
    <w:rsid w:val="005C43F1"/>
    <w:rsid w:val="005C447F"/>
    <w:rsid w:val="005C4562"/>
    <w:rsid w:val="005C460B"/>
    <w:rsid w:val="005C490F"/>
    <w:rsid w:val="005C496F"/>
    <w:rsid w:val="005C4FAB"/>
    <w:rsid w:val="005C4FBE"/>
    <w:rsid w:val="005C52AB"/>
    <w:rsid w:val="005C59CB"/>
    <w:rsid w:val="005C59F8"/>
    <w:rsid w:val="005C5A68"/>
    <w:rsid w:val="005C5B44"/>
    <w:rsid w:val="005C5C03"/>
    <w:rsid w:val="005C5F17"/>
    <w:rsid w:val="005C6BAE"/>
    <w:rsid w:val="005C6BE0"/>
    <w:rsid w:val="005C6F16"/>
    <w:rsid w:val="005C7274"/>
    <w:rsid w:val="005C7446"/>
    <w:rsid w:val="005C76D8"/>
    <w:rsid w:val="005C7921"/>
    <w:rsid w:val="005C7A0F"/>
    <w:rsid w:val="005C7CA1"/>
    <w:rsid w:val="005C7E33"/>
    <w:rsid w:val="005D0148"/>
    <w:rsid w:val="005D0220"/>
    <w:rsid w:val="005D0361"/>
    <w:rsid w:val="005D048A"/>
    <w:rsid w:val="005D053D"/>
    <w:rsid w:val="005D0907"/>
    <w:rsid w:val="005D0BC9"/>
    <w:rsid w:val="005D0C5A"/>
    <w:rsid w:val="005D0D1A"/>
    <w:rsid w:val="005D0D9B"/>
    <w:rsid w:val="005D0E40"/>
    <w:rsid w:val="005D0FF5"/>
    <w:rsid w:val="005D114D"/>
    <w:rsid w:val="005D134C"/>
    <w:rsid w:val="005D14FF"/>
    <w:rsid w:val="005D1710"/>
    <w:rsid w:val="005D1721"/>
    <w:rsid w:val="005D1C7E"/>
    <w:rsid w:val="005D1E60"/>
    <w:rsid w:val="005D264A"/>
    <w:rsid w:val="005D2826"/>
    <w:rsid w:val="005D285C"/>
    <w:rsid w:val="005D2974"/>
    <w:rsid w:val="005D2993"/>
    <w:rsid w:val="005D2A20"/>
    <w:rsid w:val="005D2EA2"/>
    <w:rsid w:val="005D2EB0"/>
    <w:rsid w:val="005D2F25"/>
    <w:rsid w:val="005D3108"/>
    <w:rsid w:val="005D357A"/>
    <w:rsid w:val="005D36CB"/>
    <w:rsid w:val="005D36E9"/>
    <w:rsid w:val="005D3702"/>
    <w:rsid w:val="005D37C5"/>
    <w:rsid w:val="005D39E9"/>
    <w:rsid w:val="005D3E0C"/>
    <w:rsid w:val="005D45DF"/>
    <w:rsid w:val="005D4717"/>
    <w:rsid w:val="005D4A7F"/>
    <w:rsid w:val="005D4E12"/>
    <w:rsid w:val="005D4E34"/>
    <w:rsid w:val="005D4E7D"/>
    <w:rsid w:val="005D5158"/>
    <w:rsid w:val="005D51DF"/>
    <w:rsid w:val="005D529D"/>
    <w:rsid w:val="005D5425"/>
    <w:rsid w:val="005D57CF"/>
    <w:rsid w:val="005D58CF"/>
    <w:rsid w:val="005D59F4"/>
    <w:rsid w:val="005D5CE2"/>
    <w:rsid w:val="005D6598"/>
    <w:rsid w:val="005D686B"/>
    <w:rsid w:val="005D68F1"/>
    <w:rsid w:val="005D6A69"/>
    <w:rsid w:val="005D6ECE"/>
    <w:rsid w:val="005D7230"/>
    <w:rsid w:val="005D7414"/>
    <w:rsid w:val="005D779C"/>
    <w:rsid w:val="005D7A5E"/>
    <w:rsid w:val="005D7B5B"/>
    <w:rsid w:val="005D7BD2"/>
    <w:rsid w:val="005D7D80"/>
    <w:rsid w:val="005D7EF3"/>
    <w:rsid w:val="005D7F29"/>
    <w:rsid w:val="005D7FED"/>
    <w:rsid w:val="005E0D4F"/>
    <w:rsid w:val="005E0FB1"/>
    <w:rsid w:val="005E1122"/>
    <w:rsid w:val="005E13FC"/>
    <w:rsid w:val="005E1682"/>
    <w:rsid w:val="005E172E"/>
    <w:rsid w:val="005E1733"/>
    <w:rsid w:val="005E1AEF"/>
    <w:rsid w:val="005E1BE7"/>
    <w:rsid w:val="005E1EB2"/>
    <w:rsid w:val="005E1FF0"/>
    <w:rsid w:val="005E20ED"/>
    <w:rsid w:val="005E2292"/>
    <w:rsid w:val="005E24C2"/>
    <w:rsid w:val="005E264E"/>
    <w:rsid w:val="005E2663"/>
    <w:rsid w:val="005E28D4"/>
    <w:rsid w:val="005E2B74"/>
    <w:rsid w:val="005E2BE0"/>
    <w:rsid w:val="005E2E03"/>
    <w:rsid w:val="005E2EDA"/>
    <w:rsid w:val="005E3332"/>
    <w:rsid w:val="005E390B"/>
    <w:rsid w:val="005E3A95"/>
    <w:rsid w:val="005E3D67"/>
    <w:rsid w:val="005E3F54"/>
    <w:rsid w:val="005E41FD"/>
    <w:rsid w:val="005E4565"/>
    <w:rsid w:val="005E475B"/>
    <w:rsid w:val="005E4838"/>
    <w:rsid w:val="005E4D93"/>
    <w:rsid w:val="005E4EAA"/>
    <w:rsid w:val="005E501C"/>
    <w:rsid w:val="005E5253"/>
    <w:rsid w:val="005E52F8"/>
    <w:rsid w:val="005E5539"/>
    <w:rsid w:val="005E5838"/>
    <w:rsid w:val="005E58D8"/>
    <w:rsid w:val="005E6327"/>
    <w:rsid w:val="005E641E"/>
    <w:rsid w:val="005E6575"/>
    <w:rsid w:val="005E698C"/>
    <w:rsid w:val="005E6C97"/>
    <w:rsid w:val="005E748F"/>
    <w:rsid w:val="005E7642"/>
    <w:rsid w:val="005E76B6"/>
    <w:rsid w:val="005E79B4"/>
    <w:rsid w:val="005E7BCA"/>
    <w:rsid w:val="005E7DAD"/>
    <w:rsid w:val="005E7EED"/>
    <w:rsid w:val="005E7EF7"/>
    <w:rsid w:val="005F045F"/>
    <w:rsid w:val="005F0829"/>
    <w:rsid w:val="005F0856"/>
    <w:rsid w:val="005F0895"/>
    <w:rsid w:val="005F0BC6"/>
    <w:rsid w:val="005F0E57"/>
    <w:rsid w:val="005F0FDE"/>
    <w:rsid w:val="005F1197"/>
    <w:rsid w:val="005F11A5"/>
    <w:rsid w:val="005F15BA"/>
    <w:rsid w:val="005F1E5E"/>
    <w:rsid w:val="005F297C"/>
    <w:rsid w:val="005F2D1B"/>
    <w:rsid w:val="005F2D32"/>
    <w:rsid w:val="005F2D8F"/>
    <w:rsid w:val="005F32FE"/>
    <w:rsid w:val="005F38D4"/>
    <w:rsid w:val="005F3A03"/>
    <w:rsid w:val="005F3DAD"/>
    <w:rsid w:val="005F41A2"/>
    <w:rsid w:val="005F4453"/>
    <w:rsid w:val="005F461B"/>
    <w:rsid w:val="005F465B"/>
    <w:rsid w:val="005F47C5"/>
    <w:rsid w:val="005F498A"/>
    <w:rsid w:val="005F499B"/>
    <w:rsid w:val="005F4E4B"/>
    <w:rsid w:val="005F50A2"/>
    <w:rsid w:val="005F50B0"/>
    <w:rsid w:val="005F512F"/>
    <w:rsid w:val="005F51DE"/>
    <w:rsid w:val="005F5589"/>
    <w:rsid w:val="005F648F"/>
    <w:rsid w:val="005F6C5A"/>
    <w:rsid w:val="005F6FFC"/>
    <w:rsid w:val="005F7259"/>
    <w:rsid w:val="005F7358"/>
    <w:rsid w:val="005F7583"/>
    <w:rsid w:val="005F75D7"/>
    <w:rsid w:val="005F762E"/>
    <w:rsid w:val="005F7684"/>
    <w:rsid w:val="005F7897"/>
    <w:rsid w:val="005F79D2"/>
    <w:rsid w:val="005F7CFB"/>
    <w:rsid w:val="0060036B"/>
    <w:rsid w:val="00600579"/>
    <w:rsid w:val="0060071B"/>
    <w:rsid w:val="00600C7E"/>
    <w:rsid w:val="00600CDD"/>
    <w:rsid w:val="00600D1B"/>
    <w:rsid w:val="00600DC0"/>
    <w:rsid w:val="00600EC8"/>
    <w:rsid w:val="00600F89"/>
    <w:rsid w:val="00600FD4"/>
    <w:rsid w:val="00601560"/>
    <w:rsid w:val="00601E67"/>
    <w:rsid w:val="00601F3C"/>
    <w:rsid w:val="00601FB7"/>
    <w:rsid w:val="0060207C"/>
    <w:rsid w:val="006023FF"/>
    <w:rsid w:val="006025DB"/>
    <w:rsid w:val="0060268E"/>
    <w:rsid w:val="00602A7D"/>
    <w:rsid w:val="00602C68"/>
    <w:rsid w:val="00602DC0"/>
    <w:rsid w:val="00603784"/>
    <w:rsid w:val="00603828"/>
    <w:rsid w:val="006038E5"/>
    <w:rsid w:val="00603C1E"/>
    <w:rsid w:val="00603F53"/>
    <w:rsid w:val="006042FA"/>
    <w:rsid w:val="00604732"/>
    <w:rsid w:val="006047DA"/>
    <w:rsid w:val="00604D00"/>
    <w:rsid w:val="00604F67"/>
    <w:rsid w:val="00604F68"/>
    <w:rsid w:val="0060500F"/>
    <w:rsid w:val="00605092"/>
    <w:rsid w:val="00605112"/>
    <w:rsid w:val="006051CE"/>
    <w:rsid w:val="006057C1"/>
    <w:rsid w:val="006057E6"/>
    <w:rsid w:val="006058DD"/>
    <w:rsid w:val="00605B5D"/>
    <w:rsid w:val="00605B7C"/>
    <w:rsid w:val="00605D19"/>
    <w:rsid w:val="006060B8"/>
    <w:rsid w:val="006061A2"/>
    <w:rsid w:val="0060638A"/>
    <w:rsid w:val="00606495"/>
    <w:rsid w:val="006067F3"/>
    <w:rsid w:val="00606C5E"/>
    <w:rsid w:val="00606CA4"/>
    <w:rsid w:val="00606E0C"/>
    <w:rsid w:val="006074EE"/>
    <w:rsid w:val="00607502"/>
    <w:rsid w:val="0060799C"/>
    <w:rsid w:val="00607A36"/>
    <w:rsid w:val="00607AB1"/>
    <w:rsid w:val="00607C5E"/>
    <w:rsid w:val="006101F8"/>
    <w:rsid w:val="00610226"/>
    <w:rsid w:val="006102FF"/>
    <w:rsid w:val="006103AD"/>
    <w:rsid w:val="006103BD"/>
    <w:rsid w:val="006107ED"/>
    <w:rsid w:val="006109B1"/>
    <w:rsid w:val="00610A1A"/>
    <w:rsid w:val="00610B91"/>
    <w:rsid w:val="00610FDD"/>
    <w:rsid w:val="006112C4"/>
    <w:rsid w:val="006115A1"/>
    <w:rsid w:val="006115F8"/>
    <w:rsid w:val="00611689"/>
    <w:rsid w:val="00611693"/>
    <w:rsid w:val="00611914"/>
    <w:rsid w:val="00611957"/>
    <w:rsid w:val="00611AFC"/>
    <w:rsid w:val="00611B95"/>
    <w:rsid w:val="00611CB6"/>
    <w:rsid w:val="00611DF0"/>
    <w:rsid w:val="00611F9C"/>
    <w:rsid w:val="006121D1"/>
    <w:rsid w:val="00612A07"/>
    <w:rsid w:val="00612BFA"/>
    <w:rsid w:val="00612CEB"/>
    <w:rsid w:val="0061322D"/>
    <w:rsid w:val="006132FB"/>
    <w:rsid w:val="006133C9"/>
    <w:rsid w:val="00613455"/>
    <w:rsid w:val="006137F6"/>
    <w:rsid w:val="00613840"/>
    <w:rsid w:val="00613B34"/>
    <w:rsid w:val="00613E28"/>
    <w:rsid w:val="00614546"/>
    <w:rsid w:val="006145BB"/>
    <w:rsid w:val="00614A17"/>
    <w:rsid w:val="00615355"/>
    <w:rsid w:val="006157A1"/>
    <w:rsid w:val="00615A51"/>
    <w:rsid w:val="006164FD"/>
    <w:rsid w:val="00616F87"/>
    <w:rsid w:val="006170BE"/>
    <w:rsid w:val="006172F1"/>
    <w:rsid w:val="006176DC"/>
    <w:rsid w:val="006177C9"/>
    <w:rsid w:val="006177F4"/>
    <w:rsid w:val="00617966"/>
    <w:rsid w:val="00617BEE"/>
    <w:rsid w:val="00620105"/>
    <w:rsid w:val="00620192"/>
    <w:rsid w:val="00620442"/>
    <w:rsid w:val="006205F8"/>
    <w:rsid w:val="006206E4"/>
    <w:rsid w:val="006208D0"/>
    <w:rsid w:val="00620B2E"/>
    <w:rsid w:val="00620C0D"/>
    <w:rsid w:val="00620DCE"/>
    <w:rsid w:val="00620FF9"/>
    <w:rsid w:val="00621064"/>
    <w:rsid w:val="0062118A"/>
    <w:rsid w:val="0062119B"/>
    <w:rsid w:val="006217E6"/>
    <w:rsid w:val="006219DE"/>
    <w:rsid w:val="00621BCE"/>
    <w:rsid w:val="006220A7"/>
    <w:rsid w:val="00622360"/>
    <w:rsid w:val="00622B80"/>
    <w:rsid w:val="00622B9B"/>
    <w:rsid w:val="00622CBB"/>
    <w:rsid w:val="00622E17"/>
    <w:rsid w:val="00623090"/>
    <w:rsid w:val="0062335C"/>
    <w:rsid w:val="00623732"/>
    <w:rsid w:val="00623842"/>
    <w:rsid w:val="00623A47"/>
    <w:rsid w:val="00623CA9"/>
    <w:rsid w:val="00623DAE"/>
    <w:rsid w:val="00623FE1"/>
    <w:rsid w:val="00623FF8"/>
    <w:rsid w:val="0062415D"/>
    <w:rsid w:val="00624415"/>
    <w:rsid w:val="0062448B"/>
    <w:rsid w:val="00624569"/>
    <w:rsid w:val="00624894"/>
    <w:rsid w:val="006249E1"/>
    <w:rsid w:val="00624CAF"/>
    <w:rsid w:val="00625242"/>
    <w:rsid w:val="006256E2"/>
    <w:rsid w:val="0062587C"/>
    <w:rsid w:val="00625AC6"/>
    <w:rsid w:val="00625DC7"/>
    <w:rsid w:val="00625F3B"/>
    <w:rsid w:val="006261C9"/>
    <w:rsid w:val="006263C9"/>
    <w:rsid w:val="0062657E"/>
    <w:rsid w:val="006267CE"/>
    <w:rsid w:val="006273A9"/>
    <w:rsid w:val="006276CE"/>
    <w:rsid w:val="006278DF"/>
    <w:rsid w:val="00627C53"/>
    <w:rsid w:val="00627ED2"/>
    <w:rsid w:val="00630021"/>
    <w:rsid w:val="00630183"/>
    <w:rsid w:val="006304A0"/>
    <w:rsid w:val="006304C8"/>
    <w:rsid w:val="00630A2E"/>
    <w:rsid w:val="0063105C"/>
    <w:rsid w:val="00631FD1"/>
    <w:rsid w:val="00632034"/>
    <w:rsid w:val="006323DF"/>
    <w:rsid w:val="00632419"/>
    <w:rsid w:val="006326DE"/>
    <w:rsid w:val="0063283E"/>
    <w:rsid w:val="00632C5F"/>
    <w:rsid w:val="00632F96"/>
    <w:rsid w:val="006330A1"/>
    <w:rsid w:val="006333E5"/>
    <w:rsid w:val="006334AE"/>
    <w:rsid w:val="0063359A"/>
    <w:rsid w:val="00633B61"/>
    <w:rsid w:val="00633E7C"/>
    <w:rsid w:val="00633FE4"/>
    <w:rsid w:val="006340B3"/>
    <w:rsid w:val="006343DA"/>
    <w:rsid w:val="006345D8"/>
    <w:rsid w:val="006345DA"/>
    <w:rsid w:val="00634986"/>
    <w:rsid w:val="00634B71"/>
    <w:rsid w:val="0063504D"/>
    <w:rsid w:val="00635160"/>
    <w:rsid w:val="00635267"/>
    <w:rsid w:val="006353D3"/>
    <w:rsid w:val="00635464"/>
    <w:rsid w:val="006354F8"/>
    <w:rsid w:val="00635638"/>
    <w:rsid w:val="006356D0"/>
    <w:rsid w:val="00635731"/>
    <w:rsid w:val="0063584F"/>
    <w:rsid w:val="006358D5"/>
    <w:rsid w:val="00635AC0"/>
    <w:rsid w:val="00635B75"/>
    <w:rsid w:val="00635B93"/>
    <w:rsid w:val="00635F91"/>
    <w:rsid w:val="00635FC6"/>
    <w:rsid w:val="00636019"/>
    <w:rsid w:val="00636059"/>
    <w:rsid w:val="00636331"/>
    <w:rsid w:val="006367CC"/>
    <w:rsid w:val="006369DB"/>
    <w:rsid w:val="00636A24"/>
    <w:rsid w:val="00636A92"/>
    <w:rsid w:val="00636B86"/>
    <w:rsid w:val="00636E80"/>
    <w:rsid w:val="006371AB"/>
    <w:rsid w:val="0063772A"/>
    <w:rsid w:val="00637874"/>
    <w:rsid w:val="00637A6D"/>
    <w:rsid w:val="00637C6A"/>
    <w:rsid w:val="00637EEC"/>
    <w:rsid w:val="00637F19"/>
    <w:rsid w:val="0064009D"/>
    <w:rsid w:val="006403E7"/>
    <w:rsid w:val="00640848"/>
    <w:rsid w:val="00641052"/>
    <w:rsid w:val="006414B3"/>
    <w:rsid w:val="006416D1"/>
    <w:rsid w:val="00641974"/>
    <w:rsid w:val="00641B4E"/>
    <w:rsid w:val="0064209A"/>
    <w:rsid w:val="00642209"/>
    <w:rsid w:val="00642210"/>
    <w:rsid w:val="00642445"/>
    <w:rsid w:val="00642484"/>
    <w:rsid w:val="006424E3"/>
    <w:rsid w:val="00642C2B"/>
    <w:rsid w:val="0064304A"/>
    <w:rsid w:val="006431B5"/>
    <w:rsid w:val="006432FD"/>
    <w:rsid w:val="006439AD"/>
    <w:rsid w:val="00643A8F"/>
    <w:rsid w:val="00643C91"/>
    <w:rsid w:val="00643D8A"/>
    <w:rsid w:val="00643E75"/>
    <w:rsid w:val="0064405E"/>
    <w:rsid w:val="006440FC"/>
    <w:rsid w:val="00644285"/>
    <w:rsid w:val="006443DE"/>
    <w:rsid w:val="0064455C"/>
    <w:rsid w:val="006448CF"/>
    <w:rsid w:val="006449D4"/>
    <w:rsid w:val="00644AA4"/>
    <w:rsid w:val="00644BC1"/>
    <w:rsid w:val="00644C98"/>
    <w:rsid w:val="00644FA4"/>
    <w:rsid w:val="006452BE"/>
    <w:rsid w:val="00645A64"/>
    <w:rsid w:val="00645C1B"/>
    <w:rsid w:val="00645C35"/>
    <w:rsid w:val="00645DED"/>
    <w:rsid w:val="00645FFD"/>
    <w:rsid w:val="00646054"/>
    <w:rsid w:val="00646651"/>
    <w:rsid w:val="00646831"/>
    <w:rsid w:val="00646E9A"/>
    <w:rsid w:val="00647381"/>
    <w:rsid w:val="00647987"/>
    <w:rsid w:val="00647AE8"/>
    <w:rsid w:val="00647B66"/>
    <w:rsid w:val="00647FB5"/>
    <w:rsid w:val="0065008E"/>
    <w:rsid w:val="006500BB"/>
    <w:rsid w:val="006504FE"/>
    <w:rsid w:val="00650D16"/>
    <w:rsid w:val="00650D3B"/>
    <w:rsid w:val="00650E45"/>
    <w:rsid w:val="0065122E"/>
    <w:rsid w:val="00651365"/>
    <w:rsid w:val="006518F5"/>
    <w:rsid w:val="00651D8F"/>
    <w:rsid w:val="00651FAD"/>
    <w:rsid w:val="006524C6"/>
    <w:rsid w:val="0065279C"/>
    <w:rsid w:val="00652915"/>
    <w:rsid w:val="00652D5C"/>
    <w:rsid w:val="00652ED1"/>
    <w:rsid w:val="00653332"/>
    <w:rsid w:val="0065341E"/>
    <w:rsid w:val="006537E0"/>
    <w:rsid w:val="006539A1"/>
    <w:rsid w:val="00653ABF"/>
    <w:rsid w:val="00654653"/>
    <w:rsid w:val="00654674"/>
    <w:rsid w:val="00654B49"/>
    <w:rsid w:val="00654C11"/>
    <w:rsid w:val="00654CEA"/>
    <w:rsid w:val="00654D4A"/>
    <w:rsid w:val="00654DF4"/>
    <w:rsid w:val="006550F7"/>
    <w:rsid w:val="00655294"/>
    <w:rsid w:val="00655298"/>
    <w:rsid w:val="00655330"/>
    <w:rsid w:val="00655346"/>
    <w:rsid w:val="0065549C"/>
    <w:rsid w:val="006558D4"/>
    <w:rsid w:val="006559DC"/>
    <w:rsid w:val="00655F20"/>
    <w:rsid w:val="00655FE3"/>
    <w:rsid w:val="006560D7"/>
    <w:rsid w:val="006565AA"/>
    <w:rsid w:val="00656670"/>
    <w:rsid w:val="00656925"/>
    <w:rsid w:val="006569C5"/>
    <w:rsid w:val="00656EFD"/>
    <w:rsid w:val="006570B2"/>
    <w:rsid w:val="00657193"/>
    <w:rsid w:val="006575B4"/>
    <w:rsid w:val="00657762"/>
    <w:rsid w:val="0065784B"/>
    <w:rsid w:val="006578AB"/>
    <w:rsid w:val="00657907"/>
    <w:rsid w:val="0065795D"/>
    <w:rsid w:val="006579D4"/>
    <w:rsid w:val="00657C0A"/>
    <w:rsid w:val="00657CE7"/>
    <w:rsid w:val="006603EE"/>
    <w:rsid w:val="006606CF"/>
    <w:rsid w:val="006608E1"/>
    <w:rsid w:val="00661272"/>
    <w:rsid w:val="00661614"/>
    <w:rsid w:val="00661B08"/>
    <w:rsid w:val="00661FDA"/>
    <w:rsid w:val="006621FB"/>
    <w:rsid w:val="0066277B"/>
    <w:rsid w:val="00662AD0"/>
    <w:rsid w:val="006631D8"/>
    <w:rsid w:val="0066330F"/>
    <w:rsid w:val="006635CD"/>
    <w:rsid w:val="0066361D"/>
    <w:rsid w:val="00663BAA"/>
    <w:rsid w:val="00663C3A"/>
    <w:rsid w:val="00663D27"/>
    <w:rsid w:val="00663E49"/>
    <w:rsid w:val="0066440D"/>
    <w:rsid w:val="00664C20"/>
    <w:rsid w:val="00664CD2"/>
    <w:rsid w:val="00664ED0"/>
    <w:rsid w:val="00664F50"/>
    <w:rsid w:val="0066554E"/>
    <w:rsid w:val="0066571B"/>
    <w:rsid w:val="00665E47"/>
    <w:rsid w:val="00665EF2"/>
    <w:rsid w:val="006666A1"/>
    <w:rsid w:val="006666E6"/>
    <w:rsid w:val="00666711"/>
    <w:rsid w:val="00667043"/>
    <w:rsid w:val="00667252"/>
    <w:rsid w:val="0066732F"/>
    <w:rsid w:val="006673DF"/>
    <w:rsid w:val="0066766A"/>
    <w:rsid w:val="0066782F"/>
    <w:rsid w:val="00667948"/>
    <w:rsid w:val="00667A10"/>
    <w:rsid w:val="00667A39"/>
    <w:rsid w:val="00667CA5"/>
    <w:rsid w:val="00667DCD"/>
    <w:rsid w:val="00667EA4"/>
    <w:rsid w:val="006700E2"/>
    <w:rsid w:val="006701E5"/>
    <w:rsid w:val="00670600"/>
    <w:rsid w:val="006706BD"/>
    <w:rsid w:val="0067079E"/>
    <w:rsid w:val="00670CF4"/>
    <w:rsid w:val="00670FEC"/>
    <w:rsid w:val="00671451"/>
    <w:rsid w:val="00671785"/>
    <w:rsid w:val="006717AA"/>
    <w:rsid w:val="00671821"/>
    <w:rsid w:val="0067184F"/>
    <w:rsid w:val="00671877"/>
    <w:rsid w:val="00671EC5"/>
    <w:rsid w:val="00672163"/>
    <w:rsid w:val="00672181"/>
    <w:rsid w:val="0067265A"/>
    <w:rsid w:val="0067267A"/>
    <w:rsid w:val="006726A0"/>
    <w:rsid w:val="0067294D"/>
    <w:rsid w:val="00672F14"/>
    <w:rsid w:val="006737D3"/>
    <w:rsid w:val="00673B24"/>
    <w:rsid w:val="0067440A"/>
    <w:rsid w:val="0067462F"/>
    <w:rsid w:val="006747E5"/>
    <w:rsid w:val="0067480F"/>
    <w:rsid w:val="00674972"/>
    <w:rsid w:val="00674D32"/>
    <w:rsid w:val="00674FD5"/>
    <w:rsid w:val="0067544C"/>
    <w:rsid w:val="00675501"/>
    <w:rsid w:val="00675711"/>
    <w:rsid w:val="006757F8"/>
    <w:rsid w:val="00675871"/>
    <w:rsid w:val="00675BD5"/>
    <w:rsid w:val="00675E24"/>
    <w:rsid w:val="00676458"/>
    <w:rsid w:val="00676730"/>
    <w:rsid w:val="006767A3"/>
    <w:rsid w:val="006767B7"/>
    <w:rsid w:val="0067713A"/>
    <w:rsid w:val="006773EC"/>
    <w:rsid w:val="00677765"/>
    <w:rsid w:val="006777C4"/>
    <w:rsid w:val="00677ADE"/>
    <w:rsid w:val="00677AE4"/>
    <w:rsid w:val="00677C8C"/>
    <w:rsid w:val="00677DC2"/>
    <w:rsid w:val="00677E0D"/>
    <w:rsid w:val="00680F5A"/>
    <w:rsid w:val="00680FC9"/>
    <w:rsid w:val="00680FF6"/>
    <w:rsid w:val="0068101C"/>
    <w:rsid w:val="00681413"/>
    <w:rsid w:val="00681B31"/>
    <w:rsid w:val="00681C1E"/>
    <w:rsid w:val="00681CC3"/>
    <w:rsid w:val="00681CCA"/>
    <w:rsid w:val="00681E63"/>
    <w:rsid w:val="00682248"/>
    <w:rsid w:val="0068228D"/>
    <w:rsid w:val="006823D3"/>
    <w:rsid w:val="00682730"/>
    <w:rsid w:val="0068280D"/>
    <w:rsid w:val="0068289D"/>
    <w:rsid w:val="006828F4"/>
    <w:rsid w:val="00682B64"/>
    <w:rsid w:val="00682C09"/>
    <w:rsid w:val="00682EE5"/>
    <w:rsid w:val="0068310F"/>
    <w:rsid w:val="006831AE"/>
    <w:rsid w:val="006832E2"/>
    <w:rsid w:val="006835B9"/>
    <w:rsid w:val="006835BD"/>
    <w:rsid w:val="006839D9"/>
    <w:rsid w:val="00683B4D"/>
    <w:rsid w:val="00683BF8"/>
    <w:rsid w:val="00683FAB"/>
    <w:rsid w:val="0068404F"/>
    <w:rsid w:val="00684066"/>
    <w:rsid w:val="006840EE"/>
    <w:rsid w:val="006841A9"/>
    <w:rsid w:val="00684597"/>
    <w:rsid w:val="006845EF"/>
    <w:rsid w:val="0068496C"/>
    <w:rsid w:val="00684975"/>
    <w:rsid w:val="00684E9C"/>
    <w:rsid w:val="00684F62"/>
    <w:rsid w:val="006853F0"/>
    <w:rsid w:val="006855B0"/>
    <w:rsid w:val="00685838"/>
    <w:rsid w:val="0068584D"/>
    <w:rsid w:val="006859F3"/>
    <w:rsid w:val="00685A61"/>
    <w:rsid w:val="00685DD2"/>
    <w:rsid w:val="00686045"/>
    <w:rsid w:val="006861C7"/>
    <w:rsid w:val="00686528"/>
    <w:rsid w:val="00686EA2"/>
    <w:rsid w:val="00687118"/>
    <w:rsid w:val="006871AB"/>
    <w:rsid w:val="00687317"/>
    <w:rsid w:val="00687326"/>
    <w:rsid w:val="0068733D"/>
    <w:rsid w:val="00687364"/>
    <w:rsid w:val="006874A1"/>
    <w:rsid w:val="006874B3"/>
    <w:rsid w:val="006874DE"/>
    <w:rsid w:val="00687C18"/>
    <w:rsid w:val="00687C5F"/>
    <w:rsid w:val="00687FDC"/>
    <w:rsid w:val="006900B0"/>
    <w:rsid w:val="00690102"/>
    <w:rsid w:val="0069091D"/>
    <w:rsid w:val="00690AA7"/>
    <w:rsid w:val="00690C95"/>
    <w:rsid w:val="00690CCA"/>
    <w:rsid w:val="00690E18"/>
    <w:rsid w:val="00690F47"/>
    <w:rsid w:val="00691101"/>
    <w:rsid w:val="006911E1"/>
    <w:rsid w:val="00691202"/>
    <w:rsid w:val="00691525"/>
    <w:rsid w:val="006916CF"/>
    <w:rsid w:val="00691991"/>
    <w:rsid w:val="006919C8"/>
    <w:rsid w:val="00691BFB"/>
    <w:rsid w:val="00691C2C"/>
    <w:rsid w:val="00691E52"/>
    <w:rsid w:val="006923BB"/>
    <w:rsid w:val="0069241C"/>
    <w:rsid w:val="00692CAC"/>
    <w:rsid w:val="00692CE5"/>
    <w:rsid w:val="00692EE3"/>
    <w:rsid w:val="00692F15"/>
    <w:rsid w:val="00693232"/>
    <w:rsid w:val="00693708"/>
    <w:rsid w:val="0069373B"/>
    <w:rsid w:val="006937C2"/>
    <w:rsid w:val="006937D4"/>
    <w:rsid w:val="00693A4D"/>
    <w:rsid w:val="00693C4B"/>
    <w:rsid w:val="00693C77"/>
    <w:rsid w:val="00693D1F"/>
    <w:rsid w:val="00694320"/>
    <w:rsid w:val="006946FF"/>
    <w:rsid w:val="006947D9"/>
    <w:rsid w:val="006947F4"/>
    <w:rsid w:val="00694922"/>
    <w:rsid w:val="00694A63"/>
    <w:rsid w:val="00694BB1"/>
    <w:rsid w:val="00694E98"/>
    <w:rsid w:val="0069520A"/>
    <w:rsid w:val="00695387"/>
    <w:rsid w:val="006953BD"/>
    <w:rsid w:val="00695666"/>
    <w:rsid w:val="00695E0A"/>
    <w:rsid w:val="00696265"/>
    <w:rsid w:val="00696810"/>
    <w:rsid w:val="006968CD"/>
    <w:rsid w:val="00696CA0"/>
    <w:rsid w:val="00696E8F"/>
    <w:rsid w:val="00696EB0"/>
    <w:rsid w:val="00697319"/>
    <w:rsid w:val="00697409"/>
    <w:rsid w:val="00697602"/>
    <w:rsid w:val="00697604"/>
    <w:rsid w:val="006978E8"/>
    <w:rsid w:val="00697A82"/>
    <w:rsid w:val="00697CD1"/>
    <w:rsid w:val="006A036C"/>
    <w:rsid w:val="006A0489"/>
    <w:rsid w:val="006A0946"/>
    <w:rsid w:val="006A095F"/>
    <w:rsid w:val="006A110D"/>
    <w:rsid w:val="006A11AA"/>
    <w:rsid w:val="006A1222"/>
    <w:rsid w:val="006A155E"/>
    <w:rsid w:val="006A18C8"/>
    <w:rsid w:val="006A1987"/>
    <w:rsid w:val="006A1C4D"/>
    <w:rsid w:val="006A2462"/>
    <w:rsid w:val="006A2541"/>
    <w:rsid w:val="006A279A"/>
    <w:rsid w:val="006A280F"/>
    <w:rsid w:val="006A2C89"/>
    <w:rsid w:val="006A34C5"/>
    <w:rsid w:val="006A3B09"/>
    <w:rsid w:val="006A4029"/>
    <w:rsid w:val="006A4335"/>
    <w:rsid w:val="006A4489"/>
    <w:rsid w:val="006A461E"/>
    <w:rsid w:val="006A4659"/>
    <w:rsid w:val="006A4AF9"/>
    <w:rsid w:val="006A51AA"/>
    <w:rsid w:val="006A51B8"/>
    <w:rsid w:val="006A535E"/>
    <w:rsid w:val="006A53B4"/>
    <w:rsid w:val="006A55EB"/>
    <w:rsid w:val="006A5CC7"/>
    <w:rsid w:val="006A5CDD"/>
    <w:rsid w:val="006A5F47"/>
    <w:rsid w:val="006A606E"/>
    <w:rsid w:val="006A6440"/>
    <w:rsid w:val="006A6654"/>
    <w:rsid w:val="006A6A5E"/>
    <w:rsid w:val="006A6B3A"/>
    <w:rsid w:val="006A782D"/>
    <w:rsid w:val="006A7956"/>
    <w:rsid w:val="006A7C75"/>
    <w:rsid w:val="006A7F8E"/>
    <w:rsid w:val="006B022D"/>
    <w:rsid w:val="006B03D9"/>
    <w:rsid w:val="006B0999"/>
    <w:rsid w:val="006B1728"/>
    <w:rsid w:val="006B1752"/>
    <w:rsid w:val="006B19E9"/>
    <w:rsid w:val="006B1BC6"/>
    <w:rsid w:val="006B1C50"/>
    <w:rsid w:val="006B1F16"/>
    <w:rsid w:val="006B1FD1"/>
    <w:rsid w:val="006B2042"/>
    <w:rsid w:val="006B21E7"/>
    <w:rsid w:val="006B2251"/>
    <w:rsid w:val="006B231F"/>
    <w:rsid w:val="006B2372"/>
    <w:rsid w:val="006B25C2"/>
    <w:rsid w:val="006B26AE"/>
    <w:rsid w:val="006B27DF"/>
    <w:rsid w:val="006B2ACA"/>
    <w:rsid w:val="006B2D1E"/>
    <w:rsid w:val="006B30FA"/>
    <w:rsid w:val="006B3343"/>
    <w:rsid w:val="006B33D3"/>
    <w:rsid w:val="006B34D7"/>
    <w:rsid w:val="006B35C8"/>
    <w:rsid w:val="006B380C"/>
    <w:rsid w:val="006B3934"/>
    <w:rsid w:val="006B3F2A"/>
    <w:rsid w:val="006B4422"/>
    <w:rsid w:val="006B45A2"/>
    <w:rsid w:val="006B4705"/>
    <w:rsid w:val="006B4843"/>
    <w:rsid w:val="006B4DD5"/>
    <w:rsid w:val="006B4E58"/>
    <w:rsid w:val="006B4E6D"/>
    <w:rsid w:val="006B51B6"/>
    <w:rsid w:val="006B52FB"/>
    <w:rsid w:val="006B55B9"/>
    <w:rsid w:val="006B5794"/>
    <w:rsid w:val="006B5806"/>
    <w:rsid w:val="006B5899"/>
    <w:rsid w:val="006B58CE"/>
    <w:rsid w:val="006B5D2C"/>
    <w:rsid w:val="006B5D3A"/>
    <w:rsid w:val="006B6023"/>
    <w:rsid w:val="006B630B"/>
    <w:rsid w:val="006B64BB"/>
    <w:rsid w:val="006B671F"/>
    <w:rsid w:val="006B6729"/>
    <w:rsid w:val="006B67CE"/>
    <w:rsid w:val="006B6987"/>
    <w:rsid w:val="006B6D8B"/>
    <w:rsid w:val="006B6EDA"/>
    <w:rsid w:val="006B74E9"/>
    <w:rsid w:val="006B7798"/>
    <w:rsid w:val="006B7813"/>
    <w:rsid w:val="006B7A02"/>
    <w:rsid w:val="006B7B1F"/>
    <w:rsid w:val="006B7F19"/>
    <w:rsid w:val="006C0016"/>
    <w:rsid w:val="006C01B0"/>
    <w:rsid w:val="006C05B1"/>
    <w:rsid w:val="006C0719"/>
    <w:rsid w:val="006C0976"/>
    <w:rsid w:val="006C0ADF"/>
    <w:rsid w:val="006C1313"/>
    <w:rsid w:val="006C138A"/>
    <w:rsid w:val="006C1429"/>
    <w:rsid w:val="006C1437"/>
    <w:rsid w:val="006C1684"/>
    <w:rsid w:val="006C17BD"/>
    <w:rsid w:val="006C1853"/>
    <w:rsid w:val="006C19D7"/>
    <w:rsid w:val="006C1D52"/>
    <w:rsid w:val="006C1E83"/>
    <w:rsid w:val="006C1F4B"/>
    <w:rsid w:val="006C230D"/>
    <w:rsid w:val="006C23D5"/>
    <w:rsid w:val="006C262D"/>
    <w:rsid w:val="006C2656"/>
    <w:rsid w:val="006C2751"/>
    <w:rsid w:val="006C2777"/>
    <w:rsid w:val="006C27FD"/>
    <w:rsid w:val="006C2905"/>
    <w:rsid w:val="006C2B8D"/>
    <w:rsid w:val="006C313B"/>
    <w:rsid w:val="006C33BF"/>
    <w:rsid w:val="006C33E5"/>
    <w:rsid w:val="006C3870"/>
    <w:rsid w:val="006C3DAE"/>
    <w:rsid w:val="006C42AC"/>
    <w:rsid w:val="006C4545"/>
    <w:rsid w:val="006C48CA"/>
    <w:rsid w:val="006C4A9A"/>
    <w:rsid w:val="006C4CB5"/>
    <w:rsid w:val="006C502E"/>
    <w:rsid w:val="006C5121"/>
    <w:rsid w:val="006C54AD"/>
    <w:rsid w:val="006C5957"/>
    <w:rsid w:val="006C5ABE"/>
    <w:rsid w:val="006C5C92"/>
    <w:rsid w:val="006C6313"/>
    <w:rsid w:val="006C6440"/>
    <w:rsid w:val="006C6841"/>
    <w:rsid w:val="006C684F"/>
    <w:rsid w:val="006C6C7D"/>
    <w:rsid w:val="006C79F9"/>
    <w:rsid w:val="006C7B69"/>
    <w:rsid w:val="006C7BF0"/>
    <w:rsid w:val="006C7F2E"/>
    <w:rsid w:val="006D0087"/>
    <w:rsid w:val="006D00E7"/>
    <w:rsid w:val="006D0177"/>
    <w:rsid w:val="006D033E"/>
    <w:rsid w:val="006D05B2"/>
    <w:rsid w:val="006D078C"/>
    <w:rsid w:val="006D093E"/>
    <w:rsid w:val="006D0A1B"/>
    <w:rsid w:val="006D0AE8"/>
    <w:rsid w:val="006D0AF6"/>
    <w:rsid w:val="006D12A5"/>
    <w:rsid w:val="006D13C0"/>
    <w:rsid w:val="006D17FA"/>
    <w:rsid w:val="006D1A85"/>
    <w:rsid w:val="006D1C21"/>
    <w:rsid w:val="006D1C3B"/>
    <w:rsid w:val="006D1DE1"/>
    <w:rsid w:val="006D24B3"/>
    <w:rsid w:val="006D24DB"/>
    <w:rsid w:val="006D2D29"/>
    <w:rsid w:val="006D325C"/>
    <w:rsid w:val="006D3514"/>
    <w:rsid w:val="006D38EB"/>
    <w:rsid w:val="006D3AE7"/>
    <w:rsid w:val="006D3E3C"/>
    <w:rsid w:val="006D3F1F"/>
    <w:rsid w:val="006D4114"/>
    <w:rsid w:val="006D41E6"/>
    <w:rsid w:val="006D4451"/>
    <w:rsid w:val="006D49E9"/>
    <w:rsid w:val="006D4A4D"/>
    <w:rsid w:val="006D4B21"/>
    <w:rsid w:val="006D4C58"/>
    <w:rsid w:val="006D4EE6"/>
    <w:rsid w:val="006D50CA"/>
    <w:rsid w:val="006D5257"/>
    <w:rsid w:val="006D5266"/>
    <w:rsid w:val="006D5338"/>
    <w:rsid w:val="006D56E8"/>
    <w:rsid w:val="006D56F6"/>
    <w:rsid w:val="006D588E"/>
    <w:rsid w:val="006D58F6"/>
    <w:rsid w:val="006D5AA3"/>
    <w:rsid w:val="006D5C6D"/>
    <w:rsid w:val="006D5D75"/>
    <w:rsid w:val="006D5EFC"/>
    <w:rsid w:val="006D604C"/>
    <w:rsid w:val="006D6093"/>
    <w:rsid w:val="006D60DB"/>
    <w:rsid w:val="006D6185"/>
    <w:rsid w:val="006D6802"/>
    <w:rsid w:val="006D68B1"/>
    <w:rsid w:val="006D6A24"/>
    <w:rsid w:val="006D6C30"/>
    <w:rsid w:val="006D6CF2"/>
    <w:rsid w:val="006D6F13"/>
    <w:rsid w:val="006D7112"/>
    <w:rsid w:val="006D71A1"/>
    <w:rsid w:val="006D74C0"/>
    <w:rsid w:val="006D7AC9"/>
    <w:rsid w:val="006D7D09"/>
    <w:rsid w:val="006E019B"/>
    <w:rsid w:val="006E0982"/>
    <w:rsid w:val="006E0BDF"/>
    <w:rsid w:val="006E0C5A"/>
    <w:rsid w:val="006E0CA1"/>
    <w:rsid w:val="006E0E95"/>
    <w:rsid w:val="006E1524"/>
    <w:rsid w:val="006E16C1"/>
    <w:rsid w:val="006E1ED1"/>
    <w:rsid w:val="006E1F3D"/>
    <w:rsid w:val="006E203C"/>
    <w:rsid w:val="006E2484"/>
    <w:rsid w:val="006E28B5"/>
    <w:rsid w:val="006E2A95"/>
    <w:rsid w:val="006E2C73"/>
    <w:rsid w:val="006E2E89"/>
    <w:rsid w:val="006E308E"/>
    <w:rsid w:val="006E3193"/>
    <w:rsid w:val="006E3343"/>
    <w:rsid w:val="006E3605"/>
    <w:rsid w:val="006E37F7"/>
    <w:rsid w:val="006E3816"/>
    <w:rsid w:val="006E3872"/>
    <w:rsid w:val="006E38F9"/>
    <w:rsid w:val="006E3BA0"/>
    <w:rsid w:val="006E3D4D"/>
    <w:rsid w:val="006E4104"/>
    <w:rsid w:val="006E4D74"/>
    <w:rsid w:val="006E4F59"/>
    <w:rsid w:val="006E4FA9"/>
    <w:rsid w:val="006E5284"/>
    <w:rsid w:val="006E556B"/>
    <w:rsid w:val="006E5D0E"/>
    <w:rsid w:val="006E5EC3"/>
    <w:rsid w:val="006E62F9"/>
    <w:rsid w:val="006E6444"/>
    <w:rsid w:val="006E67CE"/>
    <w:rsid w:val="006E6D5A"/>
    <w:rsid w:val="006E6F48"/>
    <w:rsid w:val="006E76C5"/>
    <w:rsid w:val="006E78E5"/>
    <w:rsid w:val="006E79BB"/>
    <w:rsid w:val="006E7BD4"/>
    <w:rsid w:val="006E7E0B"/>
    <w:rsid w:val="006F01EF"/>
    <w:rsid w:val="006F03FD"/>
    <w:rsid w:val="006F0F3D"/>
    <w:rsid w:val="006F126D"/>
    <w:rsid w:val="006F1A67"/>
    <w:rsid w:val="006F1C73"/>
    <w:rsid w:val="006F1F00"/>
    <w:rsid w:val="006F1FA2"/>
    <w:rsid w:val="006F2101"/>
    <w:rsid w:val="006F217A"/>
    <w:rsid w:val="006F3559"/>
    <w:rsid w:val="006F374D"/>
    <w:rsid w:val="006F3D2D"/>
    <w:rsid w:val="006F3E62"/>
    <w:rsid w:val="006F3ED4"/>
    <w:rsid w:val="006F41E6"/>
    <w:rsid w:val="006F440F"/>
    <w:rsid w:val="006F44F9"/>
    <w:rsid w:val="006F4954"/>
    <w:rsid w:val="006F4F33"/>
    <w:rsid w:val="006F4FBA"/>
    <w:rsid w:val="006F5013"/>
    <w:rsid w:val="006F54F9"/>
    <w:rsid w:val="006F5AAE"/>
    <w:rsid w:val="006F5B98"/>
    <w:rsid w:val="006F5BBB"/>
    <w:rsid w:val="006F5EA7"/>
    <w:rsid w:val="006F61C2"/>
    <w:rsid w:val="006F6207"/>
    <w:rsid w:val="006F6231"/>
    <w:rsid w:val="006F62AB"/>
    <w:rsid w:val="006F6461"/>
    <w:rsid w:val="006F6539"/>
    <w:rsid w:val="006F67D7"/>
    <w:rsid w:val="006F6AEC"/>
    <w:rsid w:val="006F6DE3"/>
    <w:rsid w:val="006F6E3B"/>
    <w:rsid w:val="006F6EB1"/>
    <w:rsid w:val="006F6EC7"/>
    <w:rsid w:val="006F6FBE"/>
    <w:rsid w:val="006F725A"/>
    <w:rsid w:val="006F7465"/>
    <w:rsid w:val="006F778D"/>
    <w:rsid w:val="006F7C7F"/>
    <w:rsid w:val="007007B0"/>
    <w:rsid w:val="00700A8D"/>
    <w:rsid w:val="00700BE0"/>
    <w:rsid w:val="00700CF8"/>
    <w:rsid w:val="00700F87"/>
    <w:rsid w:val="00701942"/>
    <w:rsid w:val="0070194F"/>
    <w:rsid w:val="00701C5D"/>
    <w:rsid w:val="00701D8B"/>
    <w:rsid w:val="00701DCE"/>
    <w:rsid w:val="00702548"/>
    <w:rsid w:val="0070294B"/>
    <w:rsid w:val="00702CBE"/>
    <w:rsid w:val="00703122"/>
    <w:rsid w:val="00703245"/>
    <w:rsid w:val="00703376"/>
    <w:rsid w:val="007037C4"/>
    <w:rsid w:val="00703817"/>
    <w:rsid w:val="007038BC"/>
    <w:rsid w:val="00703C6F"/>
    <w:rsid w:val="00703E70"/>
    <w:rsid w:val="00703FA7"/>
    <w:rsid w:val="007040B2"/>
    <w:rsid w:val="00704185"/>
    <w:rsid w:val="007042EA"/>
    <w:rsid w:val="007045E1"/>
    <w:rsid w:val="00704AF2"/>
    <w:rsid w:val="00704B14"/>
    <w:rsid w:val="00704D54"/>
    <w:rsid w:val="00704E37"/>
    <w:rsid w:val="007050E5"/>
    <w:rsid w:val="00705394"/>
    <w:rsid w:val="00705397"/>
    <w:rsid w:val="007057B4"/>
    <w:rsid w:val="00706073"/>
    <w:rsid w:val="007069D8"/>
    <w:rsid w:val="00706BC9"/>
    <w:rsid w:val="00706DFC"/>
    <w:rsid w:val="00707069"/>
    <w:rsid w:val="00707173"/>
    <w:rsid w:val="0070733E"/>
    <w:rsid w:val="0070750A"/>
    <w:rsid w:val="0070772B"/>
    <w:rsid w:val="00707B49"/>
    <w:rsid w:val="00707DF2"/>
    <w:rsid w:val="00710351"/>
    <w:rsid w:val="0071068B"/>
    <w:rsid w:val="007107E8"/>
    <w:rsid w:val="007108B6"/>
    <w:rsid w:val="00710959"/>
    <w:rsid w:val="00710ED3"/>
    <w:rsid w:val="0071133C"/>
    <w:rsid w:val="00711450"/>
    <w:rsid w:val="007115C3"/>
    <w:rsid w:val="007116DB"/>
    <w:rsid w:val="00711848"/>
    <w:rsid w:val="00711BC4"/>
    <w:rsid w:val="00711D5E"/>
    <w:rsid w:val="00712271"/>
    <w:rsid w:val="007123BE"/>
    <w:rsid w:val="0071251B"/>
    <w:rsid w:val="0071256C"/>
    <w:rsid w:val="007126F9"/>
    <w:rsid w:val="00712841"/>
    <w:rsid w:val="0071289A"/>
    <w:rsid w:val="00712ACD"/>
    <w:rsid w:val="00712D58"/>
    <w:rsid w:val="00713328"/>
    <w:rsid w:val="007133BA"/>
    <w:rsid w:val="007135E0"/>
    <w:rsid w:val="007136F0"/>
    <w:rsid w:val="00713CBB"/>
    <w:rsid w:val="00714014"/>
    <w:rsid w:val="007141F6"/>
    <w:rsid w:val="00714285"/>
    <w:rsid w:val="0071468A"/>
    <w:rsid w:val="00714BDC"/>
    <w:rsid w:val="00714E4B"/>
    <w:rsid w:val="00714EED"/>
    <w:rsid w:val="00715181"/>
    <w:rsid w:val="007152DC"/>
    <w:rsid w:val="00715378"/>
    <w:rsid w:val="00715626"/>
    <w:rsid w:val="00715855"/>
    <w:rsid w:val="00715B79"/>
    <w:rsid w:val="00715CA1"/>
    <w:rsid w:val="00715CE5"/>
    <w:rsid w:val="007161BD"/>
    <w:rsid w:val="0071634A"/>
    <w:rsid w:val="007165A6"/>
    <w:rsid w:val="00716A7F"/>
    <w:rsid w:val="00716B54"/>
    <w:rsid w:val="00716C2F"/>
    <w:rsid w:val="00716CEA"/>
    <w:rsid w:val="00716FD4"/>
    <w:rsid w:val="0071706D"/>
    <w:rsid w:val="0071731B"/>
    <w:rsid w:val="0072004C"/>
    <w:rsid w:val="007205DE"/>
    <w:rsid w:val="007205EB"/>
    <w:rsid w:val="00720A26"/>
    <w:rsid w:val="00720A8E"/>
    <w:rsid w:val="00720C1C"/>
    <w:rsid w:val="00720C4F"/>
    <w:rsid w:val="0072172A"/>
    <w:rsid w:val="0072173B"/>
    <w:rsid w:val="00721952"/>
    <w:rsid w:val="00721A1A"/>
    <w:rsid w:val="00721CE1"/>
    <w:rsid w:val="00722261"/>
    <w:rsid w:val="0072243F"/>
    <w:rsid w:val="0072344E"/>
    <w:rsid w:val="0072356A"/>
    <w:rsid w:val="00723873"/>
    <w:rsid w:val="00723C11"/>
    <w:rsid w:val="00723C46"/>
    <w:rsid w:val="00723D01"/>
    <w:rsid w:val="00723DF3"/>
    <w:rsid w:val="00723EF8"/>
    <w:rsid w:val="00723F07"/>
    <w:rsid w:val="00723F97"/>
    <w:rsid w:val="00724116"/>
    <w:rsid w:val="0072433C"/>
    <w:rsid w:val="007245C5"/>
    <w:rsid w:val="00724961"/>
    <w:rsid w:val="00724980"/>
    <w:rsid w:val="00724D20"/>
    <w:rsid w:val="00724D34"/>
    <w:rsid w:val="00724D4A"/>
    <w:rsid w:val="00725180"/>
    <w:rsid w:val="00725384"/>
    <w:rsid w:val="00725508"/>
    <w:rsid w:val="00725520"/>
    <w:rsid w:val="00725644"/>
    <w:rsid w:val="00725777"/>
    <w:rsid w:val="00725970"/>
    <w:rsid w:val="00725B93"/>
    <w:rsid w:val="00725BCE"/>
    <w:rsid w:val="00725D5D"/>
    <w:rsid w:val="00726498"/>
    <w:rsid w:val="007267BA"/>
    <w:rsid w:val="007268B8"/>
    <w:rsid w:val="00726997"/>
    <w:rsid w:val="00726C55"/>
    <w:rsid w:val="007271F7"/>
    <w:rsid w:val="00727285"/>
    <w:rsid w:val="0072728B"/>
    <w:rsid w:val="00727406"/>
    <w:rsid w:val="00727687"/>
    <w:rsid w:val="0072799F"/>
    <w:rsid w:val="00727CE4"/>
    <w:rsid w:val="00730034"/>
    <w:rsid w:val="00730173"/>
    <w:rsid w:val="007302F6"/>
    <w:rsid w:val="0073036E"/>
    <w:rsid w:val="007303C1"/>
    <w:rsid w:val="00730501"/>
    <w:rsid w:val="0073064F"/>
    <w:rsid w:val="007309BF"/>
    <w:rsid w:val="00730E2D"/>
    <w:rsid w:val="007311CA"/>
    <w:rsid w:val="00731283"/>
    <w:rsid w:val="0073132B"/>
    <w:rsid w:val="00731636"/>
    <w:rsid w:val="00731684"/>
    <w:rsid w:val="00731BCF"/>
    <w:rsid w:val="00731DB3"/>
    <w:rsid w:val="00731DDA"/>
    <w:rsid w:val="00731E32"/>
    <w:rsid w:val="00731FAE"/>
    <w:rsid w:val="00732048"/>
    <w:rsid w:val="007325A8"/>
    <w:rsid w:val="00732A3E"/>
    <w:rsid w:val="00732D5E"/>
    <w:rsid w:val="00733544"/>
    <w:rsid w:val="007336C1"/>
    <w:rsid w:val="007336C9"/>
    <w:rsid w:val="0073376B"/>
    <w:rsid w:val="0073397F"/>
    <w:rsid w:val="00733DEE"/>
    <w:rsid w:val="00733E0A"/>
    <w:rsid w:val="00734E3C"/>
    <w:rsid w:val="00734EEF"/>
    <w:rsid w:val="00734FB6"/>
    <w:rsid w:val="00735076"/>
    <w:rsid w:val="00735283"/>
    <w:rsid w:val="00735364"/>
    <w:rsid w:val="0073537B"/>
    <w:rsid w:val="007356F9"/>
    <w:rsid w:val="00735707"/>
    <w:rsid w:val="007358ED"/>
    <w:rsid w:val="00735D32"/>
    <w:rsid w:val="00735D8C"/>
    <w:rsid w:val="0073601A"/>
    <w:rsid w:val="0073618C"/>
    <w:rsid w:val="00736202"/>
    <w:rsid w:val="007362CB"/>
    <w:rsid w:val="00736405"/>
    <w:rsid w:val="00736468"/>
    <w:rsid w:val="00736660"/>
    <w:rsid w:val="0073673A"/>
    <w:rsid w:val="00736786"/>
    <w:rsid w:val="0073689A"/>
    <w:rsid w:val="00736E60"/>
    <w:rsid w:val="00736FF4"/>
    <w:rsid w:val="007374CB"/>
    <w:rsid w:val="007375A1"/>
    <w:rsid w:val="0073761F"/>
    <w:rsid w:val="0073765C"/>
    <w:rsid w:val="00737A9E"/>
    <w:rsid w:val="00737C42"/>
    <w:rsid w:val="00737DC4"/>
    <w:rsid w:val="00737F68"/>
    <w:rsid w:val="0074032E"/>
    <w:rsid w:val="007405EC"/>
    <w:rsid w:val="0074072C"/>
    <w:rsid w:val="00740A0A"/>
    <w:rsid w:val="00740F19"/>
    <w:rsid w:val="00741176"/>
    <w:rsid w:val="00741316"/>
    <w:rsid w:val="0074138B"/>
    <w:rsid w:val="007413BB"/>
    <w:rsid w:val="00741AF5"/>
    <w:rsid w:val="00741C7C"/>
    <w:rsid w:val="00741E66"/>
    <w:rsid w:val="00742001"/>
    <w:rsid w:val="0074278A"/>
    <w:rsid w:val="00742806"/>
    <w:rsid w:val="00742945"/>
    <w:rsid w:val="00742A47"/>
    <w:rsid w:val="00743278"/>
    <w:rsid w:val="007441E0"/>
    <w:rsid w:val="00744259"/>
    <w:rsid w:val="0074448E"/>
    <w:rsid w:val="007448A3"/>
    <w:rsid w:val="00744B32"/>
    <w:rsid w:val="00744D57"/>
    <w:rsid w:val="00744F5E"/>
    <w:rsid w:val="007451C6"/>
    <w:rsid w:val="00745A88"/>
    <w:rsid w:val="00745A92"/>
    <w:rsid w:val="00745AD6"/>
    <w:rsid w:val="00745DA7"/>
    <w:rsid w:val="00745DAE"/>
    <w:rsid w:val="00746047"/>
    <w:rsid w:val="007460A1"/>
    <w:rsid w:val="00746155"/>
    <w:rsid w:val="007461C4"/>
    <w:rsid w:val="0074668B"/>
    <w:rsid w:val="0074696E"/>
    <w:rsid w:val="00746F5E"/>
    <w:rsid w:val="00746FF7"/>
    <w:rsid w:val="0074742C"/>
    <w:rsid w:val="00747589"/>
    <w:rsid w:val="0074762D"/>
    <w:rsid w:val="00747A35"/>
    <w:rsid w:val="00747A96"/>
    <w:rsid w:val="00750339"/>
    <w:rsid w:val="00750386"/>
    <w:rsid w:val="007505EC"/>
    <w:rsid w:val="00750600"/>
    <w:rsid w:val="00750909"/>
    <w:rsid w:val="00750A8B"/>
    <w:rsid w:val="00750AC8"/>
    <w:rsid w:val="00750D11"/>
    <w:rsid w:val="0075100C"/>
    <w:rsid w:val="007518FC"/>
    <w:rsid w:val="00751BDF"/>
    <w:rsid w:val="00751CAD"/>
    <w:rsid w:val="00751CDE"/>
    <w:rsid w:val="007522D1"/>
    <w:rsid w:val="007524D4"/>
    <w:rsid w:val="0075290D"/>
    <w:rsid w:val="00752A8F"/>
    <w:rsid w:val="00752CAE"/>
    <w:rsid w:val="00752CF7"/>
    <w:rsid w:val="00752E0B"/>
    <w:rsid w:val="00752E59"/>
    <w:rsid w:val="00752F38"/>
    <w:rsid w:val="0075351B"/>
    <w:rsid w:val="0075351F"/>
    <w:rsid w:val="00753544"/>
    <w:rsid w:val="00753A7B"/>
    <w:rsid w:val="00753BF0"/>
    <w:rsid w:val="00753C21"/>
    <w:rsid w:val="00753D4E"/>
    <w:rsid w:val="00754A70"/>
    <w:rsid w:val="00754D64"/>
    <w:rsid w:val="00754EB8"/>
    <w:rsid w:val="00754FA8"/>
    <w:rsid w:val="00755099"/>
    <w:rsid w:val="007552B9"/>
    <w:rsid w:val="007554BA"/>
    <w:rsid w:val="00755948"/>
    <w:rsid w:val="00755C26"/>
    <w:rsid w:val="00755FEE"/>
    <w:rsid w:val="00756087"/>
    <w:rsid w:val="007564F8"/>
    <w:rsid w:val="00756732"/>
    <w:rsid w:val="00756745"/>
    <w:rsid w:val="00756808"/>
    <w:rsid w:val="00757298"/>
    <w:rsid w:val="007572A9"/>
    <w:rsid w:val="007572EA"/>
    <w:rsid w:val="007575C8"/>
    <w:rsid w:val="007577FE"/>
    <w:rsid w:val="007578A7"/>
    <w:rsid w:val="007579A4"/>
    <w:rsid w:val="00757A4C"/>
    <w:rsid w:val="00757C88"/>
    <w:rsid w:val="00757E0E"/>
    <w:rsid w:val="00757F49"/>
    <w:rsid w:val="0076000A"/>
    <w:rsid w:val="0076030F"/>
    <w:rsid w:val="007605C2"/>
    <w:rsid w:val="007605E0"/>
    <w:rsid w:val="007606BA"/>
    <w:rsid w:val="00760761"/>
    <w:rsid w:val="00760A40"/>
    <w:rsid w:val="00760AF5"/>
    <w:rsid w:val="00760BE8"/>
    <w:rsid w:val="00760E91"/>
    <w:rsid w:val="00760EC9"/>
    <w:rsid w:val="007610DC"/>
    <w:rsid w:val="00761334"/>
    <w:rsid w:val="007615AF"/>
    <w:rsid w:val="0076164B"/>
    <w:rsid w:val="00761786"/>
    <w:rsid w:val="007618B6"/>
    <w:rsid w:val="00761B1F"/>
    <w:rsid w:val="00761BB7"/>
    <w:rsid w:val="00761CDC"/>
    <w:rsid w:val="0076215A"/>
    <w:rsid w:val="00762512"/>
    <w:rsid w:val="00762556"/>
    <w:rsid w:val="00762B67"/>
    <w:rsid w:val="00763155"/>
    <w:rsid w:val="00763491"/>
    <w:rsid w:val="00763509"/>
    <w:rsid w:val="00763971"/>
    <w:rsid w:val="007639D2"/>
    <w:rsid w:val="00763C4D"/>
    <w:rsid w:val="00763EB4"/>
    <w:rsid w:val="00763F57"/>
    <w:rsid w:val="00764C52"/>
    <w:rsid w:val="00764E93"/>
    <w:rsid w:val="00764F5B"/>
    <w:rsid w:val="00764FD4"/>
    <w:rsid w:val="00765282"/>
    <w:rsid w:val="00765691"/>
    <w:rsid w:val="007657A6"/>
    <w:rsid w:val="00765A80"/>
    <w:rsid w:val="00765BCB"/>
    <w:rsid w:val="00765C68"/>
    <w:rsid w:val="00765E0E"/>
    <w:rsid w:val="00765E50"/>
    <w:rsid w:val="0076611F"/>
    <w:rsid w:val="007661E7"/>
    <w:rsid w:val="00766210"/>
    <w:rsid w:val="00766340"/>
    <w:rsid w:val="00766528"/>
    <w:rsid w:val="00766622"/>
    <w:rsid w:val="007668E2"/>
    <w:rsid w:val="00766927"/>
    <w:rsid w:val="007669A7"/>
    <w:rsid w:val="00766AE9"/>
    <w:rsid w:val="00766AF1"/>
    <w:rsid w:val="00766BA1"/>
    <w:rsid w:val="00766CC3"/>
    <w:rsid w:val="00766EB8"/>
    <w:rsid w:val="00767101"/>
    <w:rsid w:val="0076753B"/>
    <w:rsid w:val="00767646"/>
    <w:rsid w:val="00767837"/>
    <w:rsid w:val="00767BFD"/>
    <w:rsid w:val="00767D01"/>
    <w:rsid w:val="00767DA2"/>
    <w:rsid w:val="00767E35"/>
    <w:rsid w:val="00767F52"/>
    <w:rsid w:val="00770DBE"/>
    <w:rsid w:val="00771312"/>
    <w:rsid w:val="00771475"/>
    <w:rsid w:val="00771B63"/>
    <w:rsid w:val="00771D1E"/>
    <w:rsid w:val="00771E2B"/>
    <w:rsid w:val="00771F58"/>
    <w:rsid w:val="00772076"/>
    <w:rsid w:val="00772212"/>
    <w:rsid w:val="007726C3"/>
    <w:rsid w:val="0077282E"/>
    <w:rsid w:val="00772CE6"/>
    <w:rsid w:val="00772D61"/>
    <w:rsid w:val="0077333E"/>
    <w:rsid w:val="007733A2"/>
    <w:rsid w:val="007733AE"/>
    <w:rsid w:val="00773638"/>
    <w:rsid w:val="007737EB"/>
    <w:rsid w:val="00773938"/>
    <w:rsid w:val="00773A07"/>
    <w:rsid w:val="00773A84"/>
    <w:rsid w:val="00773BCF"/>
    <w:rsid w:val="00773C62"/>
    <w:rsid w:val="00773D74"/>
    <w:rsid w:val="00773D9B"/>
    <w:rsid w:val="0077412F"/>
    <w:rsid w:val="0077457B"/>
    <w:rsid w:val="007746E6"/>
    <w:rsid w:val="007746EA"/>
    <w:rsid w:val="007746F6"/>
    <w:rsid w:val="007747BB"/>
    <w:rsid w:val="00774A8E"/>
    <w:rsid w:val="00774E1B"/>
    <w:rsid w:val="00774F26"/>
    <w:rsid w:val="00774FC2"/>
    <w:rsid w:val="00775223"/>
    <w:rsid w:val="007752D3"/>
    <w:rsid w:val="00775358"/>
    <w:rsid w:val="00775648"/>
    <w:rsid w:val="0077572B"/>
    <w:rsid w:val="007757EC"/>
    <w:rsid w:val="00775870"/>
    <w:rsid w:val="00775952"/>
    <w:rsid w:val="0077598E"/>
    <w:rsid w:val="007764E8"/>
    <w:rsid w:val="00776538"/>
    <w:rsid w:val="00776671"/>
    <w:rsid w:val="007766C4"/>
    <w:rsid w:val="00776BE4"/>
    <w:rsid w:val="00776E61"/>
    <w:rsid w:val="00776EA3"/>
    <w:rsid w:val="00776FEF"/>
    <w:rsid w:val="00777201"/>
    <w:rsid w:val="007776D9"/>
    <w:rsid w:val="007777FA"/>
    <w:rsid w:val="0077790D"/>
    <w:rsid w:val="00777A13"/>
    <w:rsid w:val="00777A37"/>
    <w:rsid w:val="00777F83"/>
    <w:rsid w:val="00780112"/>
    <w:rsid w:val="0078011B"/>
    <w:rsid w:val="007804F4"/>
    <w:rsid w:val="00780647"/>
    <w:rsid w:val="00780964"/>
    <w:rsid w:val="00780EAA"/>
    <w:rsid w:val="0078143F"/>
    <w:rsid w:val="007814D2"/>
    <w:rsid w:val="0078153C"/>
    <w:rsid w:val="007817D1"/>
    <w:rsid w:val="007819D2"/>
    <w:rsid w:val="007820F0"/>
    <w:rsid w:val="007822F5"/>
    <w:rsid w:val="0078275B"/>
    <w:rsid w:val="00782B12"/>
    <w:rsid w:val="00782B5D"/>
    <w:rsid w:val="00782E32"/>
    <w:rsid w:val="00782FE1"/>
    <w:rsid w:val="00783387"/>
    <w:rsid w:val="00783714"/>
    <w:rsid w:val="0078376B"/>
    <w:rsid w:val="00783848"/>
    <w:rsid w:val="007839D6"/>
    <w:rsid w:val="00783AA6"/>
    <w:rsid w:val="00783B72"/>
    <w:rsid w:val="00783C1A"/>
    <w:rsid w:val="00783C44"/>
    <w:rsid w:val="00783EE6"/>
    <w:rsid w:val="0078415C"/>
    <w:rsid w:val="0078419E"/>
    <w:rsid w:val="007845A5"/>
    <w:rsid w:val="007845B8"/>
    <w:rsid w:val="00784624"/>
    <w:rsid w:val="007846EB"/>
    <w:rsid w:val="007849B7"/>
    <w:rsid w:val="00784A0D"/>
    <w:rsid w:val="007850FA"/>
    <w:rsid w:val="007854D9"/>
    <w:rsid w:val="007855BB"/>
    <w:rsid w:val="0078565A"/>
    <w:rsid w:val="00785A61"/>
    <w:rsid w:val="00785AB4"/>
    <w:rsid w:val="00785BE4"/>
    <w:rsid w:val="00785DAD"/>
    <w:rsid w:val="007862B4"/>
    <w:rsid w:val="007865EA"/>
    <w:rsid w:val="00786955"/>
    <w:rsid w:val="00786CF5"/>
    <w:rsid w:val="00786D1F"/>
    <w:rsid w:val="0078701D"/>
    <w:rsid w:val="00787339"/>
    <w:rsid w:val="0078751E"/>
    <w:rsid w:val="007875F4"/>
    <w:rsid w:val="00787684"/>
    <w:rsid w:val="007876B6"/>
    <w:rsid w:val="007878C8"/>
    <w:rsid w:val="00787A7E"/>
    <w:rsid w:val="00787B50"/>
    <w:rsid w:val="00787B82"/>
    <w:rsid w:val="00787BDC"/>
    <w:rsid w:val="00787EB3"/>
    <w:rsid w:val="00787EE8"/>
    <w:rsid w:val="00787F14"/>
    <w:rsid w:val="00787F38"/>
    <w:rsid w:val="0079010C"/>
    <w:rsid w:val="007902A7"/>
    <w:rsid w:val="007906F6"/>
    <w:rsid w:val="00790729"/>
    <w:rsid w:val="00790AE6"/>
    <w:rsid w:val="00790ED5"/>
    <w:rsid w:val="007910CD"/>
    <w:rsid w:val="007911A9"/>
    <w:rsid w:val="00791202"/>
    <w:rsid w:val="0079123B"/>
    <w:rsid w:val="007912F2"/>
    <w:rsid w:val="007916A6"/>
    <w:rsid w:val="00791815"/>
    <w:rsid w:val="00791830"/>
    <w:rsid w:val="007919D0"/>
    <w:rsid w:val="00791C0D"/>
    <w:rsid w:val="00792525"/>
    <w:rsid w:val="00792D08"/>
    <w:rsid w:val="00792F3C"/>
    <w:rsid w:val="007934B7"/>
    <w:rsid w:val="00793A67"/>
    <w:rsid w:val="00793C19"/>
    <w:rsid w:val="00793D9D"/>
    <w:rsid w:val="0079435C"/>
    <w:rsid w:val="0079464B"/>
    <w:rsid w:val="0079480E"/>
    <w:rsid w:val="00794817"/>
    <w:rsid w:val="0079483A"/>
    <w:rsid w:val="0079493D"/>
    <w:rsid w:val="0079496C"/>
    <w:rsid w:val="00794DCB"/>
    <w:rsid w:val="00794E43"/>
    <w:rsid w:val="00794FE6"/>
    <w:rsid w:val="00795474"/>
    <w:rsid w:val="007956CC"/>
    <w:rsid w:val="00795CC7"/>
    <w:rsid w:val="007960DE"/>
    <w:rsid w:val="00796247"/>
    <w:rsid w:val="0079645F"/>
    <w:rsid w:val="007966B4"/>
    <w:rsid w:val="00796A02"/>
    <w:rsid w:val="00796A0F"/>
    <w:rsid w:val="00796FCB"/>
    <w:rsid w:val="0079705D"/>
    <w:rsid w:val="00797294"/>
    <w:rsid w:val="007975D9"/>
    <w:rsid w:val="0079764A"/>
    <w:rsid w:val="0079784F"/>
    <w:rsid w:val="00797BB5"/>
    <w:rsid w:val="00797CB2"/>
    <w:rsid w:val="00797DF3"/>
    <w:rsid w:val="00797E93"/>
    <w:rsid w:val="00797FB9"/>
    <w:rsid w:val="007A00DE"/>
    <w:rsid w:val="007A08F9"/>
    <w:rsid w:val="007A0AA3"/>
    <w:rsid w:val="007A0AC6"/>
    <w:rsid w:val="007A0D61"/>
    <w:rsid w:val="007A0D7A"/>
    <w:rsid w:val="007A0DBB"/>
    <w:rsid w:val="007A0FA7"/>
    <w:rsid w:val="007A1163"/>
    <w:rsid w:val="007A11DE"/>
    <w:rsid w:val="007A143E"/>
    <w:rsid w:val="007A15A8"/>
    <w:rsid w:val="007A163C"/>
    <w:rsid w:val="007A173E"/>
    <w:rsid w:val="007A198E"/>
    <w:rsid w:val="007A19F6"/>
    <w:rsid w:val="007A1ADB"/>
    <w:rsid w:val="007A1BAD"/>
    <w:rsid w:val="007A1DC6"/>
    <w:rsid w:val="007A20DD"/>
    <w:rsid w:val="007A2192"/>
    <w:rsid w:val="007A21A4"/>
    <w:rsid w:val="007A21FF"/>
    <w:rsid w:val="007A25E4"/>
    <w:rsid w:val="007A29C3"/>
    <w:rsid w:val="007A2CD2"/>
    <w:rsid w:val="007A3019"/>
    <w:rsid w:val="007A3689"/>
    <w:rsid w:val="007A37B1"/>
    <w:rsid w:val="007A390D"/>
    <w:rsid w:val="007A3AC9"/>
    <w:rsid w:val="007A3BF5"/>
    <w:rsid w:val="007A3E17"/>
    <w:rsid w:val="007A4160"/>
    <w:rsid w:val="007A46C1"/>
    <w:rsid w:val="007A47CC"/>
    <w:rsid w:val="007A491B"/>
    <w:rsid w:val="007A4BBE"/>
    <w:rsid w:val="007A4F06"/>
    <w:rsid w:val="007A4FC6"/>
    <w:rsid w:val="007A5176"/>
    <w:rsid w:val="007A5196"/>
    <w:rsid w:val="007A51D7"/>
    <w:rsid w:val="007A521C"/>
    <w:rsid w:val="007A5228"/>
    <w:rsid w:val="007A5262"/>
    <w:rsid w:val="007A52E4"/>
    <w:rsid w:val="007A547D"/>
    <w:rsid w:val="007A593A"/>
    <w:rsid w:val="007A59C3"/>
    <w:rsid w:val="007A5ADA"/>
    <w:rsid w:val="007A5AF0"/>
    <w:rsid w:val="007A5D48"/>
    <w:rsid w:val="007A5DA9"/>
    <w:rsid w:val="007A6026"/>
    <w:rsid w:val="007A6239"/>
    <w:rsid w:val="007A6315"/>
    <w:rsid w:val="007A6489"/>
    <w:rsid w:val="007A64C8"/>
    <w:rsid w:val="007A6625"/>
    <w:rsid w:val="007A67A5"/>
    <w:rsid w:val="007A6E3D"/>
    <w:rsid w:val="007A7049"/>
    <w:rsid w:val="007A70CE"/>
    <w:rsid w:val="007A715B"/>
    <w:rsid w:val="007A7216"/>
    <w:rsid w:val="007A747E"/>
    <w:rsid w:val="007A7620"/>
    <w:rsid w:val="007A7736"/>
    <w:rsid w:val="007A77C0"/>
    <w:rsid w:val="007A792C"/>
    <w:rsid w:val="007A793B"/>
    <w:rsid w:val="007A7A89"/>
    <w:rsid w:val="007A7F70"/>
    <w:rsid w:val="007B0220"/>
    <w:rsid w:val="007B024A"/>
    <w:rsid w:val="007B0612"/>
    <w:rsid w:val="007B081E"/>
    <w:rsid w:val="007B08ED"/>
    <w:rsid w:val="007B090A"/>
    <w:rsid w:val="007B0B9A"/>
    <w:rsid w:val="007B102B"/>
    <w:rsid w:val="007B1245"/>
    <w:rsid w:val="007B12E6"/>
    <w:rsid w:val="007B1485"/>
    <w:rsid w:val="007B14AA"/>
    <w:rsid w:val="007B153E"/>
    <w:rsid w:val="007B15FA"/>
    <w:rsid w:val="007B17A0"/>
    <w:rsid w:val="007B1A31"/>
    <w:rsid w:val="007B1E67"/>
    <w:rsid w:val="007B1E91"/>
    <w:rsid w:val="007B262E"/>
    <w:rsid w:val="007B2957"/>
    <w:rsid w:val="007B2997"/>
    <w:rsid w:val="007B2B8B"/>
    <w:rsid w:val="007B2F58"/>
    <w:rsid w:val="007B30F9"/>
    <w:rsid w:val="007B32BA"/>
    <w:rsid w:val="007B32E5"/>
    <w:rsid w:val="007B351E"/>
    <w:rsid w:val="007B3F11"/>
    <w:rsid w:val="007B42A1"/>
    <w:rsid w:val="007B4789"/>
    <w:rsid w:val="007B48AB"/>
    <w:rsid w:val="007B4CEA"/>
    <w:rsid w:val="007B55FA"/>
    <w:rsid w:val="007B57E1"/>
    <w:rsid w:val="007B5C8F"/>
    <w:rsid w:val="007B5CFD"/>
    <w:rsid w:val="007B611C"/>
    <w:rsid w:val="007B6750"/>
    <w:rsid w:val="007B69FA"/>
    <w:rsid w:val="007B6B66"/>
    <w:rsid w:val="007B6C87"/>
    <w:rsid w:val="007B7000"/>
    <w:rsid w:val="007B72B1"/>
    <w:rsid w:val="007B767F"/>
    <w:rsid w:val="007B779C"/>
    <w:rsid w:val="007B79F8"/>
    <w:rsid w:val="007B7C2A"/>
    <w:rsid w:val="007C045D"/>
    <w:rsid w:val="007C0F9D"/>
    <w:rsid w:val="007C138E"/>
    <w:rsid w:val="007C1415"/>
    <w:rsid w:val="007C14DF"/>
    <w:rsid w:val="007C1636"/>
    <w:rsid w:val="007C1652"/>
    <w:rsid w:val="007C1C06"/>
    <w:rsid w:val="007C20F5"/>
    <w:rsid w:val="007C2444"/>
    <w:rsid w:val="007C267B"/>
    <w:rsid w:val="007C2A38"/>
    <w:rsid w:val="007C2AE6"/>
    <w:rsid w:val="007C2BA9"/>
    <w:rsid w:val="007C2C10"/>
    <w:rsid w:val="007C3138"/>
    <w:rsid w:val="007C332D"/>
    <w:rsid w:val="007C3511"/>
    <w:rsid w:val="007C3A31"/>
    <w:rsid w:val="007C3B69"/>
    <w:rsid w:val="007C3D9F"/>
    <w:rsid w:val="007C3E28"/>
    <w:rsid w:val="007C4034"/>
    <w:rsid w:val="007C40BF"/>
    <w:rsid w:val="007C45B0"/>
    <w:rsid w:val="007C46F6"/>
    <w:rsid w:val="007C4857"/>
    <w:rsid w:val="007C4BB0"/>
    <w:rsid w:val="007C5244"/>
    <w:rsid w:val="007C5A41"/>
    <w:rsid w:val="007C5ABE"/>
    <w:rsid w:val="007C5E43"/>
    <w:rsid w:val="007C5E5F"/>
    <w:rsid w:val="007C5EB4"/>
    <w:rsid w:val="007C627A"/>
    <w:rsid w:val="007C6348"/>
    <w:rsid w:val="007C64BF"/>
    <w:rsid w:val="007C6553"/>
    <w:rsid w:val="007C6980"/>
    <w:rsid w:val="007C6D19"/>
    <w:rsid w:val="007C6EF4"/>
    <w:rsid w:val="007C76C5"/>
    <w:rsid w:val="007C7971"/>
    <w:rsid w:val="007C7E58"/>
    <w:rsid w:val="007D04A2"/>
    <w:rsid w:val="007D07FE"/>
    <w:rsid w:val="007D0B4F"/>
    <w:rsid w:val="007D0C2F"/>
    <w:rsid w:val="007D0C31"/>
    <w:rsid w:val="007D0CBD"/>
    <w:rsid w:val="007D0CF4"/>
    <w:rsid w:val="007D0D8E"/>
    <w:rsid w:val="007D0EDA"/>
    <w:rsid w:val="007D1017"/>
    <w:rsid w:val="007D1059"/>
    <w:rsid w:val="007D10A3"/>
    <w:rsid w:val="007D190A"/>
    <w:rsid w:val="007D1FC8"/>
    <w:rsid w:val="007D2052"/>
    <w:rsid w:val="007D2085"/>
    <w:rsid w:val="007D20A4"/>
    <w:rsid w:val="007D2246"/>
    <w:rsid w:val="007D278F"/>
    <w:rsid w:val="007D28B8"/>
    <w:rsid w:val="007D298F"/>
    <w:rsid w:val="007D2A8B"/>
    <w:rsid w:val="007D2B34"/>
    <w:rsid w:val="007D2DBD"/>
    <w:rsid w:val="007D2E9D"/>
    <w:rsid w:val="007D3024"/>
    <w:rsid w:val="007D306B"/>
    <w:rsid w:val="007D31D8"/>
    <w:rsid w:val="007D3BD5"/>
    <w:rsid w:val="007D3D59"/>
    <w:rsid w:val="007D3E8E"/>
    <w:rsid w:val="007D438D"/>
    <w:rsid w:val="007D489E"/>
    <w:rsid w:val="007D4EBD"/>
    <w:rsid w:val="007D51FE"/>
    <w:rsid w:val="007D533F"/>
    <w:rsid w:val="007D5496"/>
    <w:rsid w:val="007D5591"/>
    <w:rsid w:val="007D566C"/>
    <w:rsid w:val="007D5734"/>
    <w:rsid w:val="007D5A57"/>
    <w:rsid w:val="007D5E17"/>
    <w:rsid w:val="007D5FE4"/>
    <w:rsid w:val="007D61D8"/>
    <w:rsid w:val="007D62A9"/>
    <w:rsid w:val="007D6355"/>
    <w:rsid w:val="007D6589"/>
    <w:rsid w:val="007D6AFC"/>
    <w:rsid w:val="007D6E61"/>
    <w:rsid w:val="007D7372"/>
    <w:rsid w:val="007D7451"/>
    <w:rsid w:val="007D7630"/>
    <w:rsid w:val="007D78A1"/>
    <w:rsid w:val="007D78D3"/>
    <w:rsid w:val="007D78E9"/>
    <w:rsid w:val="007D79D9"/>
    <w:rsid w:val="007D7A5C"/>
    <w:rsid w:val="007D7C8F"/>
    <w:rsid w:val="007D7EDC"/>
    <w:rsid w:val="007E045E"/>
    <w:rsid w:val="007E0555"/>
    <w:rsid w:val="007E0580"/>
    <w:rsid w:val="007E06F3"/>
    <w:rsid w:val="007E08B0"/>
    <w:rsid w:val="007E0A5D"/>
    <w:rsid w:val="007E0CAA"/>
    <w:rsid w:val="007E0E20"/>
    <w:rsid w:val="007E10F0"/>
    <w:rsid w:val="007E1264"/>
    <w:rsid w:val="007E1265"/>
    <w:rsid w:val="007E14F8"/>
    <w:rsid w:val="007E1552"/>
    <w:rsid w:val="007E15D8"/>
    <w:rsid w:val="007E188C"/>
    <w:rsid w:val="007E1A54"/>
    <w:rsid w:val="007E1B64"/>
    <w:rsid w:val="007E1D33"/>
    <w:rsid w:val="007E1F0A"/>
    <w:rsid w:val="007E231B"/>
    <w:rsid w:val="007E2601"/>
    <w:rsid w:val="007E2721"/>
    <w:rsid w:val="007E2990"/>
    <w:rsid w:val="007E2F2E"/>
    <w:rsid w:val="007E2FE8"/>
    <w:rsid w:val="007E31CF"/>
    <w:rsid w:val="007E3395"/>
    <w:rsid w:val="007E348F"/>
    <w:rsid w:val="007E36A0"/>
    <w:rsid w:val="007E3A23"/>
    <w:rsid w:val="007E3D9C"/>
    <w:rsid w:val="007E4261"/>
    <w:rsid w:val="007E435C"/>
    <w:rsid w:val="007E458D"/>
    <w:rsid w:val="007E4744"/>
    <w:rsid w:val="007E49A8"/>
    <w:rsid w:val="007E4C3A"/>
    <w:rsid w:val="007E4CA9"/>
    <w:rsid w:val="007E4F5A"/>
    <w:rsid w:val="007E502E"/>
    <w:rsid w:val="007E5084"/>
    <w:rsid w:val="007E5149"/>
    <w:rsid w:val="007E52F4"/>
    <w:rsid w:val="007E53E2"/>
    <w:rsid w:val="007E54B3"/>
    <w:rsid w:val="007E54F0"/>
    <w:rsid w:val="007E5654"/>
    <w:rsid w:val="007E6683"/>
    <w:rsid w:val="007E686C"/>
    <w:rsid w:val="007E6AF9"/>
    <w:rsid w:val="007E6DB1"/>
    <w:rsid w:val="007E7066"/>
    <w:rsid w:val="007E70C7"/>
    <w:rsid w:val="007E737A"/>
    <w:rsid w:val="007E73B9"/>
    <w:rsid w:val="007E769E"/>
    <w:rsid w:val="007E76CB"/>
    <w:rsid w:val="007E795E"/>
    <w:rsid w:val="007E7AC6"/>
    <w:rsid w:val="007E7B19"/>
    <w:rsid w:val="007E7C36"/>
    <w:rsid w:val="007E7CAA"/>
    <w:rsid w:val="007F01F8"/>
    <w:rsid w:val="007F030E"/>
    <w:rsid w:val="007F0615"/>
    <w:rsid w:val="007F0722"/>
    <w:rsid w:val="007F0A33"/>
    <w:rsid w:val="007F0A53"/>
    <w:rsid w:val="007F0AF1"/>
    <w:rsid w:val="007F0B56"/>
    <w:rsid w:val="007F0D1D"/>
    <w:rsid w:val="007F0E54"/>
    <w:rsid w:val="007F0FB4"/>
    <w:rsid w:val="007F1208"/>
    <w:rsid w:val="007F1249"/>
    <w:rsid w:val="007F1568"/>
    <w:rsid w:val="007F158E"/>
    <w:rsid w:val="007F17C7"/>
    <w:rsid w:val="007F196B"/>
    <w:rsid w:val="007F1ADF"/>
    <w:rsid w:val="007F1BE8"/>
    <w:rsid w:val="007F1C32"/>
    <w:rsid w:val="007F1E35"/>
    <w:rsid w:val="007F2441"/>
    <w:rsid w:val="007F24E1"/>
    <w:rsid w:val="007F2858"/>
    <w:rsid w:val="007F2A03"/>
    <w:rsid w:val="007F3B1C"/>
    <w:rsid w:val="007F3BE8"/>
    <w:rsid w:val="007F3C18"/>
    <w:rsid w:val="007F40B6"/>
    <w:rsid w:val="007F411E"/>
    <w:rsid w:val="007F4479"/>
    <w:rsid w:val="007F4BDD"/>
    <w:rsid w:val="007F527A"/>
    <w:rsid w:val="007F52C4"/>
    <w:rsid w:val="007F5931"/>
    <w:rsid w:val="007F5D1E"/>
    <w:rsid w:val="007F5E12"/>
    <w:rsid w:val="007F5E93"/>
    <w:rsid w:val="007F6004"/>
    <w:rsid w:val="007F60ED"/>
    <w:rsid w:val="007F6115"/>
    <w:rsid w:val="007F62EE"/>
    <w:rsid w:val="007F63A6"/>
    <w:rsid w:val="007F63BD"/>
    <w:rsid w:val="007F6507"/>
    <w:rsid w:val="007F6633"/>
    <w:rsid w:val="007F6DD5"/>
    <w:rsid w:val="007F7055"/>
    <w:rsid w:val="007F722C"/>
    <w:rsid w:val="007F7287"/>
    <w:rsid w:val="007F73B3"/>
    <w:rsid w:val="007F7458"/>
    <w:rsid w:val="007F760D"/>
    <w:rsid w:val="007F779F"/>
    <w:rsid w:val="007F790C"/>
    <w:rsid w:val="007F79D2"/>
    <w:rsid w:val="007F7CFA"/>
    <w:rsid w:val="007F7FC3"/>
    <w:rsid w:val="00800162"/>
    <w:rsid w:val="008001B9"/>
    <w:rsid w:val="0080068E"/>
    <w:rsid w:val="0080072D"/>
    <w:rsid w:val="00800893"/>
    <w:rsid w:val="00800B3E"/>
    <w:rsid w:val="00800D76"/>
    <w:rsid w:val="00800E90"/>
    <w:rsid w:val="00800FBB"/>
    <w:rsid w:val="008012FF"/>
    <w:rsid w:val="0080152E"/>
    <w:rsid w:val="00801650"/>
    <w:rsid w:val="0080191D"/>
    <w:rsid w:val="00801EE5"/>
    <w:rsid w:val="00802012"/>
    <w:rsid w:val="00802063"/>
    <w:rsid w:val="00802347"/>
    <w:rsid w:val="0080261D"/>
    <w:rsid w:val="00802A9D"/>
    <w:rsid w:val="00802D10"/>
    <w:rsid w:val="00802D8E"/>
    <w:rsid w:val="00803655"/>
    <w:rsid w:val="00804415"/>
    <w:rsid w:val="0080468A"/>
    <w:rsid w:val="00804792"/>
    <w:rsid w:val="008048F6"/>
    <w:rsid w:val="00804BD8"/>
    <w:rsid w:val="00804E26"/>
    <w:rsid w:val="00804FAA"/>
    <w:rsid w:val="0080548D"/>
    <w:rsid w:val="0080589C"/>
    <w:rsid w:val="008059F0"/>
    <w:rsid w:val="00805DB4"/>
    <w:rsid w:val="00805F57"/>
    <w:rsid w:val="00806395"/>
    <w:rsid w:val="008064C0"/>
    <w:rsid w:val="00806C15"/>
    <w:rsid w:val="00806CF3"/>
    <w:rsid w:val="0080706C"/>
    <w:rsid w:val="00807144"/>
    <w:rsid w:val="00807216"/>
    <w:rsid w:val="00807426"/>
    <w:rsid w:val="00807448"/>
    <w:rsid w:val="00807619"/>
    <w:rsid w:val="00807BB3"/>
    <w:rsid w:val="00807C95"/>
    <w:rsid w:val="00807EBE"/>
    <w:rsid w:val="008100EA"/>
    <w:rsid w:val="00810153"/>
    <w:rsid w:val="00810175"/>
    <w:rsid w:val="00810244"/>
    <w:rsid w:val="008103F5"/>
    <w:rsid w:val="0081084D"/>
    <w:rsid w:val="00810A16"/>
    <w:rsid w:val="00810AAD"/>
    <w:rsid w:val="00810C5C"/>
    <w:rsid w:val="00810D5F"/>
    <w:rsid w:val="00810FD6"/>
    <w:rsid w:val="00810FDC"/>
    <w:rsid w:val="00811071"/>
    <w:rsid w:val="008111B8"/>
    <w:rsid w:val="008112BE"/>
    <w:rsid w:val="008113A8"/>
    <w:rsid w:val="008115D7"/>
    <w:rsid w:val="0081168F"/>
    <w:rsid w:val="008116F3"/>
    <w:rsid w:val="00811765"/>
    <w:rsid w:val="008118F8"/>
    <w:rsid w:val="00811DA2"/>
    <w:rsid w:val="0081272F"/>
    <w:rsid w:val="00812CAB"/>
    <w:rsid w:val="00812D7A"/>
    <w:rsid w:val="00812DCB"/>
    <w:rsid w:val="00812F09"/>
    <w:rsid w:val="008130A4"/>
    <w:rsid w:val="008135BA"/>
    <w:rsid w:val="008138D6"/>
    <w:rsid w:val="00813A19"/>
    <w:rsid w:val="00813A7B"/>
    <w:rsid w:val="00813D4E"/>
    <w:rsid w:val="00813F2D"/>
    <w:rsid w:val="00814476"/>
    <w:rsid w:val="008145BD"/>
    <w:rsid w:val="00814A0C"/>
    <w:rsid w:val="00814D70"/>
    <w:rsid w:val="008154D6"/>
    <w:rsid w:val="008155B1"/>
    <w:rsid w:val="008155BF"/>
    <w:rsid w:val="008157C3"/>
    <w:rsid w:val="008157FA"/>
    <w:rsid w:val="00815A21"/>
    <w:rsid w:val="00815B04"/>
    <w:rsid w:val="00815C70"/>
    <w:rsid w:val="0081624A"/>
    <w:rsid w:val="00816332"/>
    <w:rsid w:val="00816541"/>
    <w:rsid w:val="00816833"/>
    <w:rsid w:val="008168A2"/>
    <w:rsid w:val="00816BA4"/>
    <w:rsid w:val="008179EF"/>
    <w:rsid w:val="00817A38"/>
    <w:rsid w:val="00817B5E"/>
    <w:rsid w:val="00817D48"/>
    <w:rsid w:val="00817DAF"/>
    <w:rsid w:val="00817EF6"/>
    <w:rsid w:val="008200D3"/>
    <w:rsid w:val="00820212"/>
    <w:rsid w:val="008203EF"/>
    <w:rsid w:val="0082045C"/>
    <w:rsid w:val="008205E1"/>
    <w:rsid w:val="00820831"/>
    <w:rsid w:val="00820834"/>
    <w:rsid w:val="00820AEE"/>
    <w:rsid w:val="00820EFA"/>
    <w:rsid w:val="00820F9E"/>
    <w:rsid w:val="008211DD"/>
    <w:rsid w:val="008212A4"/>
    <w:rsid w:val="008212D3"/>
    <w:rsid w:val="00821749"/>
    <w:rsid w:val="008219D2"/>
    <w:rsid w:val="00821B7D"/>
    <w:rsid w:val="00821B82"/>
    <w:rsid w:val="008220BB"/>
    <w:rsid w:val="00822175"/>
    <w:rsid w:val="00822F48"/>
    <w:rsid w:val="00822FE4"/>
    <w:rsid w:val="00823357"/>
    <w:rsid w:val="00823497"/>
    <w:rsid w:val="0082376A"/>
    <w:rsid w:val="00823B55"/>
    <w:rsid w:val="0082413D"/>
    <w:rsid w:val="008244A2"/>
    <w:rsid w:val="008246BA"/>
    <w:rsid w:val="008249DC"/>
    <w:rsid w:val="00825072"/>
    <w:rsid w:val="00825123"/>
    <w:rsid w:val="00825413"/>
    <w:rsid w:val="008256A0"/>
    <w:rsid w:val="00825FAE"/>
    <w:rsid w:val="00825FB1"/>
    <w:rsid w:val="00826625"/>
    <w:rsid w:val="00826AFD"/>
    <w:rsid w:val="00826CB5"/>
    <w:rsid w:val="00826D36"/>
    <w:rsid w:val="00826DCB"/>
    <w:rsid w:val="00826F0D"/>
    <w:rsid w:val="008270D9"/>
    <w:rsid w:val="00827966"/>
    <w:rsid w:val="00827A11"/>
    <w:rsid w:val="00827CC7"/>
    <w:rsid w:val="00827F66"/>
    <w:rsid w:val="0083030E"/>
    <w:rsid w:val="00830526"/>
    <w:rsid w:val="0083060A"/>
    <w:rsid w:val="00830774"/>
    <w:rsid w:val="00831488"/>
    <w:rsid w:val="008315E5"/>
    <w:rsid w:val="008317FA"/>
    <w:rsid w:val="00831B5F"/>
    <w:rsid w:val="00831B65"/>
    <w:rsid w:val="00831ECD"/>
    <w:rsid w:val="008321F8"/>
    <w:rsid w:val="0083246B"/>
    <w:rsid w:val="00832672"/>
    <w:rsid w:val="0083274A"/>
    <w:rsid w:val="00832758"/>
    <w:rsid w:val="00832767"/>
    <w:rsid w:val="0083276F"/>
    <w:rsid w:val="008328C7"/>
    <w:rsid w:val="00832E61"/>
    <w:rsid w:val="00832EFF"/>
    <w:rsid w:val="00832F17"/>
    <w:rsid w:val="00832F1C"/>
    <w:rsid w:val="00833450"/>
    <w:rsid w:val="00833CCA"/>
    <w:rsid w:val="00833E13"/>
    <w:rsid w:val="00833F62"/>
    <w:rsid w:val="00833FAA"/>
    <w:rsid w:val="0083410F"/>
    <w:rsid w:val="008347D9"/>
    <w:rsid w:val="00834921"/>
    <w:rsid w:val="00834BC3"/>
    <w:rsid w:val="00834D29"/>
    <w:rsid w:val="00834D89"/>
    <w:rsid w:val="00835075"/>
    <w:rsid w:val="0083519A"/>
    <w:rsid w:val="008352B9"/>
    <w:rsid w:val="0083586C"/>
    <w:rsid w:val="00835D80"/>
    <w:rsid w:val="00835FB2"/>
    <w:rsid w:val="00836306"/>
    <w:rsid w:val="00836347"/>
    <w:rsid w:val="0083651F"/>
    <w:rsid w:val="008365CA"/>
    <w:rsid w:val="00836719"/>
    <w:rsid w:val="0083686C"/>
    <w:rsid w:val="00836976"/>
    <w:rsid w:val="008369F4"/>
    <w:rsid w:val="008370C2"/>
    <w:rsid w:val="00837AD7"/>
    <w:rsid w:val="0084011E"/>
    <w:rsid w:val="008403B2"/>
    <w:rsid w:val="008403F4"/>
    <w:rsid w:val="0084052A"/>
    <w:rsid w:val="00840934"/>
    <w:rsid w:val="00840B70"/>
    <w:rsid w:val="00840D1F"/>
    <w:rsid w:val="00840D72"/>
    <w:rsid w:val="00840E9B"/>
    <w:rsid w:val="00840ECA"/>
    <w:rsid w:val="00840FBC"/>
    <w:rsid w:val="0084105F"/>
    <w:rsid w:val="00841962"/>
    <w:rsid w:val="00841974"/>
    <w:rsid w:val="008420F8"/>
    <w:rsid w:val="0084239A"/>
    <w:rsid w:val="00842719"/>
    <w:rsid w:val="00842BC9"/>
    <w:rsid w:val="00842E4A"/>
    <w:rsid w:val="00842E7A"/>
    <w:rsid w:val="008431F3"/>
    <w:rsid w:val="00843322"/>
    <w:rsid w:val="0084333A"/>
    <w:rsid w:val="00843468"/>
    <w:rsid w:val="008435A9"/>
    <w:rsid w:val="0084365F"/>
    <w:rsid w:val="00843866"/>
    <w:rsid w:val="00843959"/>
    <w:rsid w:val="00843ACD"/>
    <w:rsid w:val="00843DDF"/>
    <w:rsid w:val="00843E03"/>
    <w:rsid w:val="0084405A"/>
    <w:rsid w:val="00844091"/>
    <w:rsid w:val="008440D7"/>
    <w:rsid w:val="008441D9"/>
    <w:rsid w:val="008442E0"/>
    <w:rsid w:val="0084499B"/>
    <w:rsid w:val="00844F20"/>
    <w:rsid w:val="00845013"/>
    <w:rsid w:val="00845629"/>
    <w:rsid w:val="008457B6"/>
    <w:rsid w:val="00845A39"/>
    <w:rsid w:val="00845F24"/>
    <w:rsid w:val="0084621B"/>
    <w:rsid w:val="008462BC"/>
    <w:rsid w:val="00846552"/>
    <w:rsid w:val="0084694B"/>
    <w:rsid w:val="00846C12"/>
    <w:rsid w:val="00846C56"/>
    <w:rsid w:val="00846D36"/>
    <w:rsid w:val="0084702A"/>
    <w:rsid w:val="008471B5"/>
    <w:rsid w:val="008472E0"/>
    <w:rsid w:val="00847398"/>
    <w:rsid w:val="00847838"/>
    <w:rsid w:val="008478DE"/>
    <w:rsid w:val="0084793A"/>
    <w:rsid w:val="00847E6E"/>
    <w:rsid w:val="008502A0"/>
    <w:rsid w:val="00850890"/>
    <w:rsid w:val="00850B7B"/>
    <w:rsid w:val="00850ED8"/>
    <w:rsid w:val="00850EFB"/>
    <w:rsid w:val="008511B1"/>
    <w:rsid w:val="00851249"/>
    <w:rsid w:val="008515FB"/>
    <w:rsid w:val="00851690"/>
    <w:rsid w:val="00851B57"/>
    <w:rsid w:val="0085212E"/>
    <w:rsid w:val="00852158"/>
    <w:rsid w:val="008529D8"/>
    <w:rsid w:val="00852DFE"/>
    <w:rsid w:val="00853088"/>
    <w:rsid w:val="00853169"/>
    <w:rsid w:val="00853240"/>
    <w:rsid w:val="008534A7"/>
    <w:rsid w:val="00853B52"/>
    <w:rsid w:val="00853B63"/>
    <w:rsid w:val="00853E6C"/>
    <w:rsid w:val="00854083"/>
    <w:rsid w:val="00854332"/>
    <w:rsid w:val="0085441F"/>
    <w:rsid w:val="00854A8F"/>
    <w:rsid w:val="00854F6C"/>
    <w:rsid w:val="00855442"/>
    <w:rsid w:val="00855615"/>
    <w:rsid w:val="008557A4"/>
    <w:rsid w:val="0085589E"/>
    <w:rsid w:val="008558EF"/>
    <w:rsid w:val="00855A3C"/>
    <w:rsid w:val="00855BBA"/>
    <w:rsid w:val="00855C59"/>
    <w:rsid w:val="00855F7D"/>
    <w:rsid w:val="0085600B"/>
    <w:rsid w:val="008560A1"/>
    <w:rsid w:val="00856618"/>
    <w:rsid w:val="008567E3"/>
    <w:rsid w:val="00856931"/>
    <w:rsid w:val="008569C5"/>
    <w:rsid w:val="00856A57"/>
    <w:rsid w:val="00856C53"/>
    <w:rsid w:val="00856EA7"/>
    <w:rsid w:val="008570A2"/>
    <w:rsid w:val="00857211"/>
    <w:rsid w:val="008575F2"/>
    <w:rsid w:val="008575F9"/>
    <w:rsid w:val="008578B9"/>
    <w:rsid w:val="00857D63"/>
    <w:rsid w:val="00860154"/>
    <w:rsid w:val="008603C7"/>
    <w:rsid w:val="00860829"/>
    <w:rsid w:val="00860A2C"/>
    <w:rsid w:val="00860C89"/>
    <w:rsid w:val="00860D21"/>
    <w:rsid w:val="00860DA3"/>
    <w:rsid w:val="00861238"/>
    <w:rsid w:val="008612BF"/>
    <w:rsid w:val="008613A4"/>
    <w:rsid w:val="00861834"/>
    <w:rsid w:val="00861E45"/>
    <w:rsid w:val="00861FDA"/>
    <w:rsid w:val="0086201C"/>
    <w:rsid w:val="0086202E"/>
    <w:rsid w:val="008622C0"/>
    <w:rsid w:val="00862450"/>
    <w:rsid w:val="0086254E"/>
    <w:rsid w:val="008625D4"/>
    <w:rsid w:val="008629B0"/>
    <w:rsid w:val="00863B9E"/>
    <w:rsid w:val="00863BEB"/>
    <w:rsid w:val="00863F66"/>
    <w:rsid w:val="0086418F"/>
    <w:rsid w:val="008641EE"/>
    <w:rsid w:val="008645A3"/>
    <w:rsid w:val="0086465E"/>
    <w:rsid w:val="008646C9"/>
    <w:rsid w:val="00864976"/>
    <w:rsid w:val="00864D58"/>
    <w:rsid w:val="00864EE7"/>
    <w:rsid w:val="008655CB"/>
    <w:rsid w:val="0086575A"/>
    <w:rsid w:val="00865996"/>
    <w:rsid w:val="00865AE8"/>
    <w:rsid w:val="00865B1D"/>
    <w:rsid w:val="00865B4D"/>
    <w:rsid w:val="00865B8D"/>
    <w:rsid w:val="00865C95"/>
    <w:rsid w:val="00865EA9"/>
    <w:rsid w:val="00866A4A"/>
    <w:rsid w:val="00866AF3"/>
    <w:rsid w:val="00866C2E"/>
    <w:rsid w:val="00866F04"/>
    <w:rsid w:val="00866F0E"/>
    <w:rsid w:val="00867318"/>
    <w:rsid w:val="00867677"/>
    <w:rsid w:val="00867746"/>
    <w:rsid w:val="00867AF0"/>
    <w:rsid w:val="00867C61"/>
    <w:rsid w:val="00867CA3"/>
    <w:rsid w:val="00867E18"/>
    <w:rsid w:val="00870111"/>
    <w:rsid w:val="008704DC"/>
    <w:rsid w:val="00870D7F"/>
    <w:rsid w:val="00870E05"/>
    <w:rsid w:val="00871224"/>
    <w:rsid w:val="00871268"/>
    <w:rsid w:val="008712AF"/>
    <w:rsid w:val="00871428"/>
    <w:rsid w:val="0087184D"/>
    <w:rsid w:val="00871949"/>
    <w:rsid w:val="00871B12"/>
    <w:rsid w:val="00871B7A"/>
    <w:rsid w:val="00871BF2"/>
    <w:rsid w:val="00871C19"/>
    <w:rsid w:val="00871CA9"/>
    <w:rsid w:val="00871D88"/>
    <w:rsid w:val="00871EB8"/>
    <w:rsid w:val="00872330"/>
    <w:rsid w:val="008725DA"/>
    <w:rsid w:val="008726D3"/>
    <w:rsid w:val="00872839"/>
    <w:rsid w:val="00872D18"/>
    <w:rsid w:val="00872D93"/>
    <w:rsid w:val="00872E78"/>
    <w:rsid w:val="008731A1"/>
    <w:rsid w:val="00873324"/>
    <w:rsid w:val="008736C5"/>
    <w:rsid w:val="0087440E"/>
    <w:rsid w:val="00874691"/>
    <w:rsid w:val="008748C2"/>
    <w:rsid w:val="00874A31"/>
    <w:rsid w:val="00874D3F"/>
    <w:rsid w:val="00874DC9"/>
    <w:rsid w:val="00874DCC"/>
    <w:rsid w:val="008750B9"/>
    <w:rsid w:val="00875459"/>
    <w:rsid w:val="0087548F"/>
    <w:rsid w:val="008755EE"/>
    <w:rsid w:val="00875641"/>
    <w:rsid w:val="00875742"/>
    <w:rsid w:val="00875B38"/>
    <w:rsid w:val="00875B4B"/>
    <w:rsid w:val="0087613E"/>
    <w:rsid w:val="008766AB"/>
    <w:rsid w:val="00876847"/>
    <w:rsid w:val="0087696B"/>
    <w:rsid w:val="00876A7A"/>
    <w:rsid w:val="00876B24"/>
    <w:rsid w:val="00876D38"/>
    <w:rsid w:val="008770C6"/>
    <w:rsid w:val="00877157"/>
    <w:rsid w:val="00877629"/>
    <w:rsid w:val="0087769C"/>
    <w:rsid w:val="0087772E"/>
    <w:rsid w:val="00877B81"/>
    <w:rsid w:val="00877C0E"/>
    <w:rsid w:val="00877D8A"/>
    <w:rsid w:val="00877D99"/>
    <w:rsid w:val="00877EAE"/>
    <w:rsid w:val="008804EF"/>
    <w:rsid w:val="00880730"/>
    <w:rsid w:val="00880B66"/>
    <w:rsid w:val="00880C08"/>
    <w:rsid w:val="008810DD"/>
    <w:rsid w:val="008818A3"/>
    <w:rsid w:val="00881A01"/>
    <w:rsid w:val="00881CA9"/>
    <w:rsid w:val="00881CCE"/>
    <w:rsid w:val="00881D14"/>
    <w:rsid w:val="00881D24"/>
    <w:rsid w:val="00881DF1"/>
    <w:rsid w:val="00881E3B"/>
    <w:rsid w:val="00881F70"/>
    <w:rsid w:val="00881FFF"/>
    <w:rsid w:val="00882495"/>
    <w:rsid w:val="00882772"/>
    <w:rsid w:val="00882849"/>
    <w:rsid w:val="0088292F"/>
    <w:rsid w:val="00882A34"/>
    <w:rsid w:val="00882D82"/>
    <w:rsid w:val="00883648"/>
    <w:rsid w:val="00883A80"/>
    <w:rsid w:val="00883D85"/>
    <w:rsid w:val="00883F55"/>
    <w:rsid w:val="00884554"/>
    <w:rsid w:val="0088485D"/>
    <w:rsid w:val="00884862"/>
    <w:rsid w:val="008856BB"/>
    <w:rsid w:val="008857DB"/>
    <w:rsid w:val="00885B15"/>
    <w:rsid w:val="00885B68"/>
    <w:rsid w:val="00885D1E"/>
    <w:rsid w:val="00885F1B"/>
    <w:rsid w:val="00885F92"/>
    <w:rsid w:val="00885FDA"/>
    <w:rsid w:val="00886297"/>
    <w:rsid w:val="008862D1"/>
    <w:rsid w:val="0088661D"/>
    <w:rsid w:val="00886756"/>
    <w:rsid w:val="008867FE"/>
    <w:rsid w:val="00886EE8"/>
    <w:rsid w:val="00887123"/>
    <w:rsid w:val="00887238"/>
    <w:rsid w:val="00887503"/>
    <w:rsid w:val="00887674"/>
    <w:rsid w:val="0088792B"/>
    <w:rsid w:val="00887A1A"/>
    <w:rsid w:val="008901DB"/>
    <w:rsid w:val="00890436"/>
    <w:rsid w:val="008906FA"/>
    <w:rsid w:val="008909E2"/>
    <w:rsid w:val="00890ADC"/>
    <w:rsid w:val="00890C69"/>
    <w:rsid w:val="00890E39"/>
    <w:rsid w:val="00890E5A"/>
    <w:rsid w:val="00890F03"/>
    <w:rsid w:val="00890FFD"/>
    <w:rsid w:val="0089156E"/>
    <w:rsid w:val="00891623"/>
    <w:rsid w:val="00891814"/>
    <w:rsid w:val="00891E4C"/>
    <w:rsid w:val="0089211E"/>
    <w:rsid w:val="008921B7"/>
    <w:rsid w:val="008924FD"/>
    <w:rsid w:val="00892902"/>
    <w:rsid w:val="008929AD"/>
    <w:rsid w:val="00892A80"/>
    <w:rsid w:val="00892E32"/>
    <w:rsid w:val="00892EA9"/>
    <w:rsid w:val="00892EC2"/>
    <w:rsid w:val="00893540"/>
    <w:rsid w:val="00893543"/>
    <w:rsid w:val="008937BA"/>
    <w:rsid w:val="0089383A"/>
    <w:rsid w:val="00893DF5"/>
    <w:rsid w:val="00894773"/>
    <w:rsid w:val="00894900"/>
    <w:rsid w:val="00894AD5"/>
    <w:rsid w:val="00894E8E"/>
    <w:rsid w:val="008950F7"/>
    <w:rsid w:val="00895285"/>
    <w:rsid w:val="008952B7"/>
    <w:rsid w:val="00895530"/>
    <w:rsid w:val="00895639"/>
    <w:rsid w:val="00895B51"/>
    <w:rsid w:val="00895D0E"/>
    <w:rsid w:val="00895DC4"/>
    <w:rsid w:val="00895F7E"/>
    <w:rsid w:val="0089634C"/>
    <w:rsid w:val="008963B0"/>
    <w:rsid w:val="008963B2"/>
    <w:rsid w:val="008964D6"/>
    <w:rsid w:val="00896527"/>
    <w:rsid w:val="008965D0"/>
    <w:rsid w:val="008966FB"/>
    <w:rsid w:val="00896983"/>
    <w:rsid w:val="00896AAC"/>
    <w:rsid w:val="00896B8A"/>
    <w:rsid w:val="008970D8"/>
    <w:rsid w:val="0089735D"/>
    <w:rsid w:val="008975B0"/>
    <w:rsid w:val="0089760E"/>
    <w:rsid w:val="00897A7F"/>
    <w:rsid w:val="00897CF7"/>
    <w:rsid w:val="00897D2D"/>
    <w:rsid w:val="00897DDE"/>
    <w:rsid w:val="008A016F"/>
    <w:rsid w:val="008A097A"/>
    <w:rsid w:val="008A0BBD"/>
    <w:rsid w:val="008A0DC1"/>
    <w:rsid w:val="008A186C"/>
    <w:rsid w:val="008A1E20"/>
    <w:rsid w:val="008A1E5C"/>
    <w:rsid w:val="008A1FFA"/>
    <w:rsid w:val="008A2668"/>
    <w:rsid w:val="008A280C"/>
    <w:rsid w:val="008A2934"/>
    <w:rsid w:val="008A2BB2"/>
    <w:rsid w:val="008A2E3B"/>
    <w:rsid w:val="008A3192"/>
    <w:rsid w:val="008A327C"/>
    <w:rsid w:val="008A33CB"/>
    <w:rsid w:val="008A340D"/>
    <w:rsid w:val="008A38A2"/>
    <w:rsid w:val="008A43C6"/>
    <w:rsid w:val="008A4686"/>
    <w:rsid w:val="008A4BB7"/>
    <w:rsid w:val="008A4C5E"/>
    <w:rsid w:val="008A4D7C"/>
    <w:rsid w:val="008A5036"/>
    <w:rsid w:val="008A504D"/>
    <w:rsid w:val="008A51E9"/>
    <w:rsid w:val="008A529A"/>
    <w:rsid w:val="008A53FB"/>
    <w:rsid w:val="008A5643"/>
    <w:rsid w:val="008A592B"/>
    <w:rsid w:val="008A5BD7"/>
    <w:rsid w:val="008A5C59"/>
    <w:rsid w:val="008A5DCA"/>
    <w:rsid w:val="008A618A"/>
    <w:rsid w:val="008A6414"/>
    <w:rsid w:val="008A64B6"/>
    <w:rsid w:val="008A66FE"/>
    <w:rsid w:val="008A6764"/>
    <w:rsid w:val="008A68B0"/>
    <w:rsid w:val="008A6AAB"/>
    <w:rsid w:val="008A6D94"/>
    <w:rsid w:val="008A6E1A"/>
    <w:rsid w:val="008A711E"/>
    <w:rsid w:val="008A767F"/>
    <w:rsid w:val="008A78F1"/>
    <w:rsid w:val="008A7A44"/>
    <w:rsid w:val="008A7A55"/>
    <w:rsid w:val="008A7BA2"/>
    <w:rsid w:val="008A7CFB"/>
    <w:rsid w:val="008B00C7"/>
    <w:rsid w:val="008B03FF"/>
    <w:rsid w:val="008B050A"/>
    <w:rsid w:val="008B0582"/>
    <w:rsid w:val="008B06C1"/>
    <w:rsid w:val="008B07A4"/>
    <w:rsid w:val="008B0B59"/>
    <w:rsid w:val="008B148C"/>
    <w:rsid w:val="008B160D"/>
    <w:rsid w:val="008B1752"/>
    <w:rsid w:val="008B1B06"/>
    <w:rsid w:val="008B1FE1"/>
    <w:rsid w:val="008B1FEB"/>
    <w:rsid w:val="008B2055"/>
    <w:rsid w:val="008B279E"/>
    <w:rsid w:val="008B2860"/>
    <w:rsid w:val="008B2905"/>
    <w:rsid w:val="008B2A84"/>
    <w:rsid w:val="008B2D0B"/>
    <w:rsid w:val="008B2DE8"/>
    <w:rsid w:val="008B36C1"/>
    <w:rsid w:val="008B39A2"/>
    <w:rsid w:val="008B3E48"/>
    <w:rsid w:val="008B3F9C"/>
    <w:rsid w:val="008B41B5"/>
    <w:rsid w:val="008B47B8"/>
    <w:rsid w:val="008B4B1C"/>
    <w:rsid w:val="008B4B7E"/>
    <w:rsid w:val="008B4BA7"/>
    <w:rsid w:val="008B4BD9"/>
    <w:rsid w:val="008B4DA8"/>
    <w:rsid w:val="008B4DE3"/>
    <w:rsid w:val="008B5044"/>
    <w:rsid w:val="008B5426"/>
    <w:rsid w:val="008B5B1E"/>
    <w:rsid w:val="008B5F80"/>
    <w:rsid w:val="008B6058"/>
    <w:rsid w:val="008B6236"/>
    <w:rsid w:val="008B6793"/>
    <w:rsid w:val="008B701E"/>
    <w:rsid w:val="008B7079"/>
    <w:rsid w:val="008B7085"/>
    <w:rsid w:val="008B718C"/>
    <w:rsid w:val="008B75EC"/>
    <w:rsid w:val="008B779D"/>
    <w:rsid w:val="008B782E"/>
    <w:rsid w:val="008B7857"/>
    <w:rsid w:val="008B78A5"/>
    <w:rsid w:val="008B791C"/>
    <w:rsid w:val="008B7FD8"/>
    <w:rsid w:val="008C0162"/>
    <w:rsid w:val="008C0172"/>
    <w:rsid w:val="008C0364"/>
    <w:rsid w:val="008C06EE"/>
    <w:rsid w:val="008C0A88"/>
    <w:rsid w:val="008C0AAE"/>
    <w:rsid w:val="008C0B87"/>
    <w:rsid w:val="008C0BA1"/>
    <w:rsid w:val="008C0F49"/>
    <w:rsid w:val="008C1122"/>
    <w:rsid w:val="008C15C5"/>
    <w:rsid w:val="008C1638"/>
    <w:rsid w:val="008C1879"/>
    <w:rsid w:val="008C1AC3"/>
    <w:rsid w:val="008C2163"/>
    <w:rsid w:val="008C228D"/>
    <w:rsid w:val="008C2680"/>
    <w:rsid w:val="008C2834"/>
    <w:rsid w:val="008C2967"/>
    <w:rsid w:val="008C2982"/>
    <w:rsid w:val="008C2A53"/>
    <w:rsid w:val="008C2B77"/>
    <w:rsid w:val="008C2D70"/>
    <w:rsid w:val="008C34EF"/>
    <w:rsid w:val="008C35DA"/>
    <w:rsid w:val="008C35F2"/>
    <w:rsid w:val="008C3828"/>
    <w:rsid w:val="008C3C6E"/>
    <w:rsid w:val="008C3C8B"/>
    <w:rsid w:val="008C3CB3"/>
    <w:rsid w:val="008C402E"/>
    <w:rsid w:val="008C40B2"/>
    <w:rsid w:val="008C4339"/>
    <w:rsid w:val="008C439D"/>
    <w:rsid w:val="008C4555"/>
    <w:rsid w:val="008C495F"/>
    <w:rsid w:val="008C4E18"/>
    <w:rsid w:val="008C4E28"/>
    <w:rsid w:val="008C5020"/>
    <w:rsid w:val="008C5220"/>
    <w:rsid w:val="008C53F1"/>
    <w:rsid w:val="008C53FE"/>
    <w:rsid w:val="008C599A"/>
    <w:rsid w:val="008C5BE4"/>
    <w:rsid w:val="008C649F"/>
    <w:rsid w:val="008C664B"/>
    <w:rsid w:val="008C6690"/>
    <w:rsid w:val="008C689F"/>
    <w:rsid w:val="008C69EC"/>
    <w:rsid w:val="008C6B2E"/>
    <w:rsid w:val="008C7054"/>
    <w:rsid w:val="008C71E6"/>
    <w:rsid w:val="008C7319"/>
    <w:rsid w:val="008C754D"/>
    <w:rsid w:val="008C7651"/>
    <w:rsid w:val="008C77C3"/>
    <w:rsid w:val="008C789E"/>
    <w:rsid w:val="008C78FD"/>
    <w:rsid w:val="008C7931"/>
    <w:rsid w:val="008C7D4B"/>
    <w:rsid w:val="008C7D95"/>
    <w:rsid w:val="008C7F1F"/>
    <w:rsid w:val="008D0178"/>
    <w:rsid w:val="008D051A"/>
    <w:rsid w:val="008D066C"/>
    <w:rsid w:val="008D071C"/>
    <w:rsid w:val="008D082D"/>
    <w:rsid w:val="008D12EE"/>
    <w:rsid w:val="008D144A"/>
    <w:rsid w:val="008D149E"/>
    <w:rsid w:val="008D1553"/>
    <w:rsid w:val="008D1A89"/>
    <w:rsid w:val="008D1B7B"/>
    <w:rsid w:val="008D1BAE"/>
    <w:rsid w:val="008D1E44"/>
    <w:rsid w:val="008D22EF"/>
    <w:rsid w:val="008D25A4"/>
    <w:rsid w:val="008D265C"/>
    <w:rsid w:val="008D2782"/>
    <w:rsid w:val="008D2AE8"/>
    <w:rsid w:val="008D2B53"/>
    <w:rsid w:val="008D2B60"/>
    <w:rsid w:val="008D30C2"/>
    <w:rsid w:val="008D3215"/>
    <w:rsid w:val="008D3328"/>
    <w:rsid w:val="008D3615"/>
    <w:rsid w:val="008D3640"/>
    <w:rsid w:val="008D37CF"/>
    <w:rsid w:val="008D39EA"/>
    <w:rsid w:val="008D3C81"/>
    <w:rsid w:val="008D4029"/>
    <w:rsid w:val="008D40EB"/>
    <w:rsid w:val="008D45A0"/>
    <w:rsid w:val="008D4735"/>
    <w:rsid w:val="008D47C9"/>
    <w:rsid w:val="008D49BE"/>
    <w:rsid w:val="008D49D5"/>
    <w:rsid w:val="008D4A54"/>
    <w:rsid w:val="008D4A65"/>
    <w:rsid w:val="008D4A90"/>
    <w:rsid w:val="008D4B7E"/>
    <w:rsid w:val="008D4B87"/>
    <w:rsid w:val="008D4BEA"/>
    <w:rsid w:val="008D4DD9"/>
    <w:rsid w:val="008D52FF"/>
    <w:rsid w:val="008D53F6"/>
    <w:rsid w:val="008D5673"/>
    <w:rsid w:val="008D585D"/>
    <w:rsid w:val="008D586E"/>
    <w:rsid w:val="008D5917"/>
    <w:rsid w:val="008D5EFB"/>
    <w:rsid w:val="008D6151"/>
    <w:rsid w:val="008D690C"/>
    <w:rsid w:val="008D6951"/>
    <w:rsid w:val="008D6BF2"/>
    <w:rsid w:val="008D6C1F"/>
    <w:rsid w:val="008D6CAF"/>
    <w:rsid w:val="008D6D7F"/>
    <w:rsid w:val="008D6E5A"/>
    <w:rsid w:val="008D7440"/>
    <w:rsid w:val="008D7A5C"/>
    <w:rsid w:val="008D7D38"/>
    <w:rsid w:val="008E0104"/>
    <w:rsid w:val="008E0400"/>
    <w:rsid w:val="008E0482"/>
    <w:rsid w:val="008E0920"/>
    <w:rsid w:val="008E09E9"/>
    <w:rsid w:val="008E144F"/>
    <w:rsid w:val="008E17C1"/>
    <w:rsid w:val="008E1F58"/>
    <w:rsid w:val="008E2028"/>
    <w:rsid w:val="008E2066"/>
    <w:rsid w:val="008E2869"/>
    <w:rsid w:val="008E293A"/>
    <w:rsid w:val="008E2A51"/>
    <w:rsid w:val="008E2AC9"/>
    <w:rsid w:val="008E2BC5"/>
    <w:rsid w:val="008E2CF7"/>
    <w:rsid w:val="008E3092"/>
    <w:rsid w:val="008E31B0"/>
    <w:rsid w:val="008E321E"/>
    <w:rsid w:val="008E323D"/>
    <w:rsid w:val="008E329D"/>
    <w:rsid w:val="008E330B"/>
    <w:rsid w:val="008E3567"/>
    <w:rsid w:val="008E39E8"/>
    <w:rsid w:val="008E3A25"/>
    <w:rsid w:val="008E3B05"/>
    <w:rsid w:val="008E3D79"/>
    <w:rsid w:val="008E4014"/>
    <w:rsid w:val="008E4136"/>
    <w:rsid w:val="008E4268"/>
    <w:rsid w:val="008E469F"/>
    <w:rsid w:val="008E4CED"/>
    <w:rsid w:val="008E4CEE"/>
    <w:rsid w:val="008E508C"/>
    <w:rsid w:val="008E514F"/>
    <w:rsid w:val="008E539F"/>
    <w:rsid w:val="008E549E"/>
    <w:rsid w:val="008E5592"/>
    <w:rsid w:val="008E5596"/>
    <w:rsid w:val="008E559C"/>
    <w:rsid w:val="008E55AC"/>
    <w:rsid w:val="008E5799"/>
    <w:rsid w:val="008E5B13"/>
    <w:rsid w:val="008E5C29"/>
    <w:rsid w:val="008E649B"/>
    <w:rsid w:val="008E65F9"/>
    <w:rsid w:val="008E663A"/>
    <w:rsid w:val="008E677B"/>
    <w:rsid w:val="008E6D69"/>
    <w:rsid w:val="008E6DAE"/>
    <w:rsid w:val="008E6FEF"/>
    <w:rsid w:val="008E725A"/>
    <w:rsid w:val="008E7377"/>
    <w:rsid w:val="008E7B9D"/>
    <w:rsid w:val="008E7C82"/>
    <w:rsid w:val="008E7F64"/>
    <w:rsid w:val="008E7F9B"/>
    <w:rsid w:val="008F01A5"/>
    <w:rsid w:val="008F02B0"/>
    <w:rsid w:val="008F0541"/>
    <w:rsid w:val="008F0C7F"/>
    <w:rsid w:val="008F1199"/>
    <w:rsid w:val="008F121D"/>
    <w:rsid w:val="008F17E7"/>
    <w:rsid w:val="008F1CB6"/>
    <w:rsid w:val="008F1D5E"/>
    <w:rsid w:val="008F1F3A"/>
    <w:rsid w:val="008F2340"/>
    <w:rsid w:val="008F2467"/>
    <w:rsid w:val="008F275B"/>
    <w:rsid w:val="008F2B96"/>
    <w:rsid w:val="008F2D4D"/>
    <w:rsid w:val="008F2FBE"/>
    <w:rsid w:val="008F2FE8"/>
    <w:rsid w:val="008F344B"/>
    <w:rsid w:val="008F3588"/>
    <w:rsid w:val="008F35F7"/>
    <w:rsid w:val="008F37F6"/>
    <w:rsid w:val="008F3A80"/>
    <w:rsid w:val="008F3D7F"/>
    <w:rsid w:val="008F3EA3"/>
    <w:rsid w:val="008F3FE1"/>
    <w:rsid w:val="008F4179"/>
    <w:rsid w:val="008F44D4"/>
    <w:rsid w:val="008F44EC"/>
    <w:rsid w:val="008F46F7"/>
    <w:rsid w:val="008F495F"/>
    <w:rsid w:val="008F49A4"/>
    <w:rsid w:val="008F4CC3"/>
    <w:rsid w:val="008F557F"/>
    <w:rsid w:val="008F58E2"/>
    <w:rsid w:val="008F5E79"/>
    <w:rsid w:val="008F5EEC"/>
    <w:rsid w:val="008F6001"/>
    <w:rsid w:val="008F64AC"/>
    <w:rsid w:val="008F64E1"/>
    <w:rsid w:val="008F6556"/>
    <w:rsid w:val="008F669B"/>
    <w:rsid w:val="008F6716"/>
    <w:rsid w:val="008F67A0"/>
    <w:rsid w:val="008F690E"/>
    <w:rsid w:val="008F6E88"/>
    <w:rsid w:val="008F7667"/>
    <w:rsid w:val="008F7B61"/>
    <w:rsid w:val="008F7F4E"/>
    <w:rsid w:val="009003D6"/>
    <w:rsid w:val="009005C7"/>
    <w:rsid w:val="009005CE"/>
    <w:rsid w:val="00900B22"/>
    <w:rsid w:val="00900C33"/>
    <w:rsid w:val="00900C5A"/>
    <w:rsid w:val="009018B9"/>
    <w:rsid w:val="00901AC8"/>
    <w:rsid w:val="00901D07"/>
    <w:rsid w:val="009020D7"/>
    <w:rsid w:val="009020ED"/>
    <w:rsid w:val="0090233F"/>
    <w:rsid w:val="00902380"/>
    <w:rsid w:val="0090250B"/>
    <w:rsid w:val="00902523"/>
    <w:rsid w:val="00902566"/>
    <w:rsid w:val="00902579"/>
    <w:rsid w:val="0090259E"/>
    <w:rsid w:val="009025C0"/>
    <w:rsid w:val="0090261C"/>
    <w:rsid w:val="00902631"/>
    <w:rsid w:val="00902926"/>
    <w:rsid w:val="00902CCA"/>
    <w:rsid w:val="0090305F"/>
    <w:rsid w:val="00903184"/>
    <w:rsid w:val="00903348"/>
    <w:rsid w:val="0090341C"/>
    <w:rsid w:val="0090361E"/>
    <w:rsid w:val="009037EA"/>
    <w:rsid w:val="00903AE6"/>
    <w:rsid w:val="00904346"/>
    <w:rsid w:val="0090463D"/>
    <w:rsid w:val="009046E4"/>
    <w:rsid w:val="00904824"/>
    <w:rsid w:val="00904A62"/>
    <w:rsid w:val="00904BD7"/>
    <w:rsid w:val="00904BF5"/>
    <w:rsid w:val="00904FE4"/>
    <w:rsid w:val="00905017"/>
    <w:rsid w:val="009053EA"/>
    <w:rsid w:val="0090566E"/>
    <w:rsid w:val="00905820"/>
    <w:rsid w:val="009059F6"/>
    <w:rsid w:val="00905B9A"/>
    <w:rsid w:val="00905E62"/>
    <w:rsid w:val="00905F39"/>
    <w:rsid w:val="00906123"/>
    <w:rsid w:val="00906294"/>
    <w:rsid w:val="009067EC"/>
    <w:rsid w:val="00906914"/>
    <w:rsid w:val="0090696D"/>
    <w:rsid w:val="00906AF1"/>
    <w:rsid w:val="00906B61"/>
    <w:rsid w:val="00906D51"/>
    <w:rsid w:val="009070C9"/>
    <w:rsid w:val="00907652"/>
    <w:rsid w:val="00907671"/>
    <w:rsid w:val="0090782E"/>
    <w:rsid w:val="00907AB9"/>
    <w:rsid w:val="00907B27"/>
    <w:rsid w:val="00907C97"/>
    <w:rsid w:val="00907E5A"/>
    <w:rsid w:val="00907EFF"/>
    <w:rsid w:val="00907F40"/>
    <w:rsid w:val="00910161"/>
    <w:rsid w:val="009102F0"/>
    <w:rsid w:val="00910389"/>
    <w:rsid w:val="00910451"/>
    <w:rsid w:val="00910569"/>
    <w:rsid w:val="009105C5"/>
    <w:rsid w:val="00910604"/>
    <w:rsid w:val="00910639"/>
    <w:rsid w:val="009108DD"/>
    <w:rsid w:val="00910C15"/>
    <w:rsid w:val="00910FF1"/>
    <w:rsid w:val="009110B5"/>
    <w:rsid w:val="009111B3"/>
    <w:rsid w:val="009112CE"/>
    <w:rsid w:val="0091158D"/>
    <w:rsid w:val="009115BD"/>
    <w:rsid w:val="00911825"/>
    <w:rsid w:val="00911BD3"/>
    <w:rsid w:val="00911E3C"/>
    <w:rsid w:val="0091202C"/>
    <w:rsid w:val="0091218A"/>
    <w:rsid w:val="009125FB"/>
    <w:rsid w:val="00912D37"/>
    <w:rsid w:val="00912E1B"/>
    <w:rsid w:val="00913334"/>
    <w:rsid w:val="00913592"/>
    <w:rsid w:val="00913680"/>
    <w:rsid w:val="009139A9"/>
    <w:rsid w:val="00913A2B"/>
    <w:rsid w:val="00913C34"/>
    <w:rsid w:val="00913CBA"/>
    <w:rsid w:val="009140EC"/>
    <w:rsid w:val="00914282"/>
    <w:rsid w:val="00914779"/>
    <w:rsid w:val="009148D9"/>
    <w:rsid w:val="00914C9E"/>
    <w:rsid w:val="00914E7A"/>
    <w:rsid w:val="00914F69"/>
    <w:rsid w:val="009155E1"/>
    <w:rsid w:val="00915822"/>
    <w:rsid w:val="00915AEC"/>
    <w:rsid w:val="00915C96"/>
    <w:rsid w:val="00915E35"/>
    <w:rsid w:val="00915E72"/>
    <w:rsid w:val="00915FEF"/>
    <w:rsid w:val="00916174"/>
    <w:rsid w:val="0091629C"/>
    <w:rsid w:val="009168A5"/>
    <w:rsid w:val="009168AE"/>
    <w:rsid w:val="00916993"/>
    <w:rsid w:val="00916A15"/>
    <w:rsid w:val="00916E58"/>
    <w:rsid w:val="00916F7E"/>
    <w:rsid w:val="0091720B"/>
    <w:rsid w:val="009173A7"/>
    <w:rsid w:val="00917B63"/>
    <w:rsid w:val="00917B64"/>
    <w:rsid w:val="00917F69"/>
    <w:rsid w:val="00917FD7"/>
    <w:rsid w:val="009201FA"/>
    <w:rsid w:val="0092074A"/>
    <w:rsid w:val="0092074D"/>
    <w:rsid w:val="00920842"/>
    <w:rsid w:val="0092098A"/>
    <w:rsid w:val="00920BB0"/>
    <w:rsid w:val="00920C6C"/>
    <w:rsid w:val="009211EE"/>
    <w:rsid w:val="00921256"/>
    <w:rsid w:val="00921310"/>
    <w:rsid w:val="00921492"/>
    <w:rsid w:val="009215BF"/>
    <w:rsid w:val="0092176D"/>
    <w:rsid w:val="00921897"/>
    <w:rsid w:val="009218C1"/>
    <w:rsid w:val="00921D2C"/>
    <w:rsid w:val="00921DDF"/>
    <w:rsid w:val="00921DE7"/>
    <w:rsid w:val="00921F97"/>
    <w:rsid w:val="00922359"/>
    <w:rsid w:val="0092277E"/>
    <w:rsid w:val="0092295E"/>
    <w:rsid w:val="00923050"/>
    <w:rsid w:val="009230B6"/>
    <w:rsid w:val="00923108"/>
    <w:rsid w:val="00923532"/>
    <w:rsid w:val="00923647"/>
    <w:rsid w:val="00923880"/>
    <w:rsid w:val="009238EE"/>
    <w:rsid w:val="009249C1"/>
    <w:rsid w:val="00924E5C"/>
    <w:rsid w:val="00924EB7"/>
    <w:rsid w:val="0092505E"/>
    <w:rsid w:val="00925131"/>
    <w:rsid w:val="00925B7B"/>
    <w:rsid w:val="00925E1C"/>
    <w:rsid w:val="00925EB1"/>
    <w:rsid w:val="00925F7B"/>
    <w:rsid w:val="009261A8"/>
    <w:rsid w:val="009263D6"/>
    <w:rsid w:val="00926685"/>
    <w:rsid w:val="00926903"/>
    <w:rsid w:val="00926ACD"/>
    <w:rsid w:val="00926E6D"/>
    <w:rsid w:val="009270A7"/>
    <w:rsid w:val="009273E6"/>
    <w:rsid w:val="00927887"/>
    <w:rsid w:val="00927957"/>
    <w:rsid w:val="00927966"/>
    <w:rsid w:val="0092797B"/>
    <w:rsid w:val="009279C0"/>
    <w:rsid w:val="00927BF9"/>
    <w:rsid w:val="00930453"/>
    <w:rsid w:val="009308C2"/>
    <w:rsid w:val="00930A4A"/>
    <w:rsid w:val="00930ED4"/>
    <w:rsid w:val="009313C1"/>
    <w:rsid w:val="009316DC"/>
    <w:rsid w:val="009319E9"/>
    <w:rsid w:val="00932157"/>
    <w:rsid w:val="00932235"/>
    <w:rsid w:val="00932544"/>
    <w:rsid w:val="00932B8C"/>
    <w:rsid w:val="00932B94"/>
    <w:rsid w:val="0093304A"/>
    <w:rsid w:val="00933653"/>
    <w:rsid w:val="00933A64"/>
    <w:rsid w:val="00933B11"/>
    <w:rsid w:val="00933EF3"/>
    <w:rsid w:val="00933F37"/>
    <w:rsid w:val="00933FAA"/>
    <w:rsid w:val="009340E5"/>
    <w:rsid w:val="0093434A"/>
    <w:rsid w:val="00934507"/>
    <w:rsid w:val="009345EA"/>
    <w:rsid w:val="00934652"/>
    <w:rsid w:val="00934E3D"/>
    <w:rsid w:val="00934EA6"/>
    <w:rsid w:val="00934FDD"/>
    <w:rsid w:val="00935104"/>
    <w:rsid w:val="00935534"/>
    <w:rsid w:val="00935558"/>
    <w:rsid w:val="009355A3"/>
    <w:rsid w:val="0093578A"/>
    <w:rsid w:val="00936209"/>
    <w:rsid w:val="00936729"/>
    <w:rsid w:val="009367B8"/>
    <w:rsid w:val="00936A38"/>
    <w:rsid w:val="00936D12"/>
    <w:rsid w:val="00936F86"/>
    <w:rsid w:val="00936FE2"/>
    <w:rsid w:val="0093721C"/>
    <w:rsid w:val="0093726B"/>
    <w:rsid w:val="009379ED"/>
    <w:rsid w:val="00937CFA"/>
    <w:rsid w:val="00940031"/>
    <w:rsid w:val="00940649"/>
    <w:rsid w:val="0094086E"/>
    <w:rsid w:val="009409B0"/>
    <w:rsid w:val="009410E3"/>
    <w:rsid w:val="0094116B"/>
    <w:rsid w:val="00941328"/>
    <w:rsid w:val="0094149B"/>
    <w:rsid w:val="009415A8"/>
    <w:rsid w:val="0094160C"/>
    <w:rsid w:val="00941946"/>
    <w:rsid w:val="00941FDA"/>
    <w:rsid w:val="00942085"/>
    <w:rsid w:val="0094211A"/>
    <w:rsid w:val="00942798"/>
    <w:rsid w:val="009427DF"/>
    <w:rsid w:val="00942864"/>
    <w:rsid w:val="009429D9"/>
    <w:rsid w:val="00942BF5"/>
    <w:rsid w:val="009431DC"/>
    <w:rsid w:val="009435C4"/>
    <w:rsid w:val="009438E4"/>
    <w:rsid w:val="00943A7B"/>
    <w:rsid w:val="00943A83"/>
    <w:rsid w:val="00943ADB"/>
    <w:rsid w:val="00943E86"/>
    <w:rsid w:val="00943F86"/>
    <w:rsid w:val="00944313"/>
    <w:rsid w:val="00944323"/>
    <w:rsid w:val="00944457"/>
    <w:rsid w:val="00944642"/>
    <w:rsid w:val="00944720"/>
    <w:rsid w:val="00944A6F"/>
    <w:rsid w:val="00944B97"/>
    <w:rsid w:val="00944C2D"/>
    <w:rsid w:val="00944CE7"/>
    <w:rsid w:val="00944FF2"/>
    <w:rsid w:val="00945208"/>
    <w:rsid w:val="009452F2"/>
    <w:rsid w:val="009454D7"/>
    <w:rsid w:val="009456B9"/>
    <w:rsid w:val="009456BF"/>
    <w:rsid w:val="00945747"/>
    <w:rsid w:val="00945814"/>
    <w:rsid w:val="0094584C"/>
    <w:rsid w:val="00946074"/>
    <w:rsid w:val="0094663B"/>
    <w:rsid w:val="0094666D"/>
    <w:rsid w:val="00946699"/>
    <w:rsid w:val="00946C06"/>
    <w:rsid w:val="009472C3"/>
    <w:rsid w:val="009476AF"/>
    <w:rsid w:val="00947745"/>
    <w:rsid w:val="00947878"/>
    <w:rsid w:val="0095019F"/>
    <w:rsid w:val="0095066D"/>
    <w:rsid w:val="0095067C"/>
    <w:rsid w:val="009508D2"/>
    <w:rsid w:val="00950908"/>
    <w:rsid w:val="00950A3E"/>
    <w:rsid w:val="00950D47"/>
    <w:rsid w:val="00950EF6"/>
    <w:rsid w:val="00950FC3"/>
    <w:rsid w:val="009510B7"/>
    <w:rsid w:val="00951100"/>
    <w:rsid w:val="00951372"/>
    <w:rsid w:val="009516CE"/>
    <w:rsid w:val="00951771"/>
    <w:rsid w:val="009518DD"/>
    <w:rsid w:val="00951E7D"/>
    <w:rsid w:val="009523B4"/>
    <w:rsid w:val="009523F9"/>
    <w:rsid w:val="00952E98"/>
    <w:rsid w:val="00952F3B"/>
    <w:rsid w:val="00952FD3"/>
    <w:rsid w:val="0095314A"/>
    <w:rsid w:val="009533B6"/>
    <w:rsid w:val="00953590"/>
    <w:rsid w:val="009535A3"/>
    <w:rsid w:val="00953707"/>
    <w:rsid w:val="00953C89"/>
    <w:rsid w:val="00953DD9"/>
    <w:rsid w:val="00954129"/>
    <w:rsid w:val="00954259"/>
    <w:rsid w:val="009545DF"/>
    <w:rsid w:val="009545E1"/>
    <w:rsid w:val="00954AC6"/>
    <w:rsid w:val="00954AEC"/>
    <w:rsid w:val="00954B55"/>
    <w:rsid w:val="0095506F"/>
    <w:rsid w:val="009554F3"/>
    <w:rsid w:val="0095585A"/>
    <w:rsid w:val="00955A89"/>
    <w:rsid w:val="00955D02"/>
    <w:rsid w:val="0095612A"/>
    <w:rsid w:val="00956684"/>
    <w:rsid w:val="00956C15"/>
    <w:rsid w:val="00956C43"/>
    <w:rsid w:val="00956EDB"/>
    <w:rsid w:val="00956FAA"/>
    <w:rsid w:val="0095718C"/>
    <w:rsid w:val="0095725A"/>
    <w:rsid w:val="00957A17"/>
    <w:rsid w:val="00957A1D"/>
    <w:rsid w:val="00957B82"/>
    <w:rsid w:val="0096009B"/>
    <w:rsid w:val="009601F2"/>
    <w:rsid w:val="00960405"/>
    <w:rsid w:val="009609C7"/>
    <w:rsid w:val="00960D35"/>
    <w:rsid w:val="00960EC8"/>
    <w:rsid w:val="0096111A"/>
    <w:rsid w:val="009618CE"/>
    <w:rsid w:val="009618F7"/>
    <w:rsid w:val="00961B25"/>
    <w:rsid w:val="00962369"/>
    <w:rsid w:val="00962522"/>
    <w:rsid w:val="0096253B"/>
    <w:rsid w:val="0096259E"/>
    <w:rsid w:val="0096276A"/>
    <w:rsid w:val="00962946"/>
    <w:rsid w:val="00962A2C"/>
    <w:rsid w:val="00962D63"/>
    <w:rsid w:val="00962D7B"/>
    <w:rsid w:val="00962EB2"/>
    <w:rsid w:val="0096310D"/>
    <w:rsid w:val="00963173"/>
    <w:rsid w:val="00963385"/>
    <w:rsid w:val="00963515"/>
    <w:rsid w:val="009637F2"/>
    <w:rsid w:val="00963A12"/>
    <w:rsid w:val="00963B0B"/>
    <w:rsid w:val="00963BCD"/>
    <w:rsid w:val="00963D6C"/>
    <w:rsid w:val="00963D92"/>
    <w:rsid w:val="009643A7"/>
    <w:rsid w:val="00964624"/>
    <w:rsid w:val="009646CE"/>
    <w:rsid w:val="00964749"/>
    <w:rsid w:val="0096477A"/>
    <w:rsid w:val="00964790"/>
    <w:rsid w:val="00964ADB"/>
    <w:rsid w:val="00964BE5"/>
    <w:rsid w:val="00964E59"/>
    <w:rsid w:val="009650AC"/>
    <w:rsid w:val="009650C1"/>
    <w:rsid w:val="009652F0"/>
    <w:rsid w:val="00965704"/>
    <w:rsid w:val="00965869"/>
    <w:rsid w:val="00965881"/>
    <w:rsid w:val="00965A38"/>
    <w:rsid w:val="00965D7A"/>
    <w:rsid w:val="00965E94"/>
    <w:rsid w:val="00965F22"/>
    <w:rsid w:val="0096608E"/>
    <w:rsid w:val="009664C1"/>
    <w:rsid w:val="009665EA"/>
    <w:rsid w:val="00966780"/>
    <w:rsid w:val="0096692B"/>
    <w:rsid w:val="00966ADC"/>
    <w:rsid w:val="00966B05"/>
    <w:rsid w:val="00967344"/>
    <w:rsid w:val="00967B3C"/>
    <w:rsid w:val="00967C16"/>
    <w:rsid w:val="00967C4E"/>
    <w:rsid w:val="00967CBF"/>
    <w:rsid w:val="00967E2B"/>
    <w:rsid w:val="00967FB7"/>
    <w:rsid w:val="009702D6"/>
    <w:rsid w:val="00970321"/>
    <w:rsid w:val="0097034A"/>
    <w:rsid w:val="009705C9"/>
    <w:rsid w:val="009705F9"/>
    <w:rsid w:val="00970AB1"/>
    <w:rsid w:val="00970B1B"/>
    <w:rsid w:val="00970B59"/>
    <w:rsid w:val="00970E20"/>
    <w:rsid w:val="00970E39"/>
    <w:rsid w:val="00970EF4"/>
    <w:rsid w:val="00970F4C"/>
    <w:rsid w:val="00971284"/>
    <w:rsid w:val="00971786"/>
    <w:rsid w:val="009717E9"/>
    <w:rsid w:val="009718BA"/>
    <w:rsid w:val="00971A61"/>
    <w:rsid w:val="00971BF4"/>
    <w:rsid w:val="00971C90"/>
    <w:rsid w:val="009721E1"/>
    <w:rsid w:val="009722D8"/>
    <w:rsid w:val="0097236D"/>
    <w:rsid w:val="009726A4"/>
    <w:rsid w:val="009726F4"/>
    <w:rsid w:val="00972928"/>
    <w:rsid w:val="00972D5B"/>
    <w:rsid w:val="009731C7"/>
    <w:rsid w:val="009732AF"/>
    <w:rsid w:val="009732D4"/>
    <w:rsid w:val="00973408"/>
    <w:rsid w:val="009736E0"/>
    <w:rsid w:val="00973753"/>
    <w:rsid w:val="009739A4"/>
    <w:rsid w:val="00973B93"/>
    <w:rsid w:val="00973C9D"/>
    <w:rsid w:val="00974328"/>
    <w:rsid w:val="00974588"/>
    <w:rsid w:val="00974605"/>
    <w:rsid w:val="00974994"/>
    <w:rsid w:val="00974C1D"/>
    <w:rsid w:val="00974E52"/>
    <w:rsid w:val="00974EFF"/>
    <w:rsid w:val="0097538B"/>
    <w:rsid w:val="0097540D"/>
    <w:rsid w:val="00975452"/>
    <w:rsid w:val="0097589D"/>
    <w:rsid w:val="00975BE3"/>
    <w:rsid w:val="00975BF7"/>
    <w:rsid w:val="00975D2D"/>
    <w:rsid w:val="00975D61"/>
    <w:rsid w:val="00976235"/>
    <w:rsid w:val="00976367"/>
    <w:rsid w:val="009765C7"/>
    <w:rsid w:val="009768F8"/>
    <w:rsid w:val="00976901"/>
    <w:rsid w:val="00977270"/>
    <w:rsid w:val="0097770A"/>
    <w:rsid w:val="00977913"/>
    <w:rsid w:val="00977C26"/>
    <w:rsid w:val="00977C33"/>
    <w:rsid w:val="00977F7A"/>
    <w:rsid w:val="0098017B"/>
    <w:rsid w:val="00980404"/>
    <w:rsid w:val="009810E8"/>
    <w:rsid w:val="0098125B"/>
    <w:rsid w:val="00981386"/>
    <w:rsid w:val="009813E3"/>
    <w:rsid w:val="0098145D"/>
    <w:rsid w:val="009817DC"/>
    <w:rsid w:val="009818C8"/>
    <w:rsid w:val="00981CFD"/>
    <w:rsid w:val="00981E35"/>
    <w:rsid w:val="0098237B"/>
    <w:rsid w:val="0098254D"/>
    <w:rsid w:val="00982756"/>
    <w:rsid w:val="00982B24"/>
    <w:rsid w:val="00982B74"/>
    <w:rsid w:val="00982C49"/>
    <w:rsid w:val="00982C84"/>
    <w:rsid w:val="00982E78"/>
    <w:rsid w:val="009836F1"/>
    <w:rsid w:val="00983779"/>
    <w:rsid w:val="0098382B"/>
    <w:rsid w:val="00983878"/>
    <w:rsid w:val="00983C67"/>
    <w:rsid w:val="00983ED1"/>
    <w:rsid w:val="00983F2C"/>
    <w:rsid w:val="00984263"/>
    <w:rsid w:val="00984386"/>
    <w:rsid w:val="00984692"/>
    <w:rsid w:val="00984A4A"/>
    <w:rsid w:val="00984CE2"/>
    <w:rsid w:val="00984FEB"/>
    <w:rsid w:val="00985854"/>
    <w:rsid w:val="00985946"/>
    <w:rsid w:val="0098596D"/>
    <w:rsid w:val="00985D87"/>
    <w:rsid w:val="0098613E"/>
    <w:rsid w:val="009863E4"/>
    <w:rsid w:val="009865A9"/>
    <w:rsid w:val="00986B0F"/>
    <w:rsid w:val="00986D69"/>
    <w:rsid w:val="00986EF5"/>
    <w:rsid w:val="009872C5"/>
    <w:rsid w:val="00987C80"/>
    <w:rsid w:val="00987CD4"/>
    <w:rsid w:val="00987D29"/>
    <w:rsid w:val="00987E02"/>
    <w:rsid w:val="00990287"/>
    <w:rsid w:val="009903C0"/>
    <w:rsid w:val="00990447"/>
    <w:rsid w:val="0099052C"/>
    <w:rsid w:val="0099086E"/>
    <w:rsid w:val="00990C44"/>
    <w:rsid w:val="00990DF0"/>
    <w:rsid w:val="0099101B"/>
    <w:rsid w:val="00991145"/>
    <w:rsid w:val="00991410"/>
    <w:rsid w:val="00991824"/>
    <w:rsid w:val="00991D15"/>
    <w:rsid w:val="00991E5D"/>
    <w:rsid w:val="00991E83"/>
    <w:rsid w:val="00991EAC"/>
    <w:rsid w:val="00991EBB"/>
    <w:rsid w:val="0099206D"/>
    <w:rsid w:val="009920F3"/>
    <w:rsid w:val="009921B7"/>
    <w:rsid w:val="0099272C"/>
    <w:rsid w:val="009927C0"/>
    <w:rsid w:val="00992895"/>
    <w:rsid w:val="00992D90"/>
    <w:rsid w:val="0099311E"/>
    <w:rsid w:val="00993169"/>
    <w:rsid w:val="009933DC"/>
    <w:rsid w:val="009934F0"/>
    <w:rsid w:val="0099379C"/>
    <w:rsid w:val="00993B76"/>
    <w:rsid w:val="00993CDF"/>
    <w:rsid w:val="00993D42"/>
    <w:rsid w:val="00993DD9"/>
    <w:rsid w:val="00994310"/>
    <w:rsid w:val="00994B77"/>
    <w:rsid w:val="00994C89"/>
    <w:rsid w:val="00994C92"/>
    <w:rsid w:val="00994FF2"/>
    <w:rsid w:val="009953B8"/>
    <w:rsid w:val="00995457"/>
    <w:rsid w:val="00995A10"/>
    <w:rsid w:val="00995B53"/>
    <w:rsid w:val="00995BBB"/>
    <w:rsid w:val="00995BEC"/>
    <w:rsid w:val="00995C0C"/>
    <w:rsid w:val="00995EE6"/>
    <w:rsid w:val="009960EF"/>
    <w:rsid w:val="0099629F"/>
    <w:rsid w:val="00996453"/>
    <w:rsid w:val="00996602"/>
    <w:rsid w:val="009966DE"/>
    <w:rsid w:val="00996805"/>
    <w:rsid w:val="00996A5D"/>
    <w:rsid w:val="00996CA8"/>
    <w:rsid w:val="009973BC"/>
    <w:rsid w:val="009974A8"/>
    <w:rsid w:val="00997542"/>
    <w:rsid w:val="0099793D"/>
    <w:rsid w:val="00997CED"/>
    <w:rsid w:val="00997D3E"/>
    <w:rsid w:val="00997F23"/>
    <w:rsid w:val="009A0203"/>
    <w:rsid w:val="009A02E3"/>
    <w:rsid w:val="009A05FC"/>
    <w:rsid w:val="009A0684"/>
    <w:rsid w:val="009A08B9"/>
    <w:rsid w:val="009A0912"/>
    <w:rsid w:val="009A0EA2"/>
    <w:rsid w:val="009A1315"/>
    <w:rsid w:val="009A1323"/>
    <w:rsid w:val="009A14CA"/>
    <w:rsid w:val="009A1BD0"/>
    <w:rsid w:val="009A1C70"/>
    <w:rsid w:val="009A1E12"/>
    <w:rsid w:val="009A236A"/>
    <w:rsid w:val="009A25BA"/>
    <w:rsid w:val="009A2907"/>
    <w:rsid w:val="009A2A70"/>
    <w:rsid w:val="009A2E1F"/>
    <w:rsid w:val="009A30DD"/>
    <w:rsid w:val="009A331F"/>
    <w:rsid w:val="009A33E8"/>
    <w:rsid w:val="009A349E"/>
    <w:rsid w:val="009A34D2"/>
    <w:rsid w:val="009A3666"/>
    <w:rsid w:val="009A3D9F"/>
    <w:rsid w:val="009A3DC4"/>
    <w:rsid w:val="009A3F53"/>
    <w:rsid w:val="009A40A9"/>
    <w:rsid w:val="009A432E"/>
    <w:rsid w:val="009A4517"/>
    <w:rsid w:val="009A47CE"/>
    <w:rsid w:val="009A4B52"/>
    <w:rsid w:val="009A4C6D"/>
    <w:rsid w:val="009A4E7A"/>
    <w:rsid w:val="009A4F6A"/>
    <w:rsid w:val="009A526A"/>
    <w:rsid w:val="009A5318"/>
    <w:rsid w:val="009A531F"/>
    <w:rsid w:val="009A5662"/>
    <w:rsid w:val="009A56A0"/>
    <w:rsid w:val="009A56D7"/>
    <w:rsid w:val="009A5A25"/>
    <w:rsid w:val="009A5F48"/>
    <w:rsid w:val="009A601B"/>
    <w:rsid w:val="009A6101"/>
    <w:rsid w:val="009A6143"/>
    <w:rsid w:val="009A6318"/>
    <w:rsid w:val="009A6445"/>
    <w:rsid w:val="009A69F1"/>
    <w:rsid w:val="009A6B75"/>
    <w:rsid w:val="009A6B80"/>
    <w:rsid w:val="009A7199"/>
    <w:rsid w:val="009A7277"/>
    <w:rsid w:val="009A7947"/>
    <w:rsid w:val="009A7AC4"/>
    <w:rsid w:val="009A7AC8"/>
    <w:rsid w:val="009A7C41"/>
    <w:rsid w:val="009B0140"/>
    <w:rsid w:val="009B020E"/>
    <w:rsid w:val="009B0796"/>
    <w:rsid w:val="009B0D16"/>
    <w:rsid w:val="009B0F14"/>
    <w:rsid w:val="009B17DB"/>
    <w:rsid w:val="009B1904"/>
    <w:rsid w:val="009B1DDC"/>
    <w:rsid w:val="009B1E3C"/>
    <w:rsid w:val="009B1FEA"/>
    <w:rsid w:val="009B2385"/>
    <w:rsid w:val="009B2465"/>
    <w:rsid w:val="009B277C"/>
    <w:rsid w:val="009B284F"/>
    <w:rsid w:val="009B29ED"/>
    <w:rsid w:val="009B2D05"/>
    <w:rsid w:val="009B2FD8"/>
    <w:rsid w:val="009B349A"/>
    <w:rsid w:val="009B386E"/>
    <w:rsid w:val="009B3978"/>
    <w:rsid w:val="009B3A32"/>
    <w:rsid w:val="009B3A34"/>
    <w:rsid w:val="009B403B"/>
    <w:rsid w:val="009B46FF"/>
    <w:rsid w:val="009B47B6"/>
    <w:rsid w:val="009B5229"/>
    <w:rsid w:val="009B5253"/>
    <w:rsid w:val="009B52C8"/>
    <w:rsid w:val="009B53E7"/>
    <w:rsid w:val="009B55E4"/>
    <w:rsid w:val="009B56D5"/>
    <w:rsid w:val="009B59A6"/>
    <w:rsid w:val="009B5BF2"/>
    <w:rsid w:val="009B6193"/>
    <w:rsid w:val="009B642A"/>
    <w:rsid w:val="009B6959"/>
    <w:rsid w:val="009B6D3B"/>
    <w:rsid w:val="009B6DA5"/>
    <w:rsid w:val="009B6E82"/>
    <w:rsid w:val="009B7634"/>
    <w:rsid w:val="009B7948"/>
    <w:rsid w:val="009B795A"/>
    <w:rsid w:val="009B7A96"/>
    <w:rsid w:val="009B7C33"/>
    <w:rsid w:val="009B7C9B"/>
    <w:rsid w:val="009B7E20"/>
    <w:rsid w:val="009B7FC9"/>
    <w:rsid w:val="009C0367"/>
    <w:rsid w:val="009C07AE"/>
    <w:rsid w:val="009C0D9F"/>
    <w:rsid w:val="009C1321"/>
    <w:rsid w:val="009C1410"/>
    <w:rsid w:val="009C150F"/>
    <w:rsid w:val="009C184D"/>
    <w:rsid w:val="009C1940"/>
    <w:rsid w:val="009C1A86"/>
    <w:rsid w:val="009C1D4A"/>
    <w:rsid w:val="009C1E42"/>
    <w:rsid w:val="009C2048"/>
    <w:rsid w:val="009C2397"/>
    <w:rsid w:val="009C2490"/>
    <w:rsid w:val="009C25CC"/>
    <w:rsid w:val="009C2909"/>
    <w:rsid w:val="009C299D"/>
    <w:rsid w:val="009C29ED"/>
    <w:rsid w:val="009C3237"/>
    <w:rsid w:val="009C32CA"/>
    <w:rsid w:val="009C37FF"/>
    <w:rsid w:val="009C40F1"/>
    <w:rsid w:val="009C4129"/>
    <w:rsid w:val="009C4241"/>
    <w:rsid w:val="009C4398"/>
    <w:rsid w:val="009C4487"/>
    <w:rsid w:val="009C49DB"/>
    <w:rsid w:val="009C4A2A"/>
    <w:rsid w:val="009C4ACD"/>
    <w:rsid w:val="009C4B45"/>
    <w:rsid w:val="009C4B51"/>
    <w:rsid w:val="009C4DB9"/>
    <w:rsid w:val="009C5130"/>
    <w:rsid w:val="009C5414"/>
    <w:rsid w:val="009C542B"/>
    <w:rsid w:val="009C5495"/>
    <w:rsid w:val="009C5576"/>
    <w:rsid w:val="009C56C7"/>
    <w:rsid w:val="009C5BBD"/>
    <w:rsid w:val="009C5BFD"/>
    <w:rsid w:val="009C5D30"/>
    <w:rsid w:val="009C5D5E"/>
    <w:rsid w:val="009C6559"/>
    <w:rsid w:val="009C65D6"/>
    <w:rsid w:val="009C6722"/>
    <w:rsid w:val="009C696D"/>
    <w:rsid w:val="009C69DE"/>
    <w:rsid w:val="009C6A76"/>
    <w:rsid w:val="009C6BB9"/>
    <w:rsid w:val="009C7134"/>
    <w:rsid w:val="009C75FB"/>
    <w:rsid w:val="009C79F3"/>
    <w:rsid w:val="009C7A87"/>
    <w:rsid w:val="009D0033"/>
    <w:rsid w:val="009D024D"/>
    <w:rsid w:val="009D0654"/>
    <w:rsid w:val="009D0B82"/>
    <w:rsid w:val="009D0BC0"/>
    <w:rsid w:val="009D0C48"/>
    <w:rsid w:val="009D0ECB"/>
    <w:rsid w:val="009D1514"/>
    <w:rsid w:val="009D18F1"/>
    <w:rsid w:val="009D1C4D"/>
    <w:rsid w:val="009D1C90"/>
    <w:rsid w:val="009D1CE8"/>
    <w:rsid w:val="009D1FEE"/>
    <w:rsid w:val="009D2379"/>
    <w:rsid w:val="009D2514"/>
    <w:rsid w:val="009D2D65"/>
    <w:rsid w:val="009D3113"/>
    <w:rsid w:val="009D31E8"/>
    <w:rsid w:val="009D3230"/>
    <w:rsid w:val="009D3236"/>
    <w:rsid w:val="009D33DA"/>
    <w:rsid w:val="009D3437"/>
    <w:rsid w:val="009D35B9"/>
    <w:rsid w:val="009D3669"/>
    <w:rsid w:val="009D36C0"/>
    <w:rsid w:val="009D3755"/>
    <w:rsid w:val="009D37EB"/>
    <w:rsid w:val="009D3B51"/>
    <w:rsid w:val="009D3C06"/>
    <w:rsid w:val="009D416D"/>
    <w:rsid w:val="009D441C"/>
    <w:rsid w:val="009D467B"/>
    <w:rsid w:val="009D49FA"/>
    <w:rsid w:val="009D4A77"/>
    <w:rsid w:val="009D4D49"/>
    <w:rsid w:val="009D517B"/>
    <w:rsid w:val="009D52BC"/>
    <w:rsid w:val="009D55A6"/>
    <w:rsid w:val="009D5773"/>
    <w:rsid w:val="009D59B1"/>
    <w:rsid w:val="009D5B3B"/>
    <w:rsid w:val="009D5BA1"/>
    <w:rsid w:val="009D5C20"/>
    <w:rsid w:val="009D5DDB"/>
    <w:rsid w:val="009D5E15"/>
    <w:rsid w:val="009D5FA4"/>
    <w:rsid w:val="009D684D"/>
    <w:rsid w:val="009D6902"/>
    <w:rsid w:val="009D6BBF"/>
    <w:rsid w:val="009D6C02"/>
    <w:rsid w:val="009D6DA6"/>
    <w:rsid w:val="009D6ED0"/>
    <w:rsid w:val="009D7197"/>
    <w:rsid w:val="009D77C1"/>
    <w:rsid w:val="009D7803"/>
    <w:rsid w:val="009E0057"/>
    <w:rsid w:val="009E062B"/>
    <w:rsid w:val="009E0634"/>
    <w:rsid w:val="009E098A"/>
    <w:rsid w:val="009E0A22"/>
    <w:rsid w:val="009E0A6D"/>
    <w:rsid w:val="009E0ACB"/>
    <w:rsid w:val="009E0BAA"/>
    <w:rsid w:val="009E0C75"/>
    <w:rsid w:val="009E0C9D"/>
    <w:rsid w:val="009E122B"/>
    <w:rsid w:val="009E1390"/>
    <w:rsid w:val="009E15E3"/>
    <w:rsid w:val="009E16EB"/>
    <w:rsid w:val="009E1E3A"/>
    <w:rsid w:val="009E24B6"/>
    <w:rsid w:val="009E2637"/>
    <w:rsid w:val="009E265B"/>
    <w:rsid w:val="009E272D"/>
    <w:rsid w:val="009E27A7"/>
    <w:rsid w:val="009E2F57"/>
    <w:rsid w:val="009E3183"/>
    <w:rsid w:val="009E31BF"/>
    <w:rsid w:val="009E3A5B"/>
    <w:rsid w:val="009E3B00"/>
    <w:rsid w:val="009E3D49"/>
    <w:rsid w:val="009E3ECA"/>
    <w:rsid w:val="009E4304"/>
    <w:rsid w:val="009E578A"/>
    <w:rsid w:val="009E582B"/>
    <w:rsid w:val="009E5998"/>
    <w:rsid w:val="009E5B66"/>
    <w:rsid w:val="009E5B6E"/>
    <w:rsid w:val="009E5D9C"/>
    <w:rsid w:val="009E5ED3"/>
    <w:rsid w:val="009E5F35"/>
    <w:rsid w:val="009E5F5C"/>
    <w:rsid w:val="009E5F8B"/>
    <w:rsid w:val="009E60BF"/>
    <w:rsid w:val="009E614B"/>
    <w:rsid w:val="009E6226"/>
    <w:rsid w:val="009E624B"/>
    <w:rsid w:val="009E62C2"/>
    <w:rsid w:val="009E6303"/>
    <w:rsid w:val="009E659D"/>
    <w:rsid w:val="009E67D0"/>
    <w:rsid w:val="009E69B3"/>
    <w:rsid w:val="009E6C0F"/>
    <w:rsid w:val="009E6E33"/>
    <w:rsid w:val="009E70C1"/>
    <w:rsid w:val="009E72BC"/>
    <w:rsid w:val="009E7531"/>
    <w:rsid w:val="009E7661"/>
    <w:rsid w:val="009E78DD"/>
    <w:rsid w:val="009E791F"/>
    <w:rsid w:val="009E7F95"/>
    <w:rsid w:val="009F0015"/>
    <w:rsid w:val="009F0069"/>
    <w:rsid w:val="009F048A"/>
    <w:rsid w:val="009F06BE"/>
    <w:rsid w:val="009F06D3"/>
    <w:rsid w:val="009F0792"/>
    <w:rsid w:val="009F080F"/>
    <w:rsid w:val="009F086C"/>
    <w:rsid w:val="009F093B"/>
    <w:rsid w:val="009F0EAB"/>
    <w:rsid w:val="009F0FC4"/>
    <w:rsid w:val="009F1011"/>
    <w:rsid w:val="009F1328"/>
    <w:rsid w:val="009F15BA"/>
    <w:rsid w:val="009F18A5"/>
    <w:rsid w:val="009F1999"/>
    <w:rsid w:val="009F19AE"/>
    <w:rsid w:val="009F19FA"/>
    <w:rsid w:val="009F1B71"/>
    <w:rsid w:val="009F2659"/>
    <w:rsid w:val="009F2971"/>
    <w:rsid w:val="009F309D"/>
    <w:rsid w:val="009F3528"/>
    <w:rsid w:val="009F36BA"/>
    <w:rsid w:val="009F39A3"/>
    <w:rsid w:val="009F3CBF"/>
    <w:rsid w:val="009F3DFA"/>
    <w:rsid w:val="009F3FA4"/>
    <w:rsid w:val="009F4087"/>
    <w:rsid w:val="009F46EE"/>
    <w:rsid w:val="009F4C52"/>
    <w:rsid w:val="009F4ED3"/>
    <w:rsid w:val="009F4F4B"/>
    <w:rsid w:val="009F510B"/>
    <w:rsid w:val="009F5806"/>
    <w:rsid w:val="009F59B5"/>
    <w:rsid w:val="009F5B1F"/>
    <w:rsid w:val="009F5DD2"/>
    <w:rsid w:val="009F5E5D"/>
    <w:rsid w:val="009F63BE"/>
    <w:rsid w:val="009F6501"/>
    <w:rsid w:val="009F6B72"/>
    <w:rsid w:val="009F6FD5"/>
    <w:rsid w:val="009F734F"/>
    <w:rsid w:val="009F75C5"/>
    <w:rsid w:val="009F75EF"/>
    <w:rsid w:val="009F7D97"/>
    <w:rsid w:val="009F7E0A"/>
    <w:rsid w:val="009F7F5A"/>
    <w:rsid w:val="00A0018C"/>
    <w:rsid w:val="00A00516"/>
    <w:rsid w:val="00A00A5B"/>
    <w:rsid w:val="00A00CD4"/>
    <w:rsid w:val="00A00FAB"/>
    <w:rsid w:val="00A01CE3"/>
    <w:rsid w:val="00A01D69"/>
    <w:rsid w:val="00A01E20"/>
    <w:rsid w:val="00A02270"/>
    <w:rsid w:val="00A02563"/>
    <w:rsid w:val="00A027A8"/>
    <w:rsid w:val="00A02852"/>
    <w:rsid w:val="00A02AC6"/>
    <w:rsid w:val="00A02B0D"/>
    <w:rsid w:val="00A02B27"/>
    <w:rsid w:val="00A02DAF"/>
    <w:rsid w:val="00A032F7"/>
    <w:rsid w:val="00A032FB"/>
    <w:rsid w:val="00A03438"/>
    <w:rsid w:val="00A03657"/>
    <w:rsid w:val="00A0397C"/>
    <w:rsid w:val="00A03AE6"/>
    <w:rsid w:val="00A03CE3"/>
    <w:rsid w:val="00A03DEB"/>
    <w:rsid w:val="00A03E72"/>
    <w:rsid w:val="00A042BE"/>
    <w:rsid w:val="00A04C3D"/>
    <w:rsid w:val="00A04D46"/>
    <w:rsid w:val="00A04ECA"/>
    <w:rsid w:val="00A055B5"/>
    <w:rsid w:val="00A057FD"/>
    <w:rsid w:val="00A05F1C"/>
    <w:rsid w:val="00A0607D"/>
    <w:rsid w:val="00A0643E"/>
    <w:rsid w:val="00A06588"/>
    <w:rsid w:val="00A066C0"/>
    <w:rsid w:val="00A06973"/>
    <w:rsid w:val="00A06AE8"/>
    <w:rsid w:val="00A06C02"/>
    <w:rsid w:val="00A06C7A"/>
    <w:rsid w:val="00A06D88"/>
    <w:rsid w:val="00A07030"/>
    <w:rsid w:val="00A070C5"/>
    <w:rsid w:val="00A0728D"/>
    <w:rsid w:val="00A07D1F"/>
    <w:rsid w:val="00A07E63"/>
    <w:rsid w:val="00A07EFE"/>
    <w:rsid w:val="00A108B2"/>
    <w:rsid w:val="00A10C45"/>
    <w:rsid w:val="00A10CB9"/>
    <w:rsid w:val="00A110AF"/>
    <w:rsid w:val="00A1130B"/>
    <w:rsid w:val="00A113D3"/>
    <w:rsid w:val="00A1145D"/>
    <w:rsid w:val="00A11542"/>
    <w:rsid w:val="00A115EF"/>
    <w:rsid w:val="00A116A6"/>
    <w:rsid w:val="00A11ED8"/>
    <w:rsid w:val="00A11F9D"/>
    <w:rsid w:val="00A1214D"/>
    <w:rsid w:val="00A125E8"/>
    <w:rsid w:val="00A125F1"/>
    <w:rsid w:val="00A12A6D"/>
    <w:rsid w:val="00A12D92"/>
    <w:rsid w:val="00A12EBE"/>
    <w:rsid w:val="00A131D6"/>
    <w:rsid w:val="00A133C9"/>
    <w:rsid w:val="00A137A2"/>
    <w:rsid w:val="00A137FB"/>
    <w:rsid w:val="00A139A0"/>
    <w:rsid w:val="00A13C4B"/>
    <w:rsid w:val="00A13CCF"/>
    <w:rsid w:val="00A13EA8"/>
    <w:rsid w:val="00A13F46"/>
    <w:rsid w:val="00A1439A"/>
    <w:rsid w:val="00A14468"/>
    <w:rsid w:val="00A144F4"/>
    <w:rsid w:val="00A14A2D"/>
    <w:rsid w:val="00A14A63"/>
    <w:rsid w:val="00A14C4D"/>
    <w:rsid w:val="00A14CC5"/>
    <w:rsid w:val="00A1583E"/>
    <w:rsid w:val="00A15B1B"/>
    <w:rsid w:val="00A15D23"/>
    <w:rsid w:val="00A15D36"/>
    <w:rsid w:val="00A15F21"/>
    <w:rsid w:val="00A15FDD"/>
    <w:rsid w:val="00A15FFA"/>
    <w:rsid w:val="00A16654"/>
    <w:rsid w:val="00A16873"/>
    <w:rsid w:val="00A16B89"/>
    <w:rsid w:val="00A16C90"/>
    <w:rsid w:val="00A16EBF"/>
    <w:rsid w:val="00A17143"/>
    <w:rsid w:val="00A17372"/>
    <w:rsid w:val="00A17477"/>
    <w:rsid w:val="00A17593"/>
    <w:rsid w:val="00A17678"/>
    <w:rsid w:val="00A203CA"/>
    <w:rsid w:val="00A20590"/>
    <w:rsid w:val="00A20727"/>
    <w:rsid w:val="00A20BA4"/>
    <w:rsid w:val="00A20D2E"/>
    <w:rsid w:val="00A20EB2"/>
    <w:rsid w:val="00A211D4"/>
    <w:rsid w:val="00A21330"/>
    <w:rsid w:val="00A21453"/>
    <w:rsid w:val="00A21543"/>
    <w:rsid w:val="00A21618"/>
    <w:rsid w:val="00A21F53"/>
    <w:rsid w:val="00A220E0"/>
    <w:rsid w:val="00A2232C"/>
    <w:rsid w:val="00A22363"/>
    <w:rsid w:val="00A225A1"/>
    <w:rsid w:val="00A2278C"/>
    <w:rsid w:val="00A22F1E"/>
    <w:rsid w:val="00A233A8"/>
    <w:rsid w:val="00A235EA"/>
    <w:rsid w:val="00A23888"/>
    <w:rsid w:val="00A23BD9"/>
    <w:rsid w:val="00A23C55"/>
    <w:rsid w:val="00A23FA1"/>
    <w:rsid w:val="00A246D2"/>
    <w:rsid w:val="00A24778"/>
    <w:rsid w:val="00A247B0"/>
    <w:rsid w:val="00A24808"/>
    <w:rsid w:val="00A24863"/>
    <w:rsid w:val="00A249E5"/>
    <w:rsid w:val="00A24A25"/>
    <w:rsid w:val="00A25040"/>
    <w:rsid w:val="00A250EC"/>
    <w:rsid w:val="00A25592"/>
    <w:rsid w:val="00A25602"/>
    <w:rsid w:val="00A25746"/>
    <w:rsid w:val="00A25B17"/>
    <w:rsid w:val="00A25EED"/>
    <w:rsid w:val="00A2663C"/>
    <w:rsid w:val="00A26E2F"/>
    <w:rsid w:val="00A27270"/>
    <w:rsid w:val="00A27611"/>
    <w:rsid w:val="00A279D5"/>
    <w:rsid w:val="00A3057E"/>
    <w:rsid w:val="00A30613"/>
    <w:rsid w:val="00A306D6"/>
    <w:rsid w:val="00A30862"/>
    <w:rsid w:val="00A30A57"/>
    <w:rsid w:val="00A30AC1"/>
    <w:rsid w:val="00A30AF3"/>
    <w:rsid w:val="00A30BE6"/>
    <w:rsid w:val="00A31188"/>
    <w:rsid w:val="00A313FC"/>
    <w:rsid w:val="00A3146D"/>
    <w:rsid w:val="00A31650"/>
    <w:rsid w:val="00A31871"/>
    <w:rsid w:val="00A319DD"/>
    <w:rsid w:val="00A31AA9"/>
    <w:rsid w:val="00A31C8D"/>
    <w:rsid w:val="00A323E2"/>
    <w:rsid w:val="00A32625"/>
    <w:rsid w:val="00A328EC"/>
    <w:rsid w:val="00A32BC8"/>
    <w:rsid w:val="00A32F08"/>
    <w:rsid w:val="00A330C4"/>
    <w:rsid w:val="00A33130"/>
    <w:rsid w:val="00A3321D"/>
    <w:rsid w:val="00A332EC"/>
    <w:rsid w:val="00A333B3"/>
    <w:rsid w:val="00A333DC"/>
    <w:rsid w:val="00A337B8"/>
    <w:rsid w:val="00A338AB"/>
    <w:rsid w:val="00A33ACD"/>
    <w:rsid w:val="00A33E8B"/>
    <w:rsid w:val="00A33F13"/>
    <w:rsid w:val="00A33F81"/>
    <w:rsid w:val="00A340B1"/>
    <w:rsid w:val="00A3411B"/>
    <w:rsid w:val="00A342E1"/>
    <w:rsid w:val="00A348DD"/>
    <w:rsid w:val="00A34A71"/>
    <w:rsid w:val="00A3517E"/>
    <w:rsid w:val="00A3523B"/>
    <w:rsid w:val="00A355B5"/>
    <w:rsid w:val="00A355C6"/>
    <w:rsid w:val="00A35939"/>
    <w:rsid w:val="00A35A8E"/>
    <w:rsid w:val="00A35C49"/>
    <w:rsid w:val="00A35C74"/>
    <w:rsid w:val="00A35DD5"/>
    <w:rsid w:val="00A35F1E"/>
    <w:rsid w:val="00A35F7A"/>
    <w:rsid w:val="00A35FBC"/>
    <w:rsid w:val="00A36224"/>
    <w:rsid w:val="00A36232"/>
    <w:rsid w:val="00A362B3"/>
    <w:rsid w:val="00A36767"/>
    <w:rsid w:val="00A36DD9"/>
    <w:rsid w:val="00A36E9C"/>
    <w:rsid w:val="00A36EB1"/>
    <w:rsid w:val="00A37542"/>
    <w:rsid w:val="00A376A8"/>
    <w:rsid w:val="00A37A8D"/>
    <w:rsid w:val="00A37BA0"/>
    <w:rsid w:val="00A37D48"/>
    <w:rsid w:val="00A403C1"/>
    <w:rsid w:val="00A408F7"/>
    <w:rsid w:val="00A40F94"/>
    <w:rsid w:val="00A412FC"/>
    <w:rsid w:val="00A41309"/>
    <w:rsid w:val="00A41D28"/>
    <w:rsid w:val="00A41F64"/>
    <w:rsid w:val="00A420D6"/>
    <w:rsid w:val="00A421F0"/>
    <w:rsid w:val="00A422E7"/>
    <w:rsid w:val="00A428E6"/>
    <w:rsid w:val="00A42AF6"/>
    <w:rsid w:val="00A42CCE"/>
    <w:rsid w:val="00A42D89"/>
    <w:rsid w:val="00A432FB"/>
    <w:rsid w:val="00A4346B"/>
    <w:rsid w:val="00A435F8"/>
    <w:rsid w:val="00A43696"/>
    <w:rsid w:val="00A437A1"/>
    <w:rsid w:val="00A437EB"/>
    <w:rsid w:val="00A4383E"/>
    <w:rsid w:val="00A43A49"/>
    <w:rsid w:val="00A43BD6"/>
    <w:rsid w:val="00A43DBA"/>
    <w:rsid w:val="00A43EC7"/>
    <w:rsid w:val="00A43F2B"/>
    <w:rsid w:val="00A44195"/>
    <w:rsid w:val="00A44A35"/>
    <w:rsid w:val="00A44B01"/>
    <w:rsid w:val="00A44C8C"/>
    <w:rsid w:val="00A44DE4"/>
    <w:rsid w:val="00A4535B"/>
    <w:rsid w:val="00A45384"/>
    <w:rsid w:val="00A45C1A"/>
    <w:rsid w:val="00A45D22"/>
    <w:rsid w:val="00A46863"/>
    <w:rsid w:val="00A46C37"/>
    <w:rsid w:val="00A46D8B"/>
    <w:rsid w:val="00A46F47"/>
    <w:rsid w:val="00A46F53"/>
    <w:rsid w:val="00A46FFB"/>
    <w:rsid w:val="00A47402"/>
    <w:rsid w:val="00A47809"/>
    <w:rsid w:val="00A47914"/>
    <w:rsid w:val="00A4796F"/>
    <w:rsid w:val="00A47B6B"/>
    <w:rsid w:val="00A47F28"/>
    <w:rsid w:val="00A506F8"/>
    <w:rsid w:val="00A508B0"/>
    <w:rsid w:val="00A5094B"/>
    <w:rsid w:val="00A5096C"/>
    <w:rsid w:val="00A50D05"/>
    <w:rsid w:val="00A513B1"/>
    <w:rsid w:val="00A514A3"/>
    <w:rsid w:val="00A51813"/>
    <w:rsid w:val="00A518BF"/>
    <w:rsid w:val="00A51BBA"/>
    <w:rsid w:val="00A51FB5"/>
    <w:rsid w:val="00A52034"/>
    <w:rsid w:val="00A52127"/>
    <w:rsid w:val="00A524BC"/>
    <w:rsid w:val="00A52587"/>
    <w:rsid w:val="00A525F6"/>
    <w:rsid w:val="00A5278B"/>
    <w:rsid w:val="00A52CFC"/>
    <w:rsid w:val="00A52F24"/>
    <w:rsid w:val="00A531D9"/>
    <w:rsid w:val="00A534EC"/>
    <w:rsid w:val="00A537DE"/>
    <w:rsid w:val="00A5391A"/>
    <w:rsid w:val="00A5395D"/>
    <w:rsid w:val="00A53E1A"/>
    <w:rsid w:val="00A540FA"/>
    <w:rsid w:val="00A54190"/>
    <w:rsid w:val="00A542B4"/>
    <w:rsid w:val="00A5448A"/>
    <w:rsid w:val="00A544BD"/>
    <w:rsid w:val="00A54A02"/>
    <w:rsid w:val="00A54B24"/>
    <w:rsid w:val="00A55591"/>
    <w:rsid w:val="00A55817"/>
    <w:rsid w:val="00A55D32"/>
    <w:rsid w:val="00A55F0D"/>
    <w:rsid w:val="00A5609D"/>
    <w:rsid w:val="00A56151"/>
    <w:rsid w:val="00A56172"/>
    <w:rsid w:val="00A56293"/>
    <w:rsid w:val="00A5639B"/>
    <w:rsid w:val="00A56609"/>
    <w:rsid w:val="00A566EE"/>
    <w:rsid w:val="00A56DA0"/>
    <w:rsid w:val="00A56E17"/>
    <w:rsid w:val="00A5791C"/>
    <w:rsid w:val="00A57D4B"/>
    <w:rsid w:val="00A60037"/>
    <w:rsid w:val="00A601BD"/>
    <w:rsid w:val="00A601D3"/>
    <w:rsid w:val="00A60519"/>
    <w:rsid w:val="00A6064A"/>
    <w:rsid w:val="00A606F5"/>
    <w:rsid w:val="00A609E6"/>
    <w:rsid w:val="00A60AF4"/>
    <w:rsid w:val="00A60D74"/>
    <w:rsid w:val="00A60FE7"/>
    <w:rsid w:val="00A6106A"/>
    <w:rsid w:val="00A61442"/>
    <w:rsid w:val="00A6149C"/>
    <w:rsid w:val="00A61552"/>
    <w:rsid w:val="00A615E5"/>
    <w:rsid w:val="00A618CC"/>
    <w:rsid w:val="00A61948"/>
    <w:rsid w:val="00A61CAC"/>
    <w:rsid w:val="00A620DC"/>
    <w:rsid w:val="00A62218"/>
    <w:rsid w:val="00A62251"/>
    <w:rsid w:val="00A62AE6"/>
    <w:rsid w:val="00A62CA3"/>
    <w:rsid w:val="00A62ECF"/>
    <w:rsid w:val="00A62F57"/>
    <w:rsid w:val="00A6313E"/>
    <w:rsid w:val="00A63656"/>
    <w:rsid w:val="00A63AC2"/>
    <w:rsid w:val="00A63B39"/>
    <w:rsid w:val="00A63D9D"/>
    <w:rsid w:val="00A63E62"/>
    <w:rsid w:val="00A63F13"/>
    <w:rsid w:val="00A6423D"/>
    <w:rsid w:val="00A64263"/>
    <w:rsid w:val="00A642E1"/>
    <w:rsid w:val="00A642E2"/>
    <w:rsid w:val="00A64348"/>
    <w:rsid w:val="00A647A3"/>
    <w:rsid w:val="00A64832"/>
    <w:rsid w:val="00A6485B"/>
    <w:rsid w:val="00A648C1"/>
    <w:rsid w:val="00A648C9"/>
    <w:rsid w:val="00A64BA9"/>
    <w:rsid w:val="00A64C1F"/>
    <w:rsid w:val="00A64FE8"/>
    <w:rsid w:val="00A65402"/>
    <w:rsid w:val="00A656B2"/>
    <w:rsid w:val="00A658F5"/>
    <w:rsid w:val="00A65904"/>
    <w:rsid w:val="00A65F1A"/>
    <w:rsid w:val="00A66360"/>
    <w:rsid w:val="00A66B2A"/>
    <w:rsid w:val="00A6709C"/>
    <w:rsid w:val="00A674DC"/>
    <w:rsid w:val="00A70AE1"/>
    <w:rsid w:val="00A70D2E"/>
    <w:rsid w:val="00A70DFC"/>
    <w:rsid w:val="00A70E9B"/>
    <w:rsid w:val="00A712FA"/>
    <w:rsid w:val="00A71392"/>
    <w:rsid w:val="00A71551"/>
    <w:rsid w:val="00A71756"/>
    <w:rsid w:val="00A71A89"/>
    <w:rsid w:val="00A72029"/>
    <w:rsid w:val="00A72207"/>
    <w:rsid w:val="00A723DA"/>
    <w:rsid w:val="00A727D3"/>
    <w:rsid w:val="00A72AEC"/>
    <w:rsid w:val="00A72F44"/>
    <w:rsid w:val="00A73153"/>
    <w:rsid w:val="00A732AE"/>
    <w:rsid w:val="00A734FD"/>
    <w:rsid w:val="00A735BC"/>
    <w:rsid w:val="00A7363E"/>
    <w:rsid w:val="00A73772"/>
    <w:rsid w:val="00A73BF6"/>
    <w:rsid w:val="00A73CDC"/>
    <w:rsid w:val="00A74400"/>
    <w:rsid w:val="00A74450"/>
    <w:rsid w:val="00A74835"/>
    <w:rsid w:val="00A74859"/>
    <w:rsid w:val="00A74A7D"/>
    <w:rsid w:val="00A74AD9"/>
    <w:rsid w:val="00A74FF5"/>
    <w:rsid w:val="00A751D2"/>
    <w:rsid w:val="00A7558E"/>
    <w:rsid w:val="00A7564C"/>
    <w:rsid w:val="00A75739"/>
    <w:rsid w:val="00A75C63"/>
    <w:rsid w:val="00A75FA9"/>
    <w:rsid w:val="00A75FCB"/>
    <w:rsid w:val="00A76057"/>
    <w:rsid w:val="00A7610D"/>
    <w:rsid w:val="00A7641E"/>
    <w:rsid w:val="00A76557"/>
    <w:rsid w:val="00A765D0"/>
    <w:rsid w:val="00A76998"/>
    <w:rsid w:val="00A76ABF"/>
    <w:rsid w:val="00A76CA3"/>
    <w:rsid w:val="00A77060"/>
    <w:rsid w:val="00A7714E"/>
    <w:rsid w:val="00A772AF"/>
    <w:rsid w:val="00A774E8"/>
    <w:rsid w:val="00A77586"/>
    <w:rsid w:val="00A77631"/>
    <w:rsid w:val="00A77822"/>
    <w:rsid w:val="00A77B0A"/>
    <w:rsid w:val="00A77F66"/>
    <w:rsid w:val="00A803E5"/>
    <w:rsid w:val="00A8062C"/>
    <w:rsid w:val="00A80D6F"/>
    <w:rsid w:val="00A80EF2"/>
    <w:rsid w:val="00A81015"/>
    <w:rsid w:val="00A811C2"/>
    <w:rsid w:val="00A811FD"/>
    <w:rsid w:val="00A81568"/>
    <w:rsid w:val="00A81F0B"/>
    <w:rsid w:val="00A8202C"/>
    <w:rsid w:val="00A820BB"/>
    <w:rsid w:val="00A821C7"/>
    <w:rsid w:val="00A822FC"/>
    <w:rsid w:val="00A824C1"/>
    <w:rsid w:val="00A824FB"/>
    <w:rsid w:val="00A82679"/>
    <w:rsid w:val="00A8272E"/>
    <w:rsid w:val="00A828B9"/>
    <w:rsid w:val="00A8291E"/>
    <w:rsid w:val="00A82A39"/>
    <w:rsid w:val="00A82A3F"/>
    <w:rsid w:val="00A82ADE"/>
    <w:rsid w:val="00A83219"/>
    <w:rsid w:val="00A8334C"/>
    <w:rsid w:val="00A83485"/>
    <w:rsid w:val="00A83757"/>
    <w:rsid w:val="00A8392F"/>
    <w:rsid w:val="00A83D59"/>
    <w:rsid w:val="00A840E5"/>
    <w:rsid w:val="00A841FC"/>
    <w:rsid w:val="00A842EE"/>
    <w:rsid w:val="00A8475D"/>
    <w:rsid w:val="00A84F8B"/>
    <w:rsid w:val="00A859ED"/>
    <w:rsid w:val="00A85C0F"/>
    <w:rsid w:val="00A85C28"/>
    <w:rsid w:val="00A85D21"/>
    <w:rsid w:val="00A86190"/>
    <w:rsid w:val="00A86263"/>
    <w:rsid w:val="00A864A5"/>
    <w:rsid w:val="00A864AB"/>
    <w:rsid w:val="00A8674B"/>
    <w:rsid w:val="00A86811"/>
    <w:rsid w:val="00A874B0"/>
    <w:rsid w:val="00A8765F"/>
    <w:rsid w:val="00A87D31"/>
    <w:rsid w:val="00A900AB"/>
    <w:rsid w:val="00A9021F"/>
    <w:rsid w:val="00A9085C"/>
    <w:rsid w:val="00A90942"/>
    <w:rsid w:val="00A90C18"/>
    <w:rsid w:val="00A90D72"/>
    <w:rsid w:val="00A90DF0"/>
    <w:rsid w:val="00A90DF8"/>
    <w:rsid w:val="00A90FA9"/>
    <w:rsid w:val="00A91015"/>
    <w:rsid w:val="00A91086"/>
    <w:rsid w:val="00A91104"/>
    <w:rsid w:val="00A91813"/>
    <w:rsid w:val="00A9187F"/>
    <w:rsid w:val="00A91A16"/>
    <w:rsid w:val="00A91DC7"/>
    <w:rsid w:val="00A91F4E"/>
    <w:rsid w:val="00A92178"/>
    <w:rsid w:val="00A925D0"/>
    <w:rsid w:val="00A92802"/>
    <w:rsid w:val="00A9290D"/>
    <w:rsid w:val="00A92944"/>
    <w:rsid w:val="00A92B7E"/>
    <w:rsid w:val="00A93065"/>
    <w:rsid w:val="00A931AA"/>
    <w:rsid w:val="00A9390A"/>
    <w:rsid w:val="00A93BF8"/>
    <w:rsid w:val="00A93E8F"/>
    <w:rsid w:val="00A94767"/>
    <w:rsid w:val="00A94831"/>
    <w:rsid w:val="00A94905"/>
    <w:rsid w:val="00A94A1C"/>
    <w:rsid w:val="00A94B8F"/>
    <w:rsid w:val="00A94E96"/>
    <w:rsid w:val="00A951BC"/>
    <w:rsid w:val="00A95591"/>
    <w:rsid w:val="00A95836"/>
    <w:rsid w:val="00A958DB"/>
    <w:rsid w:val="00A95CA5"/>
    <w:rsid w:val="00A95E44"/>
    <w:rsid w:val="00A95F37"/>
    <w:rsid w:val="00A95F6A"/>
    <w:rsid w:val="00A96356"/>
    <w:rsid w:val="00A965E5"/>
    <w:rsid w:val="00A96606"/>
    <w:rsid w:val="00A96DC0"/>
    <w:rsid w:val="00A96F74"/>
    <w:rsid w:val="00A9725A"/>
    <w:rsid w:val="00A9733F"/>
    <w:rsid w:val="00A973B2"/>
    <w:rsid w:val="00A9789D"/>
    <w:rsid w:val="00A9798D"/>
    <w:rsid w:val="00A979E0"/>
    <w:rsid w:val="00A97A1D"/>
    <w:rsid w:val="00A97C59"/>
    <w:rsid w:val="00A97DA2"/>
    <w:rsid w:val="00AA03D2"/>
    <w:rsid w:val="00AA0468"/>
    <w:rsid w:val="00AA048D"/>
    <w:rsid w:val="00AA070B"/>
    <w:rsid w:val="00AA08C7"/>
    <w:rsid w:val="00AA0B8F"/>
    <w:rsid w:val="00AA0D03"/>
    <w:rsid w:val="00AA0F7D"/>
    <w:rsid w:val="00AA11B3"/>
    <w:rsid w:val="00AA1844"/>
    <w:rsid w:val="00AA19D8"/>
    <w:rsid w:val="00AA1A16"/>
    <w:rsid w:val="00AA1C49"/>
    <w:rsid w:val="00AA1C56"/>
    <w:rsid w:val="00AA1D3B"/>
    <w:rsid w:val="00AA1DF3"/>
    <w:rsid w:val="00AA1F1F"/>
    <w:rsid w:val="00AA20D2"/>
    <w:rsid w:val="00AA24F2"/>
    <w:rsid w:val="00AA2798"/>
    <w:rsid w:val="00AA2855"/>
    <w:rsid w:val="00AA2C2C"/>
    <w:rsid w:val="00AA2CE1"/>
    <w:rsid w:val="00AA2D21"/>
    <w:rsid w:val="00AA2E6F"/>
    <w:rsid w:val="00AA365A"/>
    <w:rsid w:val="00AA3688"/>
    <w:rsid w:val="00AA3760"/>
    <w:rsid w:val="00AA3A5D"/>
    <w:rsid w:val="00AA3B91"/>
    <w:rsid w:val="00AA3BA6"/>
    <w:rsid w:val="00AA3D2B"/>
    <w:rsid w:val="00AA3D7F"/>
    <w:rsid w:val="00AA3D81"/>
    <w:rsid w:val="00AA3F5F"/>
    <w:rsid w:val="00AA4192"/>
    <w:rsid w:val="00AA42F3"/>
    <w:rsid w:val="00AA481E"/>
    <w:rsid w:val="00AA4A72"/>
    <w:rsid w:val="00AA4FE4"/>
    <w:rsid w:val="00AA54B1"/>
    <w:rsid w:val="00AA585A"/>
    <w:rsid w:val="00AA5A3C"/>
    <w:rsid w:val="00AA5B1F"/>
    <w:rsid w:val="00AA5E6C"/>
    <w:rsid w:val="00AA5F8A"/>
    <w:rsid w:val="00AA61A7"/>
    <w:rsid w:val="00AA6575"/>
    <w:rsid w:val="00AA66ED"/>
    <w:rsid w:val="00AA675F"/>
    <w:rsid w:val="00AA69A7"/>
    <w:rsid w:val="00AA6A54"/>
    <w:rsid w:val="00AA6A7A"/>
    <w:rsid w:val="00AA6AE9"/>
    <w:rsid w:val="00AA6B46"/>
    <w:rsid w:val="00AA71EF"/>
    <w:rsid w:val="00AA75CE"/>
    <w:rsid w:val="00AA77EE"/>
    <w:rsid w:val="00AA782D"/>
    <w:rsid w:val="00AA7832"/>
    <w:rsid w:val="00AA7E1B"/>
    <w:rsid w:val="00AA7F6D"/>
    <w:rsid w:val="00AB05E4"/>
    <w:rsid w:val="00AB0772"/>
    <w:rsid w:val="00AB0B43"/>
    <w:rsid w:val="00AB0D19"/>
    <w:rsid w:val="00AB0D38"/>
    <w:rsid w:val="00AB0F07"/>
    <w:rsid w:val="00AB108D"/>
    <w:rsid w:val="00AB115C"/>
    <w:rsid w:val="00AB1535"/>
    <w:rsid w:val="00AB1633"/>
    <w:rsid w:val="00AB17CE"/>
    <w:rsid w:val="00AB1A87"/>
    <w:rsid w:val="00AB1AEB"/>
    <w:rsid w:val="00AB1B46"/>
    <w:rsid w:val="00AB2650"/>
    <w:rsid w:val="00AB270A"/>
    <w:rsid w:val="00AB2884"/>
    <w:rsid w:val="00AB297E"/>
    <w:rsid w:val="00AB2B3B"/>
    <w:rsid w:val="00AB2D25"/>
    <w:rsid w:val="00AB2D8A"/>
    <w:rsid w:val="00AB342C"/>
    <w:rsid w:val="00AB354B"/>
    <w:rsid w:val="00AB35D3"/>
    <w:rsid w:val="00AB38BB"/>
    <w:rsid w:val="00AB3AC2"/>
    <w:rsid w:val="00AB3B64"/>
    <w:rsid w:val="00AB40BA"/>
    <w:rsid w:val="00AB4609"/>
    <w:rsid w:val="00AB4808"/>
    <w:rsid w:val="00AB486B"/>
    <w:rsid w:val="00AB4B71"/>
    <w:rsid w:val="00AB4D6B"/>
    <w:rsid w:val="00AB4DED"/>
    <w:rsid w:val="00AB4E1B"/>
    <w:rsid w:val="00AB50B9"/>
    <w:rsid w:val="00AB5282"/>
    <w:rsid w:val="00AB55D6"/>
    <w:rsid w:val="00AB5826"/>
    <w:rsid w:val="00AB5BF3"/>
    <w:rsid w:val="00AB5C14"/>
    <w:rsid w:val="00AB5C45"/>
    <w:rsid w:val="00AB5FE1"/>
    <w:rsid w:val="00AB6541"/>
    <w:rsid w:val="00AB680D"/>
    <w:rsid w:val="00AB6A80"/>
    <w:rsid w:val="00AB6BEA"/>
    <w:rsid w:val="00AB6DA4"/>
    <w:rsid w:val="00AB6F7A"/>
    <w:rsid w:val="00AB744C"/>
    <w:rsid w:val="00AB7741"/>
    <w:rsid w:val="00AB777A"/>
    <w:rsid w:val="00AB79A7"/>
    <w:rsid w:val="00AB7A34"/>
    <w:rsid w:val="00AB7D99"/>
    <w:rsid w:val="00AB7E73"/>
    <w:rsid w:val="00AB7F56"/>
    <w:rsid w:val="00AB7FA5"/>
    <w:rsid w:val="00AC00B6"/>
    <w:rsid w:val="00AC026D"/>
    <w:rsid w:val="00AC05ED"/>
    <w:rsid w:val="00AC08F2"/>
    <w:rsid w:val="00AC0CAA"/>
    <w:rsid w:val="00AC10F7"/>
    <w:rsid w:val="00AC175E"/>
    <w:rsid w:val="00AC1D3B"/>
    <w:rsid w:val="00AC1D99"/>
    <w:rsid w:val="00AC235A"/>
    <w:rsid w:val="00AC275F"/>
    <w:rsid w:val="00AC311A"/>
    <w:rsid w:val="00AC3120"/>
    <w:rsid w:val="00AC3287"/>
    <w:rsid w:val="00AC3601"/>
    <w:rsid w:val="00AC3758"/>
    <w:rsid w:val="00AC3863"/>
    <w:rsid w:val="00AC38A5"/>
    <w:rsid w:val="00AC3A82"/>
    <w:rsid w:val="00AC3B92"/>
    <w:rsid w:val="00AC4101"/>
    <w:rsid w:val="00AC4470"/>
    <w:rsid w:val="00AC477D"/>
    <w:rsid w:val="00AC47CB"/>
    <w:rsid w:val="00AC497D"/>
    <w:rsid w:val="00AC4D49"/>
    <w:rsid w:val="00AC4DAC"/>
    <w:rsid w:val="00AC56A7"/>
    <w:rsid w:val="00AC5A0A"/>
    <w:rsid w:val="00AC5B40"/>
    <w:rsid w:val="00AC5C3B"/>
    <w:rsid w:val="00AC5CAC"/>
    <w:rsid w:val="00AC6104"/>
    <w:rsid w:val="00AC6140"/>
    <w:rsid w:val="00AC61FD"/>
    <w:rsid w:val="00AC645F"/>
    <w:rsid w:val="00AC65D0"/>
    <w:rsid w:val="00AC6B80"/>
    <w:rsid w:val="00AC6DD6"/>
    <w:rsid w:val="00AC6E2D"/>
    <w:rsid w:val="00AC7195"/>
    <w:rsid w:val="00AC7205"/>
    <w:rsid w:val="00AC721D"/>
    <w:rsid w:val="00AC77FD"/>
    <w:rsid w:val="00AC7829"/>
    <w:rsid w:val="00AC7C04"/>
    <w:rsid w:val="00AC7EB6"/>
    <w:rsid w:val="00AC7F17"/>
    <w:rsid w:val="00AC7F27"/>
    <w:rsid w:val="00AD0949"/>
    <w:rsid w:val="00AD0AE3"/>
    <w:rsid w:val="00AD0DF4"/>
    <w:rsid w:val="00AD0F29"/>
    <w:rsid w:val="00AD1284"/>
    <w:rsid w:val="00AD1383"/>
    <w:rsid w:val="00AD13E2"/>
    <w:rsid w:val="00AD169E"/>
    <w:rsid w:val="00AD176E"/>
    <w:rsid w:val="00AD17C9"/>
    <w:rsid w:val="00AD180F"/>
    <w:rsid w:val="00AD231E"/>
    <w:rsid w:val="00AD265D"/>
    <w:rsid w:val="00AD2E21"/>
    <w:rsid w:val="00AD30CB"/>
    <w:rsid w:val="00AD345B"/>
    <w:rsid w:val="00AD3FC8"/>
    <w:rsid w:val="00AD4046"/>
    <w:rsid w:val="00AD4078"/>
    <w:rsid w:val="00AD4328"/>
    <w:rsid w:val="00AD4CDF"/>
    <w:rsid w:val="00AD5168"/>
    <w:rsid w:val="00AD5836"/>
    <w:rsid w:val="00AD58BE"/>
    <w:rsid w:val="00AD5A05"/>
    <w:rsid w:val="00AD5A96"/>
    <w:rsid w:val="00AD5A9F"/>
    <w:rsid w:val="00AD5D4F"/>
    <w:rsid w:val="00AD5F45"/>
    <w:rsid w:val="00AD607D"/>
    <w:rsid w:val="00AD6841"/>
    <w:rsid w:val="00AD6AD5"/>
    <w:rsid w:val="00AD6DBE"/>
    <w:rsid w:val="00AD70AF"/>
    <w:rsid w:val="00AD7188"/>
    <w:rsid w:val="00AD721D"/>
    <w:rsid w:val="00AD7293"/>
    <w:rsid w:val="00AD7704"/>
    <w:rsid w:val="00AD79D7"/>
    <w:rsid w:val="00AE0302"/>
    <w:rsid w:val="00AE0363"/>
    <w:rsid w:val="00AE053D"/>
    <w:rsid w:val="00AE07AD"/>
    <w:rsid w:val="00AE09D6"/>
    <w:rsid w:val="00AE0B8B"/>
    <w:rsid w:val="00AE0C36"/>
    <w:rsid w:val="00AE0E70"/>
    <w:rsid w:val="00AE159F"/>
    <w:rsid w:val="00AE187D"/>
    <w:rsid w:val="00AE1F86"/>
    <w:rsid w:val="00AE1FC9"/>
    <w:rsid w:val="00AE2144"/>
    <w:rsid w:val="00AE2606"/>
    <w:rsid w:val="00AE264E"/>
    <w:rsid w:val="00AE2D13"/>
    <w:rsid w:val="00AE2E65"/>
    <w:rsid w:val="00AE30AB"/>
    <w:rsid w:val="00AE30DC"/>
    <w:rsid w:val="00AE31BD"/>
    <w:rsid w:val="00AE332B"/>
    <w:rsid w:val="00AE3836"/>
    <w:rsid w:val="00AE39B0"/>
    <w:rsid w:val="00AE3C50"/>
    <w:rsid w:val="00AE3E0C"/>
    <w:rsid w:val="00AE40EA"/>
    <w:rsid w:val="00AE4254"/>
    <w:rsid w:val="00AE4847"/>
    <w:rsid w:val="00AE4A64"/>
    <w:rsid w:val="00AE4AE0"/>
    <w:rsid w:val="00AE50FA"/>
    <w:rsid w:val="00AE5AE7"/>
    <w:rsid w:val="00AE5F1B"/>
    <w:rsid w:val="00AE5F7A"/>
    <w:rsid w:val="00AE63DF"/>
    <w:rsid w:val="00AE67E9"/>
    <w:rsid w:val="00AE6819"/>
    <w:rsid w:val="00AE6881"/>
    <w:rsid w:val="00AE6A8F"/>
    <w:rsid w:val="00AE6D0C"/>
    <w:rsid w:val="00AE7064"/>
    <w:rsid w:val="00AE70C4"/>
    <w:rsid w:val="00AE70F3"/>
    <w:rsid w:val="00AE753F"/>
    <w:rsid w:val="00AE75F6"/>
    <w:rsid w:val="00AE7755"/>
    <w:rsid w:val="00AE7A46"/>
    <w:rsid w:val="00AE7CFB"/>
    <w:rsid w:val="00AE7D3D"/>
    <w:rsid w:val="00AE7D71"/>
    <w:rsid w:val="00AE7FA8"/>
    <w:rsid w:val="00AF0634"/>
    <w:rsid w:val="00AF0B27"/>
    <w:rsid w:val="00AF0B3C"/>
    <w:rsid w:val="00AF0F4B"/>
    <w:rsid w:val="00AF0F68"/>
    <w:rsid w:val="00AF1025"/>
    <w:rsid w:val="00AF10B6"/>
    <w:rsid w:val="00AF1585"/>
    <w:rsid w:val="00AF15E2"/>
    <w:rsid w:val="00AF1C82"/>
    <w:rsid w:val="00AF1EF6"/>
    <w:rsid w:val="00AF2072"/>
    <w:rsid w:val="00AF2098"/>
    <w:rsid w:val="00AF23A5"/>
    <w:rsid w:val="00AF250D"/>
    <w:rsid w:val="00AF265F"/>
    <w:rsid w:val="00AF285C"/>
    <w:rsid w:val="00AF29FB"/>
    <w:rsid w:val="00AF2E7F"/>
    <w:rsid w:val="00AF2F75"/>
    <w:rsid w:val="00AF33C4"/>
    <w:rsid w:val="00AF342F"/>
    <w:rsid w:val="00AF36B8"/>
    <w:rsid w:val="00AF3710"/>
    <w:rsid w:val="00AF3841"/>
    <w:rsid w:val="00AF388B"/>
    <w:rsid w:val="00AF3930"/>
    <w:rsid w:val="00AF39F3"/>
    <w:rsid w:val="00AF3C1D"/>
    <w:rsid w:val="00AF3EDE"/>
    <w:rsid w:val="00AF3EEA"/>
    <w:rsid w:val="00AF3F5E"/>
    <w:rsid w:val="00AF4190"/>
    <w:rsid w:val="00AF4250"/>
    <w:rsid w:val="00AF42E9"/>
    <w:rsid w:val="00AF4400"/>
    <w:rsid w:val="00AF4B10"/>
    <w:rsid w:val="00AF4CD0"/>
    <w:rsid w:val="00AF4D43"/>
    <w:rsid w:val="00AF4D8D"/>
    <w:rsid w:val="00AF5307"/>
    <w:rsid w:val="00AF5389"/>
    <w:rsid w:val="00AF5402"/>
    <w:rsid w:val="00AF54A6"/>
    <w:rsid w:val="00AF54BE"/>
    <w:rsid w:val="00AF56A5"/>
    <w:rsid w:val="00AF5823"/>
    <w:rsid w:val="00AF5BE6"/>
    <w:rsid w:val="00AF5FA2"/>
    <w:rsid w:val="00AF6092"/>
    <w:rsid w:val="00AF6390"/>
    <w:rsid w:val="00AF64EA"/>
    <w:rsid w:val="00AF6865"/>
    <w:rsid w:val="00AF698F"/>
    <w:rsid w:val="00AF6D87"/>
    <w:rsid w:val="00AF6E00"/>
    <w:rsid w:val="00AF6E28"/>
    <w:rsid w:val="00AF6E79"/>
    <w:rsid w:val="00AF7206"/>
    <w:rsid w:val="00AF730F"/>
    <w:rsid w:val="00AF7318"/>
    <w:rsid w:val="00AF79BD"/>
    <w:rsid w:val="00AF79E9"/>
    <w:rsid w:val="00AF7DBF"/>
    <w:rsid w:val="00B00192"/>
    <w:rsid w:val="00B0020D"/>
    <w:rsid w:val="00B0046F"/>
    <w:rsid w:val="00B00479"/>
    <w:rsid w:val="00B007D5"/>
    <w:rsid w:val="00B009E1"/>
    <w:rsid w:val="00B00A7E"/>
    <w:rsid w:val="00B00C32"/>
    <w:rsid w:val="00B01241"/>
    <w:rsid w:val="00B01642"/>
    <w:rsid w:val="00B0167F"/>
    <w:rsid w:val="00B01887"/>
    <w:rsid w:val="00B01AF2"/>
    <w:rsid w:val="00B01C49"/>
    <w:rsid w:val="00B01C63"/>
    <w:rsid w:val="00B01E0E"/>
    <w:rsid w:val="00B01E30"/>
    <w:rsid w:val="00B0204C"/>
    <w:rsid w:val="00B0248F"/>
    <w:rsid w:val="00B02871"/>
    <w:rsid w:val="00B02BBB"/>
    <w:rsid w:val="00B02EC5"/>
    <w:rsid w:val="00B030DD"/>
    <w:rsid w:val="00B034FC"/>
    <w:rsid w:val="00B0360A"/>
    <w:rsid w:val="00B03B2F"/>
    <w:rsid w:val="00B041A2"/>
    <w:rsid w:val="00B041B7"/>
    <w:rsid w:val="00B04296"/>
    <w:rsid w:val="00B047AB"/>
    <w:rsid w:val="00B04D2B"/>
    <w:rsid w:val="00B04E69"/>
    <w:rsid w:val="00B04FBD"/>
    <w:rsid w:val="00B050C9"/>
    <w:rsid w:val="00B0521C"/>
    <w:rsid w:val="00B0521D"/>
    <w:rsid w:val="00B0554F"/>
    <w:rsid w:val="00B05A26"/>
    <w:rsid w:val="00B05D19"/>
    <w:rsid w:val="00B05EF1"/>
    <w:rsid w:val="00B05FDA"/>
    <w:rsid w:val="00B060DE"/>
    <w:rsid w:val="00B06103"/>
    <w:rsid w:val="00B061CF"/>
    <w:rsid w:val="00B06729"/>
    <w:rsid w:val="00B06A01"/>
    <w:rsid w:val="00B06ACB"/>
    <w:rsid w:val="00B06B64"/>
    <w:rsid w:val="00B07009"/>
    <w:rsid w:val="00B0704B"/>
    <w:rsid w:val="00B076E5"/>
    <w:rsid w:val="00B07934"/>
    <w:rsid w:val="00B07E9A"/>
    <w:rsid w:val="00B101C7"/>
    <w:rsid w:val="00B109DD"/>
    <w:rsid w:val="00B10AEF"/>
    <w:rsid w:val="00B110A5"/>
    <w:rsid w:val="00B11381"/>
    <w:rsid w:val="00B1150D"/>
    <w:rsid w:val="00B11D0F"/>
    <w:rsid w:val="00B12100"/>
    <w:rsid w:val="00B12172"/>
    <w:rsid w:val="00B121E3"/>
    <w:rsid w:val="00B12B82"/>
    <w:rsid w:val="00B12D90"/>
    <w:rsid w:val="00B1304E"/>
    <w:rsid w:val="00B13DBB"/>
    <w:rsid w:val="00B140C6"/>
    <w:rsid w:val="00B1418D"/>
    <w:rsid w:val="00B14271"/>
    <w:rsid w:val="00B1431B"/>
    <w:rsid w:val="00B14814"/>
    <w:rsid w:val="00B149C9"/>
    <w:rsid w:val="00B149F9"/>
    <w:rsid w:val="00B14A92"/>
    <w:rsid w:val="00B14DB7"/>
    <w:rsid w:val="00B15127"/>
    <w:rsid w:val="00B151C0"/>
    <w:rsid w:val="00B153A6"/>
    <w:rsid w:val="00B1548B"/>
    <w:rsid w:val="00B1565B"/>
    <w:rsid w:val="00B1573E"/>
    <w:rsid w:val="00B15763"/>
    <w:rsid w:val="00B15838"/>
    <w:rsid w:val="00B159EC"/>
    <w:rsid w:val="00B15CD7"/>
    <w:rsid w:val="00B16208"/>
    <w:rsid w:val="00B1625B"/>
    <w:rsid w:val="00B16411"/>
    <w:rsid w:val="00B165B2"/>
    <w:rsid w:val="00B16619"/>
    <w:rsid w:val="00B167E9"/>
    <w:rsid w:val="00B170C5"/>
    <w:rsid w:val="00B1727E"/>
    <w:rsid w:val="00B174D4"/>
    <w:rsid w:val="00B1764E"/>
    <w:rsid w:val="00B176F0"/>
    <w:rsid w:val="00B17AE6"/>
    <w:rsid w:val="00B17C14"/>
    <w:rsid w:val="00B17F19"/>
    <w:rsid w:val="00B17F5F"/>
    <w:rsid w:val="00B17F85"/>
    <w:rsid w:val="00B2048F"/>
    <w:rsid w:val="00B20BA7"/>
    <w:rsid w:val="00B211E8"/>
    <w:rsid w:val="00B21270"/>
    <w:rsid w:val="00B21623"/>
    <w:rsid w:val="00B2190B"/>
    <w:rsid w:val="00B21A73"/>
    <w:rsid w:val="00B21B90"/>
    <w:rsid w:val="00B21B98"/>
    <w:rsid w:val="00B22163"/>
    <w:rsid w:val="00B22171"/>
    <w:rsid w:val="00B2239E"/>
    <w:rsid w:val="00B22463"/>
    <w:rsid w:val="00B22513"/>
    <w:rsid w:val="00B227EB"/>
    <w:rsid w:val="00B2280A"/>
    <w:rsid w:val="00B22926"/>
    <w:rsid w:val="00B23067"/>
    <w:rsid w:val="00B23346"/>
    <w:rsid w:val="00B237C6"/>
    <w:rsid w:val="00B23F48"/>
    <w:rsid w:val="00B24380"/>
    <w:rsid w:val="00B24477"/>
    <w:rsid w:val="00B24482"/>
    <w:rsid w:val="00B248E8"/>
    <w:rsid w:val="00B24A16"/>
    <w:rsid w:val="00B24B0E"/>
    <w:rsid w:val="00B24E29"/>
    <w:rsid w:val="00B24FA5"/>
    <w:rsid w:val="00B2545A"/>
    <w:rsid w:val="00B25489"/>
    <w:rsid w:val="00B25589"/>
    <w:rsid w:val="00B256AB"/>
    <w:rsid w:val="00B256E4"/>
    <w:rsid w:val="00B258F1"/>
    <w:rsid w:val="00B25C5C"/>
    <w:rsid w:val="00B25CA4"/>
    <w:rsid w:val="00B25E67"/>
    <w:rsid w:val="00B260FE"/>
    <w:rsid w:val="00B264B4"/>
    <w:rsid w:val="00B26704"/>
    <w:rsid w:val="00B26722"/>
    <w:rsid w:val="00B26C0A"/>
    <w:rsid w:val="00B26C10"/>
    <w:rsid w:val="00B26C57"/>
    <w:rsid w:val="00B26E53"/>
    <w:rsid w:val="00B27096"/>
    <w:rsid w:val="00B2746C"/>
    <w:rsid w:val="00B27627"/>
    <w:rsid w:val="00B279CB"/>
    <w:rsid w:val="00B27A89"/>
    <w:rsid w:val="00B27F7F"/>
    <w:rsid w:val="00B3072F"/>
    <w:rsid w:val="00B3075E"/>
    <w:rsid w:val="00B3077E"/>
    <w:rsid w:val="00B3083C"/>
    <w:rsid w:val="00B3086B"/>
    <w:rsid w:val="00B30A80"/>
    <w:rsid w:val="00B3137E"/>
    <w:rsid w:val="00B31564"/>
    <w:rsid w:val="00B31AB5"/>
    <w:rsid w:val="00B31EDA"/>
    <w:rsid w:val="00B31F56"/>
    <w:rsid w:val="00B32001"/>
    <w:rsid w:val="00B320AF"/>
    <w:rsid w:val="00B3256D"/>
    <w:rsid w:val="00B327E7"/>
    <w:rsid w:val="00B32899"/>
    <w:rsid w:val="00B32C27"/>
    <w:rsid w:val="00B32F86"/>
    <w:rsid w:val="00B32FF1"/>
    <w:rsid w:val="00B333AE"/>
    <w:rsid w:val="00B3358F"/>
    <w:rsid w:val="00B33668"/>
    <w:rsid w:val="00B336B7"/>
    <w:rsid w:val="00B337B1"/>
    <w:rsid w:val="00B33CA3"/>
    <w:rsid w:val="00B34162"/>
    <w:rsid w:val="00B342B5"/>
    <w:rsid w:val="00B34510"/>
    <w:rsid w:val="00B345BF"/>
    <w:rsid w:val="00B3489C"/>
    <w:rsid w:val="00B35B7F"/>
    <w:rsid w:val="00B36390"/>
    <w:rsid w:val="00B363CC"/>
    <w:rsid w:val="00B36406"/>
    <w:rsid w:val="00B368B2"/>
    <w:rsid w:val="00B36B16"/>
    <w:rsid w:val="00B36CCD"/>
    <w:rsid w:val="00B36EE1"/>
    <w:rsid w:val="00B3718F"/>
    <w:rsid w:val="00B375D3"/>
    <w:rsid w:val="00B4047F"/>
    <w:rsid w:val="00B40480"/>
    <w:rsid w:val="00B404A1"/>
    <w:rsid w:val="00B40586"/>
    <w:rsid w:val="00B40C24"/>
    <w:rsid w:val="00B411C2"/>
    <w:rsid w:val="00B412B4"/>
    <w:rsid w:val="00B41650"/>
    <w:rsid w:val="00B41979"/>
    <w:rsid w:val="00B41EB9"/>
    <w:rsid w:val="00B41F05"/>
    <w:rsid w:val="00B41F88"/>
    <w:rsid w:val="00B4227C"/>
    <w:rsid w:val="00B422E3"/>
    <w:rsid w:val="00B4280E"/>
    <w:rsid w:val="00B42BCD"/>
    <w:rsid w:val="00B42E23"/>
    <w:rsid w:val="00B42FF2"/>
    <w:rsid w:val="00B4371C"/>
    <w:rsid w:val="00B43FD8"/>
    <w:rsid w:val="00B4403F"/>
    <w:rsid w:val="00B44109"/>
    <w:rsid w:val="00B44187"/>
    <w:rsid w:val="00B4468B"/>
    <w:rsid w:val="00B44720"/>
    <w:rsid w:val="00B44745"/>
    <w:rsid w:val="00B44C7E"/>
    <w:rsid w:val="00B45054"/>
    <w:rsid w:val="00B4526F"/>
    <w:rsid w:val="00B45481"/>
    <w:rsid w:val="00B45627"/>
    <w:rsid w:val="00B45827"/>
    <w:rsid w:val="00B45986"/>
    <w:rsid w:val="00B45989"/>
    <w:rsid w:val="00B45AB7"/>
    <w:rsid w:val="00B45D32"/>
    <w:rsid w:val="00B46562"/>
    <w:rsid w:val="00B465B4"/>
    <w:rsid w:val="00B469C7"/>
    <w:rsid w:val="00B47439"/>
    <w:rsid w:val="00B47576"/>
    <w:rsid w:val="00B476CB"/>
    <w:rsid w:val="00B47AC5"/>
    <w:rsid w:val="00B47BA2"/>
    <w:rsid w:val="00B47BEE"/>
    <w:rsid w:val="00B47CE7"/>
    <w:rsid w:val="00B47DD9"/>
    <w:rsid w:val="00B47EDB"/>
    <w:rsid w:val="00B47EF8"/>
    <w:rsid w:val="00B504F3"/>
    <w:rsid w:val="00B50549"/>
    <w:rsid w:val="00B506F2"/>
    <w:rsid w:val="00B507E6"/>
    <w:rsid w:val="00B50AB4"/>
    <w:rsid w:val="00B50B15"/>
    <w:rsid w:val="00B5122C"/>
    <w:rsid w:val="00B512A8"/>
    <w:rsid w:val="00B513BA"/>
    <w:rsid w:val="00B517DE"/>
    <w:rsid w:val="00B51988"/>
    <w:rsid w:val="00B519A0"/>
    <w:rsid w:val="00B51A99"/>
    <w:rsid w:val="00B52324"/>
    <w:rsid w:val="00B52416"/>
    <w:rsid w:val="00B525A6"/>
    <w:rsid w:val="00B526AA"/>
    <w:rsid w:val="00B52930"/>
    <w:rsid w:val="00B52998"/>
    <w:rsid w:val="00B52DDB"/>
    <w:rsid w:val="00B52DFB"/>
    <w:rsid w:val="00B53161"/>
    <w:rsid w:val="00B53262"/>
    <w:rsid w:val="00B53557"/>
    <w:rsid w:val="00B53653"/>
    <w:rsid w:val="00B538BF"/>
    <w:rsid w:val="00B53AE6"/>
    <w:rsid w:val="00B53B55"/>
    <w:rsid w:val="00B53D0C"/>
    <w:rsid w:val="00B54325"/>
    <w:rsid w:val="00B543C7"/>
    <w:rsid w:val="00B54624"/>
    <w:rsid w:val="00B54CB7"/>
    <w:rsid w:val="00B54DA5"/>
    <w:rsid w:val="00B54E4C"/>
    <w:rsid w:val="00B55040"/>
    <w:rsid w:val="00B5527A"/>
    <w:rsid w:val="00B55288"/>
    <w:rsid w:val="00B552A2"/>
    <w:rsid w:val="00B55478"/>
    <w:rsid w:val="00B55B2F"/>
    <w:rsid w:val="00B55C91"/>
    <w:rsid w:val="00B5612C"/>
    <w:rsid w:val="00B56273"/>
    <w:rsid w:val="00B56451"/>
    <w:rsid w:val="00B566F4"/>
    <w:rsid w:val="00B56941"/>
    <w:rsid w:val="00B56C22"/>
    <w:rsid w:val="00B56D56"/>
    <w:rsid w:val="00B5710C"/>
    <w:rsid w:val="00B5712B"/>
    <w:rsid w:val="00B571F0"/>
    <w:rsid w:val="00B57648"/>
    <w:rsid w:val="00B57B3D"/>
    <w:rsid w:val="00B57D62"/>
    <w:rsid w:val="00B6015D"/>
    <w:rsid w:val="00B601B3"/>
    <w:rsid w:val="00B602B7"/>
    <w:rsid w:val="00B60307"/>
    <w:rsid w:val="00B60315"/>
    <w:rsid w:val="00B60735"/>
    <w:rsid w:val="00B60742"/>
    <w:rsid w:val="00B608E0"/>
    <w:rsid w:val="00B60A42"/>
    <w:rsid w:val="00B60B5F"/>
    <w:rsid w:val="00B60C22"/>
    <w:rsid w:val="00B60CE3"/>
    <w:rsid w:val="00B60DF7"/>
    <w:rsid w:val="00B60E09"/>
    <w:rsid w:val="00B61094"/>
    <w:rsid w:val="00B614BE"/>
    <w:rsid w:val="00B616BE"/>
    <w:rsid w:val="00B619CE"/>
    <w:rsid w:val="00B619FE"/>
    <w:rsid w:val="00B61C2B"/>
    <w:rsid w:val="00B61C6E"/>
    <w:rsid w:val="00B61CC7"/>
    <w:rsid w:val="00B61D1A"/>
    <w:rsid w:val="00B62091"/>
    <w:rsid w:val="00B6214C"/>
    <w:rsid w:val="00B62287"/>
    <w:rsid w:val="00B6263A"/>
    <w:rsid w:val="00B62678"/>
    <w:rsid w:val="00B62712"/>
    <w:rsid w:val="00B62718"/>
    <w:rsid w:val="00B62794"/>
    <w:rsid w:val="00B6349D"/>
    <w:rsid w:val="00B63535"/>
    <w:rsid w:val="00B63624"/>
    <w:rsid w:val="00B6363D"/>
    <w:rsid w:val="00B63A11"/>
    <w:rsid w:val="00B63B5B"/>
    <w:rsid w:val="00B63DE7"/>
    <w:rsid w:val="00B640FD"/>
    <w:rsid w:val="00B64126"/>
    <w:rsid w:val="00B641DE"/>
    <w:rsid w:val="00B64328"/>
    <w:rsid w:val="00B64344"/>
    <w:rsid w:val="00B64432"/>
    <w:rsid w:val="00B64664"/>
    <w:rsid w:val="00B648B6"/>
    <w:rsid w:val="00B64C33"/>
    <w:rsid w:val="00B6501B"/>
    <w:rsid w:val="00B650CF"/>
    <w:rsid w:val="00B651D4"/>
    <w:rsid w:val="00B65259"/>
    <w:rsid w:val="00B65780"/>
    <w:rsid w:val="00B657E9"/>
    <w:rsid w:val="00B65811"/>
    <w:rsid w:val="00B658C5"/>
    <w:rsid w:val="00B6595D"/>
    <w:rsid w:val="00B659C6"/>
    <w:rsid w:val="00B65AD3"/>
    <w:rsid w:val="00B65C91"/>
    <w:rsid w:val="00B65D1E"/>
    <w:rsid w:val="00B65E2D"/>
    <w:rsid w:val="00B65F7F"/>
    <w:rsid w:val="00B66241"/>
    <w:rsid w:val="00B6625F"/>
    <w:rsid w:val="00B6667D"/>
    <w:rsid w:val="00B666E5"/>
    <w:rsid w:val="00B6693F"/>
    <w:rsid w:val="00B66953"/>
    <w:rsid w:val="00B66B1C"/>
    <w:rsid w:val="00B66B31"/>
    <w:rsid w:val="00B66D6F"/>
    <w:rsid w:val="00B6731B"/>
    <w:rsid w:val="00B6752E"/>
    <w:rsid w:val="00B67838"/>
    <w:rsid w:val="00B6783F"/>
    <w:rsid w:val="00B678F1"/>
    <w:rsid w:val="00B67A3C"/>
    <w:rsid w:val="00B67B10"/>
    <w:rsid w:val="00B67B2C"/>
    <w:rsid w:val="00B67B98"/>
    <w:rsid w:val="00B67D13"/>
    <w:rsid w:val="00B67D43"/>
    <w:rsid w:val="00B70055"/>
    <w:rsid w:val="00B700FF"/>
    <w:rsid w:val="00B702A1"/>
    <w:rsid w:val="00B705C5"/>
    <w:rsid w:val="00B705EC"/>
    <w:rsid w:val="00B709F8"/>
    <w:rsid w:val="00B70A66"/>
    <w:rsid w:val="00B70BEA"/>
    <w:rsid w:val="00B70D05"/>
    <w:rsid w:val="00B713E6"/>
    <w:rsid w:val="00B71652"/>
    <w:rsid w:val="00B7170B"/>
    <w:rsid w:val="00B71C43"/>
    <w:rsid w:val="00B71CE6"/>
    <w:rsid w:val="00B71F22"/>
    <w:rsid w:val="00B7215C"/>
    <w:rsid w:val="00B72577"/>
    <w:rsid w:val="00B72754"/>
    <w:rsid w:val="00B72858"/>
    <w:rsid w:val="00B72938"/>
    <w:rsid w:val="00B72E85"/>
    <w:rsid w:val="00B73053"/>
    <w:rsid w:val="00B73249"/>
    <w:rsid w:val="00B734D1"/>
    <w:rsid w:val="00B7355C"/>
    <w:rsid w:val="00B73AE8"/>
    <w:rsid w:val="00B73CFC"/>
    <w:rsid w:val="00B73F5C"/>
    <w:rsid w:val="00B740C7"/>
    <w:rsid w:val="00B740F2"/>
    <w:rsid w:val="00B743E9"/>
    <w:rsid w:val="00B748BF"/>
    <w:rsid w:val="00B748EF"/>
    <w:rsid w:val="00B74BD4"/>
    <w:rsid w:val="00B75489"/>
    <w:rsid w:val="00B75951"/>
    <w:rsid w:val="00B75AC6"/>
    <w:rsid w:val="00B75B6A"/>
    <w:rsid w:val="00B75D5E"/>
    <w:rsid w:val="00B76029"/>
    <w:rsid w:val="00B762D5"/>
    <w:rsid w:val="00B76328"/>
    <w:rsid w:val="00B76421"/>
    <w:rsid w:val="00B764EF"/>
    <w:rsid w:val="00B76EAF"/>
    <w:rsid w:val="00B774B3"/>
    <w:rsid w:val="00B778AA"/>
    <w:rsid w:val="00B77C7D"/>
    <w:rsid w:val="00B77FB4"/>
    <w:rsid w:val="00B77FDC"/>
    <w:rsid w:val="00B8027D"/>
    <w:rsid w:val="00B8028B"/>
    <w:rsid w:val="00B80330"/>
    <w:rsid w:val="00B80582"/>
    <w:rsid w:val="00B80C4F"/>
    <w:rsid w:val="00B80E22"/>
    <w:rsid w:val="00B81050"/>
    <w:rsid w:val="00B818CF"/>
    <w:rsid w:val="00B81C76"/>
    <w:rsid w:val="00B82005"/>
    <w:rsid w:val="00B8211E"/>
    <w:rsid w:val="00B8254B"/>
    <w:rsid w:val="00B82727"/>
    <w:rsid w:val="00B82732"/>
    <w:rsid w:val="00B82955"/>
    <w:rsid w:val="00B8295D"/>
    <w:rsid w:val="00B82991"/>
    <w:rsid w:val="00B82F8F"/>
    <w:rsid w:val="00B83076"/>
    <w:rsid w:val="00B832D9"/>
    <w:rsid w:val="00B839BD"/>
    <w:rsid w:val="00B83BDA"/>
    <w:rsid w:val="00B83CC6"/>
    <w:rsid w:val="00B843F7"/>
    <w:rsid w:val="00B8492F"/>
    <w:rsid w:val="00B84ADD"/>
    <w:rsid w:val="00B84E15"/>
    <w:rsid w:val="00B8506E"/>
    <w:rsid w:val="00B85071"/>
    <w:rsid w:val="00B8522F"/>
    <w:rsid w:val="00B853A7"/>
    <w:rsid w:val="00B85518"/>
    <w:rsid w:val="00B8588B"/>
    <w:rsid w:val="00B858F3"/>
    <w:rsid w:val="00B85E2C"/>
    <w:rsid w:val="00B85E4E"/>
    <w:rsid w:val="00B8600A"/>
    <w:rsid w:val="00B861F5"/>
    <w:rsid w:val="00B86773"/>
    <w:rsid w:val="00B86AD5"/>
    <w:rsid w:val="00B86B16"/>
    <w:rsid w:val="00B86C30"/>
    <w:rsid w:val="00B8741D"/>
    <w:rsid w:val="00B877B2"/>
    <w:rsid w:val="00B878F8"/>
    <w:rsid w:val="00B87AED"/>
    <w:rsid w:val="00B87AF5"/>
    <w:rsid w:val="00B87C21"/>
    <w:rsid w:val="00B87DA0"/>
    <w:rsid w:val="00B87DCF"/>
    <w:rsid w:val="00B87F66"/>
    <w:rsid w:val="00B901B9"/>
    <w:rsid w:val="00B901E4"/>
    <w:rsid w:val="00B90209"/>
    <w:rsid w:val="00B9054A"/>
    <w:rsid w:val="00B90553"/>
    <w:rsid w:val="00B907AD"/>
    <w:rsid w:val="00B907D9"/>
    <w:rsid w:val="00B90C4B"/>
    <w:rsid w:val="00B90CB4"/>
    <w:rsid w:val="00B90E56"/>
    <w:rsid w:val="00B91108"/>
    <w:rsid w:val="00B914DC"/>
    <w:rsid w:val="00B91755"/>
    <w:rsid w:val="00B917D9"/>
    <w:rsid w:val="00B918D4"/>
    <w:rsid w:val="00B91A41"/>
    <w:rsid w:val="00B91B1A"/>
    <w:rsid w:val="00B91CA5"/>
    <w:rsid w:val="00B91E2E"/>
    <w:rsid w:val="00B91FF8"/>
    <w:rsid w:val="00B92151"/>
    <w:rsid w:val="00B9219B"/>
    <w:rsid w:val="00B9239C"/>
    <w:rsid w:val="00B923EF"/>
    <w:rsid w:val="00B9287D"/>
    <w:rsid w:val="00B92B87"/>
    <w:rsid w:val="00B92BA9"/>
    <w:rsid w:val="00B92D3C"/>
    <w:rsid w:val="00B92F9C"/>
    <w:rsid w:val="00B930EF"/>
    <w:rsid w:val="00B93641"/>
    <w:rsid w:val="00B9392A"/>
    <w:rsid w:val="00B93C8F"/>
    <w:rsid w:val="00B93E76"/>
    <w:rsid w:val="00B93EA7"/>
    <w:rsid w:val="00B94254"/>
    <w:rsid w:val="00B94F4E"/>
    <w:rsid w:val="00B95183"/>
    <w:rsid w:val="00B95187"/>
    <w:rsid w:val="00B9543C"/>
    <w:rsid w:val="00B9560F"/>
    <w:rsid w:val="00B95784"/>
    <w:rsid w:val="00B95AEA"/>
    <w:rsid w:val="00B95B08"/>
    <w:rsid w:val="00B95B82"/>
    <w:rsid w:val="00B95CA6"/>
    <w:rsid w:val="00B95EF6"/>
    <w:rsid w:val="00B95FA2"/>
    <w:rsid w:val="00B96329"/>
    <w:rsid w:val="00B96523"/>
    <w:rsid w:val="00B96525"/>
    <w:rsid w:val="00B9657B"/>
    <w:rsid w:val="00B9660B"/>
    <w:rsid w:val="00B96A61"/>
    <w:rsid w:val="00B96A93"/>
    <w:rsid w:val="00B96B16"/>
    <w:rsid w:val="00B96D13"/>
    <w:rsid w:val="00B96FFC"/>
    <w:rsid w:val="00B97366"/>
    <w:rsid w:val="00B97A78"/>
    <w:rsid w:val="00B97EC9"/>
    <w:rsid w:val="00BA07D3"/>
    <w:rsid w:val="00BA0FB6"/>
    <w:rsid w:val="00BA1068"/>
    <w:rsid w:val="00BA1082"/>
    <w:rsid w:val="00BA1B62"/>
    <w:rsid w:val="00BA2072"/>
    <w:rsid w:val="00BA224A"/>
    <w:rsid w:val="00BA2424"/>
    <w:rsid w:val="00BA246F"/>
    <w:rsid w:val="00BA26D5"/>
    <w:rsid w:val="00BA2730"/>
    <w:rsid w:val="00BA2A75"/>
    <w:rsid w:val="00BA2B46"/>
    <w:rsid w:val="00BA2C74"/>
    <w:rsid w:val="00BA2F9A"/>
    <w:rsid w:val="00BA331D"/>
    <w:rsid w:val="00BA3463"/>
    <w:rsid w:val="00BA3747"/>
    <w:rsid w:val="00BA3813"/>
    <w:rsid w:val="00BA4399"/>
    <w:rsid w:val="00BA43F3"/>
    <w:rsid w:val="00BA43F6"/>
    <w:rsid w:val="00BA4515"/>
    <w:rsid w:val="00BA475C"/>
    <w:rsid w:val="00BA48B6"/>
    <w:rsid w:val="00BA49FC"/>
    <w:rsid w:val="00BA4C07"/>
    <w:rsid w:val="00BA535A"/>
    <w:rsid w:val="00BA54CA"/>
    <w:rsid w:val="00BA55BC"/>
    <w:rsid w:val="00BA5609"/>
    <w:rsid w:val="00BA5954"/>
    <w:rsid w:val="00BA5B5A"/>
    <w:rsid w:val="00BA5CB3"/>
    <w:rsid w:val="00BA617D"/>
    <w:rsid w:val="00BA6484"/>
    <w:rsid w:val="00BA64FD"/>
    <w:rsid w:val="00BA6A9E"/>
    <w:rsid w:val="00BA6AA2"/>
    <w:rsid w:val="00BA705A"/>
    <w:rsid w:val="00BA7092"/>
    <w:rsid w:val="00BA71A3"/>
    <w:rsid w:val="00BA7227"/>
    <w:rsid w:val="00BA742A"/>
    <w:rsid w:val="00BA7743"/>
    <w:rsid w:val="00BA7788"/>
    <w:rsid w:val="00BA77DF"/>
    <w:rsid w:val="00BA7837"/>
    <w:rsid w:val="00BA7D8A"/>
    <w:rsid w:val="00BA7E7A"/>
    <w:rsid w:val="00BB04A2"/>
    <w:rsid w:val="00BB04B4"/>
    <w:rsid w:val="00BB05F9"/>
    <w:rsid w:val="00BB0A3B"/>
    <w:rsid w:val="00BB0C54"/>
    <w:rsid w:val="00BB0D30"/>
    <w:rsid w:val="00BB1089"/>
    <w:rsid w:val="00BB1096"/>
    <w:rsid w:val="00BB18FC"/>
    <w:rsid w:val="00BB19FF"/>
    <w:rsid w:val="00BB1DA9"/>
    <w:rsid w:val="00BB1EB0"/>
    <w:rsid w:val="00BB2217"/>
    <w:rsid w:val="00BB2258"/>
    <w:rsid w:val="00BB24C1"/>
    <w:rsid w:val="00BB2861"/>
    <w:rsid w:val="00BB2B0E"/>
    <w:rsid w:val="00BB2F91"/>
    <w:rsid w:val="00BB30D3"/>
    <w:rsid w:val="00BB3705"/>
    <w:rsid w:val="00BB3882"/>
    <w:rsid w:val="00BB3D0A"/>
    <w:rsid w:val="00BB3E0B"/>
    <w:rsid w:val="00BB4794"/>
    <w:rsid w:val="00BB4BA3"/>
    <w:rsid w:val="00BB4D32"/>
    <w:rsid w:val="00BB51F2"/>
    <w:rsid w:val="00BB5282"/>
    <w:rsid w:val="00BB52E3"/>
    <w:rsid w:val="00BB5386"/>
    <w:rsid w:val="00BB5553"/>
    <w:rsid w:val="00BB5599"/>
    <w:rsid w:val="00BB5828"/>
    <w:rsid w:val="00BB5A27"/>
    <w:rsid w:val="00BB5A6B"/>
    <w:rsid w:val="00BB6008"/>
    <w:rsid w:val="00BB6094"/>
    <w:rsid w:val="00BB6123"/>
    <w:rsid w:val="00BB6199"/>
    <w:rsid w:val="00BB65F8"/>
    <w:rsid w:val="00BB6F09"/>
    <w:rsid w:val="00BB7C7D"/>
    <w:rsid w:val="00BB7D02"/>
    <w:rsid w:val="00BB7EB7"/>
    <w:rsid w:val="00BC04EC"/>
    <w:rsid w:val="00BC0518"/>
    <w:rsid w:val="00BC0713"/>
    <w:rsid w:val="00BC0DAA"/>
    <w:rsid w:val="00BC1034"/>
    <w:rsid w:val="00BC1314"/>
    <w:rsid w:val="00BC16C5"/>
    <w:rsid w:val="00BC1839"/>
    <w:rsid w:val="00BC187F"/>
    <w:rsid w:val="00BC1FAC"/>
    <w:rsid w:val="00BC21B7"/>
    <w:rsid w:val="00BC23DF"/>
    <w:rsid w:val="00BC2796"/>
    <w:rsid w:val="00BC2F7D"/>
    <w:rsid w:val="00BC3344"/>
    <w:rsid w:val="00BC349A"/>
    <w:rsid w:val="00BC3C1A"/>
    <w:rsid w:val="00BC3EA0"/>
    <w:rsid w:val="00BC4258"/>
    <w:rsid w:val="00BC42D6"/>
    <w:rsid w:val="00BC4453"/>
    <w:rsid w:val="00BC47E7"/>
    <w:rsid w:val="00BC4CC6"/>
    <w:rsid w:val="00BC4E78"/>
    <w:rsid w:val="00BC5219"/>
    <w:rsid w:val="00BC52DA"/>
    <w:rsid w:val="00BC56A3"/>
    <w:rsid w:val="00BC5B8C"/>
    <w:rsid w:val="00BC5CA1"/>
    <w:rsid w:val="00BC614B"/>
    <w:rsid w:val="00BC6371"/>
    <w:rsid w:val="00BC6D61"/>
    <w:rsid w:val="00BC6E4D"/>
    <w:rsid w:val="00BC706E"/>
    <w:rsid w:val="00BC70D5"/>
    <w:rsid w:val="00BC714F"/>
    <w:rsid w:val="00BC7280"/>
    <w:rsid w:val="00BC735F"/>
    <w:rsid w:val="00BC752D"/>
    <w:rsid w:val="00BC79A7"/>
    <w:rsid w:val="00BC7A4A"/>
    <w:rsid w:val="00BC7BE6"/>
    <w:rsid w:val="00BC7DA1"/>
    <w:rsid w:val="00BD0033"/>
    <w:rsid w:val="00BD05EA"/>
    <w:rsid w:val="00BD0AF6"/>
    <w:rsid w:val="00BD0BDA"/>
    <w:rsid w:val="00BD0FC4"/>
    <w:rsid w:val="00BD10F4"/>
    <w:rsid w:val="00BD13CC"/>
    <w:rsid w:val="00BD1411"/>
    <w:rsid w:val="00BD1974"/>
    <w:rsid w:val="00BD1A3E"/>
    <w:rsid w:val="00BD1FA7"/>
    <w:rsid w:val="00BD2300"/>
    <w:rsid w:val="00BD2355"/>
    <w:rsid w:val="00BD294E"/>
    <w:rsid w:val="00BD3040"/>
    <w:rsid w:val="00BD30C3"/>
    <w:rsid w:val="00BD334E"/>
    <w:rsid w:val="00BD3ABD"/>
    <w:rsid w:val="00BD3C20"/>
    <w:rsid w:val="00BD3CF4"/>
    <w:rsid w:val="00BD40CB"/>
    <w:rsid w:val="00BD4284"/>
    <w:rsid w:val="00BD42B9"/>
    <w:rsid w:val="00BD4458"/>
    <w:rsid w:val="00BD4630"/>
    <w:rsid w:val="00BD490B"/>
    <w:rsid w:val="00BD4A60"/>
    <w:rsid w:val="00BD4AC2"/>
    <w:rsid w:val="00BD4E88"/>
    <w:rsid w:val="00BD4E96"/>
    <w:rsid w:val="00BD565E"/>
    <w:rsid w:val="00BD581B"/>
    <w:rsid w:val="00BD58A6"/>
    <w:rsid w:val="00BD5AD4"/>
    <w:rsid w:val="00BD5BD8"/>
    <w:rsid w:val="00BD5DEC"/>
    <w:rsid w:val="00BD5E0A"/>
    <w:rsid w:val="00BD615F"/>
    <w:rsid w:val="00BD624E"/>
    <w:rsid w:val="00BD6AA0"/>
    <w:rsid w:val="00BD6E14"/>
    <w:rsid w:val="00BD7132"/>
    <w:rsid w:val="00BD7416"/>
    <w:rsid w:val="00BD7444"/>
    <w:rsid w:val="00BD766C"/>
    <w:rsid w:val="00BD78AF"/>
    <w:rsid w:val="00BD7BD4"/>
    <w:rsid w:val="00BD7C8B"/>
    <w:rsid w:val="00BE0061"/>
    <w:rsid w:val="00BE010F"/>
    <w:rsid w:val="00BE03DC"/>
    <w:rsid w:val="00BE0985"/>
    <w:rsid w:val="00BE0A81"/>
    <w:rsid w:val="00BE1203"/>
    <w:rsid w:val="00BE121A"/>
    <w:rsid w:val="00BE1231"/>
    <w:rsid w:val="00BE12DD"/>
    <w:rsid w:val="00BE13BC"/>
    <w:rsid w:val="00BE13E7"/>
    <w:rsid w:val="00BE17F7"/>
    <w:rsid w:val="00BE194D"/>
    <w:rsid w:val="00BE1A95"/>
    <w:rsid w:val="00BE1AD9"/>
    <w:rsid w:val="00BE1CA1"/>
    <w:rsid w:val="00BE1DDB"/>
    <w:rsid w:val="00BE1E7C"/>
    <w:rsid w:val="00BE21BC"/>
    <w:rsid w:val="00BE2316"/>
    <w:rsid w:val="00BE2354"/>
    <w:rsid w:val="00BE24A4"/>
    <w:rsid w:val="00BE2664"/>
    <w:rsid w:val="00BE283E"/>
    <w:rsid w:val="00BE2E35"/>
    <w:rsid w:val="00BE2FAC"/>
    <w:rsid w:val="00BE3133"/>
    <w:rsid w:val="00BE32D9"/>
    <w:rsid w:val="00BE33A2"/>
    <w:rsid w:val="00BE3536"/>
    <w:rsid w:val="00BE36E3"/>
    <w:rsid w:val="00BE36FB"/>
    <w:rsid w:val="00BE3BA2"/>
    <w:rsid w:val="00BE3FF5"/>
    <w:rsid w:val="00BE46CA"/>
    <w:rsid w:val="00BE47E0"/>
    <w:rsid w:val="00BE4A19"/>
    <w:rsid w:val="00BE4B5F"/>
    <w:rsid w:val="00BE4CAD"/>
    <w:rsid w:val="00BE4FF6"/>
    <w:rsid w:val="00BE505E"/>
    <w:rsid w:val="00BE515D"/>
    <w:rsid w:val="00BE51ED"/>
    <w:rsid w:val="00BE5455"/>
    <w:rsid w:val="00BE5C22"/>
    <w:rsid w:val="00BE5E30"/>
    <w:rsid w:val="00BE5F68"/>
    <w:rsid w:val="00BE6054"/>
    <w:rsid w:val="00BE63C3"/>
    <w:rsid w:val="00BE6493"/>
    <w:rsid w:val="00BE65FB"/>
    <w:rsid w:val="00BE67E3"/>
    <w:rsid w:val="00BE6D42"/>
    <w:rsid w:val="00BE6D90"/>
    <w:rsid w:val="00BE709E"/>
    <w:rsid w:val="00BE70BB"/>
    <w:rsid w:val="00BE71FE"/>
    <w:rsid w:val="00BE73EB"/>
    <w:rsid w:val="00BE750D"/>
    <w:rsid w:val="00BE78DE"/>
    <w:rsid w:val="00BE7A0B"/>
    <w:rsid w:val="00BE7B0E"/>
    <w:rsid w:val="00BE7BEA"/>
    <w:rsid w:val="00BF03D3"/>
    <w:rsid w:val="00BF0693"/>
    <w:rsid w:val="00BF089C"/>
    <w:rsid w:val="00BF096A"/>
    <w:rsid w:val="00BF09AF"/>
    <w:rsid w:val="00BF0BB1"/>
    <w:rsid w:val="00BF0CA7"/>
    <w:rsid w:val="00BF0ED4"/>
    <w:rsid w:val="00BF0F19"/>
    <w:rsid w:val="00BF1286"/>
    <w:rsid w:val="00BF13FA"/>
    <w:rsid w:val="00BF1483"/>
    <w:rsid w:val="00BF228C"/>
    <w:rsid w:val="00BF2684"/>
    <w:rsid w:val="00BF2B42"/>
    <w:rsid w:val="00BF2F9D"/>
    <w:rsid w:val="00BF2FCB"/>
    <w:rsid w:val="00BF36CC"/>
    <w:rsid w:val="00BF3771"/>
    <w:rsid w:val="00BF3B12"/>
    <w:rsid w:val="00BF3F2C"/>
    <w:rsid w:val="00BF3F68"/>
    <w:rsid w:val="00BF4026"/>
    <w:rsid w:val="00BF417D"/>
    <w:rsid w:val="00BF41EC"/>
    <w:rsid w:val="00BF44E3"/>
    <w:rsid w:val="00BF4584"/>
    <w:rsid w:val="00BF48A6"/>
    <w:rsid w:val="00BF4DAE"/>
    <w:rsid w:val="00BF4EDA"/>
    <w:rsid w:val="00BF5877"/>
    <w:rsid w:val="00BF5B34"/>
    <w:rsid w:val="00BF5C2F"/>
    <w:rsid w:val="00BF5F05"/>
    <w:rsid w:val="00BF6095"/>
    <w:rsid w:val="00BF648B"/>
    <w:rsid w:val="00BF6810"/>
    <w:rsid w:val="00BF69EC"/>
    <w:rsid w:val="00BF6BAE"/>
    <w:rsid w:val="00BF6C05"/>
    <w:rsid w:val="00BF71E8"/>
    <w:rsid w:val="00BF73D1"/>
    <w:rsid w:val="00BF7672"/>
    <w:rsid w:val="00BF7945"/>
    <w:rsid w:val="00BF7CBD"/>
    <w:rsid w:val="00C000FE"/>
    <w:rsid w:val="00C003F4"/>
    <w:rsid w:val="00C0049A"/>
    <w:rsid w:val="00C006F5"/>
    <w:rsid w:val="00C00898"/>
    <w:rsid w:val="00C00CF7"/>
    <w:rsid w:val="00C00D6A"/>
    <w:rsid w:val="00C00E73"/>
    <w:rsid w:val="00C00EED"/>
    <w:rsid w:val="00C0155E"/>
    <w:rsid w:val="00C019C2"/>
    <w:rsid w:val="00C01B62"/>
    <w:rsid w:val="00C01BA4"/>
    <w:rsid w:val="00C01FE0"/>
    <w:rsid w:val="00C0243B"/>
    <w:rsid w:val="00C027FD"/>
    <w:rsid w:val="00C02C7F"/>
    <w:rsid w:val="00C02CDD"/>
    <w:rsid w:val="00C02F92"/>
    <w:rsid w:val="00C0310B"/>
    <w:rsid w:val="00C03118"/>
    <w:rsid w:val="00C03152"/>
    <w:rsid w:val="00C03271"/>
    <w:rsid w:val="00C035E6"/>
    <w:rsid w:val="00C03891"/>
    <w:rsid w:val="00C03CD6"/>
    <w:rsid w:val="00C03DB7"/>
    <w:rsid w:val="00C03FAE"/>
    <w:rsid w:val="00C03FFA"/>
    <w:rsid w:val="00C04292"/>
    <w:rsid w:val="00C04425"/>
    <w:rsid w:val="00C04A52"/>
    <w:rsid w:val="00C04A9A"/>
    <w:rsid w:val="00C04B04"/>
    <w:rsid w:val="00C04B90"/>
    <w:rsid w:val="00C04FB8"/>
    <w:rsid w:val="00C05024"/>
    <w:rsid w:val="00C05141"/>
    <w:rsid w:val="00C051FA"/>
    <w:rsid w:val="00C0525A"/>
    <w:rsid w:val="00C05495"/>
    <w:rsid w:val="00C0549B"/>
    <w:rsid w:val="00C05581"/>
    <w:rsid w:val="00C05911"/>
    <w:rsid w:val="00C05B48"/>
    <w:rsid w:val="00C05FE9"/>
    <w:rsid w:val="00C0642F"/>
    <w:rsid w:val="00C06602"/>
    <w:rsid w:val="00C0667A"/>
    <w:rsid w:val="00C06709"/>
    <w:rsid w:val="00C06917"/>
    <w:rsid w:val="00C06987"/>
    <w:rsid w:val="00C069E8"/>
    <w:rsid w:val="00C06DBD"/>
    <w:rsid w:val="00C07019"/>
    <w:rsid w:val="00C07074"/>
    <w:rsid w:val="00C074F8"/>
    <w:rsid w:val="00C07668"/>
    <w:rsid w:val="00C077FD"/>
    <w:rsid w:val="00C07B3F"/>
    <w:rsid w:val="00C07B7D"/>
    <w:rsid w:val="00C07C5D"/>
    <w:rsid w:val="00C07F16"/>
    <w:rsid w:val="00C07FA5"/>
    <w:rsid w:val="00C10408"/>
    <w:rsid w:val="00C10992"/>
    <w:rsid w:val="00C10FDD"/>
    <w:rsid w:val="00C11075"/>
    <w:rsid w:val="00C1109E"/>
    <w:rsid w:val="00C11502"/>
    <w:rsid w:val="00C11794"/>
    <w:rsid w:val="00C11991"/>
    <w:rsid w:val="00C11B3B"/>
    <w:rsid w:val="00C11B72"/>
    <w:rsid w:val="00C11C98"/>
    <w:rsid w:val="00C11EB1"/>
    <w:rsid w:val="00C11EC8"/>
    <w:rsid w:val="00C12104"/>
    <w:rsid w:val="00C1218F"/>
    <w:rsid w:val="00C122FA"/>
    <w:rsid w:val="00C126EE"/>
    <w:rsid w:val="00C12780"/>
    <w:rsid w:val="00C127A5"/>
    <w:rsid w:val="00C12A0B"/>
    <w:rsid w:val="00C12F5C"/>
    <w:rsid w:val="00C131CE"/>
    <w:rsid w:val="00C1340F"/>
    <w:rsid w:val="00C13496"/>
    <w:rsid w:val="00C1352A"/>
    <w:rsid w:val="00C1360C"/>
    <w:rsid w:val="00C1388D"/>
    <w:rsid w:val="00C1396D"/>
    <w:rsid w:val="00C13C4C"/>
    <w:rsid w:val="00C13CA8"/>
    <w:rsid w:val="00C13F76"/>
    <w:rsid w:val="00C1407E"/>
    <w:rsid w:val="00C14411"/>
    <w:rsid w:val="00C14541"/>
    <w:rsid w:val="00C14A07"/>
    <w:rsid w:val="00C14B9C"/>
    <w:rsid w:val="00C14C7A"/>
    <w:rsid w:val="00C14D5E"/>
    <w:rsid w:val="00C14F4E"/>
    <w:rsid w:val="00C1523B"/>
    <w:rsid w:val="00C15985"/>
    <w:rsid w:val="00C15B77"/>
    <w:rsid w:val="00C15C0C"/>
    <w:rsid w:val="00C161F6"/>
    <w:rsid w:val="00C16987"/>
    <w:rsid w:val="00C16C5C"/>
    <w:rsid w:val="00C16E96"/>
    <w:rsid w:val="00C16F7E"/>
    <w:rsid w:val="00C1758F"/>
    <w:rsid w:val="00C175AA"/>
    <w:rsid w:val="00C17661"/>
    <w:rsid w:val="00C176DF"/>
    <w:rsid w:val="00C17928"/>
    <w:rsid w:val="00C17CB4"/>
    <w:rsid w:val="00C17DE3"/>
    <w:rsid w:val="00C201E2"/>
    <w:rsid w:val="00C201F4"/>
    <w:rsid w:val="00C2029F"/>
    <w:rsid w:val="00C20474"/>
    <w:rsid w:val="00C20578"/>
    <w:rsid w:val="00C20597"/>
    <w:rsid w:val="00C20835"/>
    <w:rsid w:val="00C20CB0"/>
    <w:rsid w:val="00C20CC2"/>
    <w:rsid w:val="00C21139"/>
    <w:rsid w:val="00C214ED"/>
    <w:rsid w:val="00C214FE"/>
    <w:rsid w:val="00C2157F"/>
    <w:rsid w:val="00C2172D"/>
    <w:rsid w:val="00C21A6C"/>
    <w:rsid w:val="00C21A81"/>
    <w:rsid w:val="00C22374"/>
    <w:rsid w:val="00C22493"/>
    <w:rsid w:val="00C2255A"/>
    <w:rsid w:val="00C22E30"/>
    <w:rsid w:val="00C2305A"/>
    <w:rsid w:val="00C230BE"/>
    <w:rsid w:val="00C23900"/>
    <w:rsid w:val="00C23CAD"/>
    <w:rsid w:val="00C23D90"/>
    <w:rsid w:val="00C23DB6"/>
    <w:rsid w:val="00C23F0B"/>
    <w:rsid w:val="00C24412"/>
    <w:rsid w:val="00C24A0A"/>
    <w:rsid w:val="00C24BA5"/>
    <w:rsid w:val="00C24CA6"/>
    <w:rsid w:val="00C24E4C"/>
    <w:rsid w:val="00C24FFF"/>
    <w:rsid w:val="00C2537A"/>
    <w:rsid w:val="00C253A1"/>
    <w:rsid w:val="00C25445"/>
    <w:rsid w:val="00C254F2"/>
    <w:rsid w:val="00C2564F"/>
    <w:rsid w:val="00C256F5"/>
    <w:rsid w:val="00C2588C"/>
    <w:rsid w:val="00C258E8"/>
    <w:rsid w:val="00C258EC"/>
    <w:rsid w:val="00C25978"/>
    <w:rsid w:val="00C2598F"/>
    <w:rsid w:val="00C259A8"/>
    <w:rsid w:val="00C259F7"/>
    <w:rsid w:val="00C25ABE"/>
    <w:rsid w:val="00C26650"/>
    <w:rsid w:val="00C266C1"/>
    <w:rsid w:val="00C267C2"/>
    <w:rsid w:val="00C26D79"/>
    <w:rsid w:val="00C27170"/>
    <w:rsid w:val="00C27811"/>
    <w:rsid w:val="00C279F5"/>
    <w:rsid w:val="00C27F60"/>
    <w:rsid w:val="00C285FA"/>
    <w:rsid w:val="00C3022A"/>
    <w:rsid w:val="00C304F6"/>
    <w:rsid w:val="00C306E8"/>
    <w:rsid w:val="00C307E8"/>
    <w:rsid w:val="00C30A16"/>
    <w:rsid w:val="00C30D3F"/>
    <w:rsid w:val="00C30E0B"/>
    <w:rsid w:val="00C310F5"/>
    <w:rsid w:val="00C31145"/>
    <w:rsid w:val="00C31584"/>
    <w:rsid w:val="00C315C7"/>
    <w:rsid w:val="00C3167D"/>
    <w:rsid w:val="00C318D9"/>
    <w:rsid w:val="00C31924"/>
    <w:rsid w:val="00C31963"/>
    <w:rsid w:val="00C31AF1"/>
    <w:rsid w:val="00C31CB5"/>
    <w:rsid w:val="00C3204E"/>
    <w:rsid w:val="00C3224D"/>
    <w:rsid w:val="00C3225B"/>
    <w:rsid w:val="00C3263C"/>
    <w:rsid w:val="00C327F2"/>
    <w:rsid w:val="00C3282F"/>
    <w:rsid w:val="00C32C75"/>
    <w:rsid w:val="00C32EC5"/>
    <w:rsid w:val="00C330B2"/>
    <w:rsid w:val="00C33615"/>
    <w:rsid w:val="00C3366F"/>
    <w:rsid w:val="00C33682"/>
    <w:rsid w:val="00C3374C"/>
    <w:rsid w:val="00C33932"/>
    <w:rsid w:val="00C341DB"/>
    <w:rsid w:val="00C34374"/>
    <w:rsid w:val="00C34822"/>
    <w:rsid w:val="00C3490E"/>
    <w:rsid w:val="00C34EF1"/>
    <w:rsid w:val="00C3511F"/>
    <w:rsid w:val="00C3520B"/>
    <w:rsid w:val="00C35510"/>
    <w:rsid w:val="00C35668"/>
    <w:rsid w:val="00C359D4"/>
    <w:rsid w:val="00C35EBE"/>
    <w:rsid w:val="00C35F91"/>
    <w:rsid w:val="00C35FDF"/>
    <w:rsid w:val="00C36115"/>
    <w:rsid w:val="00C3632A"/>
    <w:rsid w:val="00C3635C"/>
    <w:rsid w:val="00C363F4"/>
    <w:rsid w:val="00C36538"/>
    <w:rsid w:val="00C365C0"/>
    <w:rsid w:val="00C36891"/>
    <w:rsid w:val="00C36A17"/>
    <w:rsid w:val="00C36B2A"/>
    <w:rsid w:val="00C37471"/>
    <w:rsid w:val="00C37585"/>
    <w:rsid w:val="00C37586"/>
    <w:rsid w:val="00C37856"/>
    <w:rsid w:val="00C37989"/>
    <w:rsid w:val="00C37AEC"/>
    <w:rsid w:val="00C37D6E"/>
    <w:rsid w:val="00C37E56"/>
    <w:rsid w:val="00C37EF5"/>
    <w:rsid w:val="00C401FF"/>
    <w:rsid w:val="00C4030A"/>
    <w:rsid w:val="00C406E1"/>
    <w:rsid w:val="00C40932"/>
    <w:rsid w:val="00C40AD6"/>
    <w:rsid w:val="00C40E86"/>
    <w:rsid w:val="00C4100B"/>
    <w:rsid w:val="00C411E9"/>
    <w:rsid w:val="00C411F0"/>
    <w:rsid w:val="00C413C5"/>
    <w:rsid w:val="00C418B6"/>
    <w:rsid w:val="00C41C07"/>
    <w:rsid w:val="00C420F4"/>
    <w:rsid w:val="00C4287E"/>
    <w:rsid w:val="00C42972"/>
    <w:rsid w:val="00C429C8"/>
    <w:rsid w:val="00C42B3F"/>
    <w:rsid w:val="00C42CAD"/>
    <w:rsid w:val="00C42CEA"/>
    <w:rsid w:val="00C42D72"/>
    <w:rsid w:val="00C42DB0"/>
    <w:rsid w:val="00C42FA3"/>
    <w:rsid w:val="00C439F2"/>
    <w:rsid w:val="00C43C50"/>
    <w:rsid w:val="00C443E3"/>
    <w:rsid w:val="00C449E3"/>
    <w:rsid w:val="00C44C40"/>
    <w:rsid w:val="00C44F13"/>
    <w:rsid w:val="00C44F6B"/>
    <w:rsid w:val="00C44FCA"/>
    <w:rsid w:val="00C4507A"/>
    <w:rsid w:val="00C45082"/>
    <w:rsid w:val="00C45203"/>
    <w:rsid w:val="00C45586"/>
    <w:rsid w:val="00C4572A"/>
    <w:rsid w:val="00C45781"/>
    <w:rsid w:val="00C4588A"/>
    <w:rsid w:val="00C45B77"/>
    <w:rsid w:val="00C45CE3"/>
    <w:rsid w:val="00C45EDF"/>
    <w:rsid w:val="00C46016"/>
    <w:rsid w:val="00C460CC"/>
    <w:rsid w:val="00C461C0"/>
    <w:rsid w:val="00C46243"/>
    <w:rsid w:val="00C46397"/>
    <w:rsid w:val="00C46541"/>
    <w:rsid w:val="00C46F96"/>
    <w:rsid w:val="00C471B8"/>
    <w:rsid w:val="00C47232"/>
    <w:rsid w:val="00C47AB9"/>
    <w:rsid w:val="00C47B3E"/>
    <w:rsid w:val="00C47E27"/>
    <w:rsid w:val="00C50283"/>
    <w:rsid w:val="00C502D0"/>
    <w:rsid w:val="00C502F1"/>
    <w:rsid w:val="00C50930"/>
    <w:rsid w:val="00C50C6E"/>
    <w:rsid w:val="00C5116F"/>
    <w:rsid w:val="00C51258"/>
    <w:rsid w:val="00C5137A"/>
    <w:rsid w:val="00C514D9"/>
    <w:rsid w:val="00C515A7"/>
    <w:rsid w:val="00C51807"/>
    <w:rsid w:val="00C51CCC"/>
    <w:rsid w:val="00C52225"/>
    <w:rsid w:val="00C5241D"/>
    <w:rsid w:val="00C52490"/>
    <w:rsid w:val="00C52658"/>
    <w:rsid w:val="00C5265D"/>
    <w:rsid w:val="00C5283E"/>
    <w:rsid w:val="00C528C7"/>
    <w:rsid w:val="00C529FB"/>
    <w:rsid w:val="00C52A3D"/>
    <w:rsid w:val="00C52B02"/>
    <w:rsid w:val="00C52D29"/>
    <w:rsid w:val="00C52D44"/>
    <w:rsid w:val="00C53276"/>
    <w:rsid w:val="00C536C1"/>
    <w:rsid w:val="00C5382D"/>
    <w:rsid w:val="00C5394C"/>
    <w:rsid w:val="00C539A6"/>
    <w:rsid w:val="00C53B7E"/>
    <w:rsid w:val="00C53BCD"/>
    <w:rsid w:val="00C53DAC"/>
    <w:rsid w:val="00C5420B"/>
    <w:rsid w:val="00C546CA"/>
    <w:rsid w:val="00C54D63"/>
    <w:rsid w:val="00C55048"/>
    <w:rsid w:val="00C55057"/>
    <w:rsid w:val="00C551DF"/>
    <w:rsid w:val="00C5521F"/>
    <w:rsid w:val="00C553B8"/>
    <w:rsid w:val="00C55554"/>
    <w:rsid w:val="00C55690"/>
    <w:rsid w:val="00C55DE5"/>
    <w:rsid w:val="00C5613B"/>
    <w:rsid w:val="00C561A0"/>
    <w:rsid w:val="00C56313"/>
    <w:rsid w:val="00C56493"/>
    <w:rsid w:val="00C56541"/>
    <w:rsid w:val="00C5657A"/>
    <w:rsid w:val="00C568F7"/>
    <w:rsid w:val="00C56971"/>
    <w:rsid w:val="00C56B53"/>
    <w:rsid w:val="00C56BF4"/>
    <w:rsid w:val="00C57042"/>
    <w:rsid w:val="00C5723B"/>
    <w:rsid w:val="00C575EA"/>
    <w:rsid w:val="00C576D7"/>
    <w:rsid w:val="00C57A76"/>
    <w:rsid w:val="00C57DFA"/>
    <w:rsid w:val="00C600A9"/>
    <w:rsid w:val="00C60281"/>
    <w:rsid w:val="00C603D7"/>
    <w:rsid w:val="00C60504"/>
    <w:rsid w:val="00C60A8F"/>
    <w:rsid w:val="00C60DE7"/>
    <w:rsid w:val="00C60F65"/>
    <w:rsid w:val="00C61083"/>
    <w:rsid w:val="00C615FF"/>
    <w:rsid w:val="00C61611"/>
    <w:rsid w:val="00C61636"/>
    <w:rsid w:val="00C6188A"/>
    <w:rsid w:val="00C618A4"/>
    <w:rsid w:val="00C61AB3"/>
    <w:rsid w:val="00C61C34"/>
    <w:rsid w:val="00C61F08"/>
    <w:rsid w:val="00C6213F"/>
    <w:rsid w:val="00C623B7"/>
    <w:rsid w:val="00C6241B"/>
    <w:rsid w:val="00C62429"/>
    <w:rsid w:val="00C6243C"/>
    <w:rsid w:val="00C624D8"/>
    <w:rsid w:val="00C62519"/>
    <w:rsid w:val="00C62554"/>
    <w:rsid w:val="00C62569"/>
    <w:rsid w:val="00C62604"/>
    <w:rsid w:val="00C629B4"/>
    <w:rsid w:val="00C62B63"/>
    <w:rsid w:val="00C62B8E"/>
    <w:rsid w:val="00C62DE5"/>
    <w:rsid w:val="00C63290"/>
    <w:rsid w:val="00C633D6"/>
    <w:rsid w:val="00C634E1"/>
    <w:rsid w:val="00C635FB"/>
    <w:rsid w:val="00C63743"/>
    <w:rsid w:val="00C63F7D"/>
    <w:rsid w:val="00C648BE"/>
    <w:rsid w:val="00C648E7"/>
    <w:rsid w:val="00C6492E"/>
    <w:rsid w:val="00C64A44"/>
    <w:rsid w:val="00C64A8D"/>
    <w:rsid w:val="00C64CA6"/>
    <w:rsid w:val="00C64F0C"/>
    <w:rsid w:val="00C65149"/>
    <w:rsid w:val="00C65155"/>
    <w:rsid w:val="00C65595"/>
    <w:rsid w:val="00C656EA"/>
    <w:rsid w:val="00C658CC"/>
    <w:rsid w:val="00C65E95"/>
    <w:rsid w:val="00C65EC3"/>
    <w:rsid w:val="00C6618D"/>
    <w:rsid w:val="00C6625F"/>
    <w:rsid w:val="00C66547"/>
    <w:rsid w:val="00C66ACB"/>
    <w:rsid w:val="00C66B14"/>
    <w:rsid w:val="00C66C60"/>
    <w:rsid w:val="00C66C9F"/>
    <w:rsid w:val="00C67003"/>
    <w:rsid w:val="00C671CD"/>
    <w:rsid w:val="00C67235"/>
    <w:rsid w:val="00C6723B"/>
    <w:rsid w:val="00C67650"/>
    <w:rsid w:val="00C6794F"/>
    <w:rsid w:val="00C67989"/>
    <w:rsid w:val="00C67BB4"/>
    <w:rsid w:val="00C67D4A"/>
    <w:rsid w:val="00C67D6D"/>
    <w:rsid w:val="00C67D71"/>
    <w:rsid w:val="00C700EF"/>
    <w:rsid w:val="00C7013E"/>
    <w:rsid w:val="00C702FD"/>
    <w:rsid w:val="00C70685"/>
    <w:rsid w:val="00C706F5"/>
    <w:rsid w:val="00C70833"/>
    <w:rsid w:val="00C708A6"/>
    <w:rsid w:val="00C70993"/>
    <w:rsid w:val="00C70A14"/>
    <w:rsid w:val="00C70D89"/>
    <w:rsid w:val="00C71017"/>
    <w:rsid w:val="00C7103C"/>
    <w:rsid w:val="00C710A7"/>
    <w:rsid w:val="00C71160"/>
    <w:rsid w:val="00C71268"/>
    <w:rsid w:val="00C7140A"/>
    <w:rsid w:val="00C7140E"/>
    <w:rsid w:val="00C7191F"/>
    <w:rsid w:val="00C71BF8"/>
    <w:rsid w:val="00C71CC1"/>
    <w:rsid w:val="00C71D77"/>
    <w:rsid w:val="00C71EC9"/>
    <w:rsid w:val="00C71F26"/>
    <w:rsid w:val="00C72183"/>
    <w:rsid w:val="00C723D4"/>
    <w:rsid w:val="00C725DD"/>
    <w:rsid w:val="00C72939"/>
    <w:rsid w:val="00C7293E"/>
    <w:rsid w:val="00C72A42"/>
    <w:rsid w:val="00C72B76"/>
    <w:rsid w:val="00C72BD4"/>
    <w:rsid w:val="00C72C08"/>
    <w:rsid w:val="00C72CE7"/>
    <w:rsid w:val="00C72D72"/>
    <w:rsid w:val="00C72EE3"/>
    <w:rsid w:val="00C730F4"/>
    <w:rsid w:val="00C73561"/>
    <w:rsid w:val="00C738B0"/>
    <w:rsid w:val="00C73B10"/>
    <w:rsid w:val="00C73BC0"/>
    <w:rsid w:val="00C73DA1"/>
    <w:rsid w:val="00C73E96"/>
    <w:rsid w:val="00C73F04"/>
    <w:rsid w:val="00C74254"/>
    <w:rsid w:val="00C743D3"/>
    <w:rsid w:val="00C7453B"/>
    <w:rsid w:val="00C749D9"/>
    <w:rsid w:val="00C74A2A"/>
    <w:rsid w:val="00C74D41"/>
    <w:rsid w:val="00C74DE0"/>
    <w:rsid w:val="00C74E13"/>
    <w:rsid w:val="00C74EE1"/>
    <w:rsid w:val="00C7513E"/>
    <w:rsid w:val="00C75393"/>
    <w:rsid w:val="00C75500"/>
    <w:rsid w:val="00C75A4D"/>
    <w:rsid w:val="00C75B1E"/>
    <w:rsid w:val="00C75CE5"/>
    <w:rsid w:val="00C75D44"/>
    <w:rsid w:val="00C76337"/>
    <w:rsid w:val="00C763BC"/>
    <w:rsid w:val="00C76678"/>
    <w:rsid w:val="00C76681"/>
    <w:rsid w:val="00C766E7"/>
    <w:rsid w:val="00C76A66"/>
    <w:rsid w:val="00C77294"/>
    <w:rsid w:val="00C775CB"/>
    <w:rsid w:val="00C77B65"/>
    <w:rsid w:val="00C80061"/>
    <w:rsid w:val="00C80114"/>
    <w:rsid w:val="00C80321"/>
    <w:rsid w:val="00C804B3"/>
    <w:rsid w:val="00C804C5"/>
    <w:rsid w:val="00C806EF"/>
    <w:rsid w:val="00C807AE"/>
    <w:rsid w:val="00C80857"/>
    <w:rsid w:val="00C80987"/>
    <w:rsid w:val="00C80BFF"/>
    <w:rsid w:val="00C81126"/>
    <w:rsid w:val="00C81209"/>
    <w:rsid w:val="00C81486"/>
    <w:rsid w:val="00C8151B"/>
    <w:rsid w:val="00C81599"/>
    <w:rsid w:val="00C81637"/>
    <w:rsid w:val="00C8168F"/>
    <w:rsid w:val="00C81960"/>
    <w:rsid w:val="00C81E52"/>
    <w:rsid w:val="00C81EEC"/>
    <w:rsid w:val="00C81FBD"/>
    <w:rsid w:val="00C8207A"/>
    <w:rsid w:val="00C820F5"/>
    <w:rsid w:val="00C8236A"/>
    <w:rsid w:val="00C82431"/>
    <w:rsid w:val="00C8273C"/>
    <w:rsid w:val="00C8276B"/>
    <w:rsid w:val="00C827CD"/>
    <w:rsid w:val="00C829A2"/>
    <w:rsid w:val="00C82A56"/>
    <w:rsid w:val="00C82A6E"/>
    <w:rsid w:val="00C82BC7"/>
    <w:rsid w:val="00C82EF8"/>
    <w:rsid w:val="00C83117"/>
    <w:rsid w:val="00C83239"/>
    <w:rsid w:val="00C83251"/>
    <w:rsid w:val="00C83361"/>
    <w:rsid w:val="00C834F7"/>
    <w:rsid w:val="00C83D1C"/>
    <w:rsid w:val="00C83D7F"/>
    <w:rsid w:val="00C8405E"/>
    <w:rsid w:val="00C84062"/>
    <w:rsid w:val="00C841C6"/>
    <w:rsid w:val="00C84378"/>
    <w:rsid w:val="00C8479B"/>
    <w:rsid w:val="00C848EB"/>
    <w:rsid w:val="00C84B51"/>
    <w:rsid w:val="00C84BD4"/>
    <w:rsid w:val="00C84D0E"/>
    <w:rsid w:val="00C852E4"/>
    <w:rsid w:val="00C8539B"/>
    <w:rsid w:val="00C855E4"/>
    <w:rsid w:val="00C85AEC"/>
    <w:rsid w:val="00C85DD1"/>
    <w:rsid w:val="00C85EEE"/>
    <w:rsid w:val="00C86687"/>
    <w:rsid w:val="00C86972"/>
    <w:rsid w:val="00C86AD8"/>
    <w:rsid w:val="00C86B40"/>
    <w:rsid w:val="00C86E24"/>
    <w:rsid w:val="00C86F15"/>
    <w:rsid w:val="00C874CD"/>
    <w:rsid w:val="00C877CF"/>
    <w:rsid w:val="00C87AE9"/>
    <w:rsid w:val="00C87F8A"/>
    <w:rsid w:val="00C902DF"/>
    <w:rsid w:val="00C9036B"/>
    <w:rsid w:val="00C9036F"/>
    <w:rsid w:val="00C90863"/>
    <w:rsid w:val="00C90E95"/>
    <w:rsid w:val="00C91154"/>
    <w:rsid w:val="00C911A9"/>
    <w:rsid w:val="00C911E4"/>
    <w:rsid w:val="00C912FB"/>
    <w:rsid w:val="00C91633"/>
    <w:rsid w:val="00C916E1"/>
    <w:rsid w:val="00C91A7C"/>
    <w:rsid w:val="00C91BA2"/>
    <w:rsid w:val="00C91D82"/>
    <w:rsid w:val="00C91EE7"/>
    <w:rsid w:val="00C921B3"/>
    <w:rsid w:val="00C9229F"/>
    <w:rsid w:val="00C9250B"/>
    <w:rsid w:val="00C925BC"/>
    <w:rsid w:val="00C92745"/>
    <w:rsid w:val="00C931B2"/>
    <w:rsid w:val="00C931F9"/>
    <w:rsid w:val="00C933EA"/>
    <w:rsid w:val="00C93515"/>
    <w:rsid w:val="00C93549"/>
    <w:rsid w:val="00C936A6"/>
    <w:rsid w:val="00C9394D"/>
    <w:rsid w:val="00C93964"/>
    <w:rsid w:val="00C93C6D"/>
    <w:rsid w:val="00C94212"/>
    <w:rsid w:val="00C943BB"/>
    <w:rsid w:val="00C945A8"/>
    <w:rsid w:val="00C94698"/>
    <w:rsid w:val="00C947A9"/>
    <w:rsid w:val="00C94AF4"/>
    <w:rsid w:val="00C94DDF"/>
    <w:rsid w:val="00C9503D"/>
    <w:rsid w:val="00C9509D"/>
    <w:rsid w:val="00C951A0"/>
    <w:rsid w:val="00C95735"/>
    <w:rsid w:val="00C957FA"/>
    <w:rsid w:val="00C9581B"/>
    <w:rsid w:val="00C95842"/>
    <w:rsid w:val="00C959B5"/>
    <w:rsid w:val="00C95AC8"/>
    <w:rsid w:val="00C95BB3"/>
    <w:rsid w:val="00C95CEF"/>
    <w:rsid w:val="00C960D5"/>
    <w:rsid w:val="00C96293"/>
    <w:rsid w:val="00C96437"/>
    <w:rsid w:val="00C9688F"/>
    <w:rsid w:val="00C96924"/>
    <w:rsid w:val="00C96964"/>
    <w:rsid w:val="00C97152"/>
    <w:rsid w:val="00C97EBE"/>
    <w:rsid w:val="00C97F5D"/>
    <w:rsid w:val="00CA01A2"/>
    <w:rsid w:val="00CA02D5"/>
    <w:rsid w:val="00CA06D4"/>
    <w:rsid w:val="00CA0913"/>
    <w:rsid w:val="00CA0DC9"/>
    <w:rsid w:val="00CA0F33"/>
    <w:rsid w:val="00CA0F71"/>
    <w:rsid w:val="00CA1141"/>
    <w:rsid w:val="00CA11D9"/>
    <w:rsid w:val="00CA1219"/>
    <w:rsid w:val="00CA1511"/>
    <w:rsid w:val="00CA1554"/>
    <w:rsid w:val="00CA18BA"/>
    <w:rsid w:val="00CA1A4F"/>
    <w:rsid w:val="00CA1A61"/>
    <w:rsid w:val="00CA1B71"/>
    <w:rsid w:val="00CA1BE1"/>
    <w:rsid w:val="00CA1C7B"/>
    <w:rsid w:val="00CA2060"/>
    <w:rsid w:val="00CA23A3"/>
    <w:rsid w:val="00CA24FF"/>
    <w:rsid w:val="00CA26F9"/>
    <w:rsid w:val="00CA2770"/>
    <w:rsid w:val="00CA2851"/>
    <w:rsid w:val="00CA2B13"/>
    <w:rsid w:val="00CA2BE7"/>
    <w:rsid w:val="00CA2C0A"/>
    <w:rsid w:val="00CA2EBF"/>
    <w:rsid w:val="00CA2FCC"/>
    <w:rsid w:val="00CA31AC"/>
    <w:rsid w:val="00CA32A6"/>
    <w:rsid w:val="00CA3515"/>
    <w:rsid w:val="00CA3611"/>
    <w:rsid w:val="00CA3700"/>
    <w:rsid w:val="00CA3D2C"/>
    <w:rsid w:val="00CA49E5"/>
    <w:rsid w:val="00CA4AA3"/>
    <w:rsid w:val="00CA4E90"/>
    <w:rsid w:val="00CA4EC3"/>
    <w:rsid w:val="00CA50C2"/>
    <w:rsid w:val="00CA50CE"/>
    <w:rsid w:val="00CA54F7"/>
    <w:rsid w:val="00CA5551"/>
    <w:rsid w:val="00CA56BE"/>
    <w:rsid w:val="00CA5993"/>
    <w:rsid w:val="00CA5AB1"/>
    <w:rsid w:val="00CA5F25"/>
    <w:rsid w:val="00CA601E"/>
    <w:rsid w:val="00CA6054"/>
    <w:rsid w:val="00CA610C"/>
    <w:rsid w:val="00CA6600"/>
    <w:rsid w:val="00CA660D"/>
    <w:rsid w:val="00CA69E1"/>
    <w:rsid w:val="00CA6D81"/>
    <w:rsid w:val="00CA7180"/>
    <w:rsid w:val="00CA721C"/>
    <w:rsid w:val="00CA7297"/>
    <w:rsid w:val="00CA734C"/>
    <w:rsid w:val="00CA7807"/>
    <w:rsid w:val="00CA7898"/>
    <w:rsid w:val="00CA7D4C"/>
    <w:rsid w:val="00CA7F5C"/>
    <w:rsid w:val="00CB06D5"/>
    <w:rsid w:val="00CB08AA"/>
    <w:rsid w:val="00CB0A26"/>
    <w:rsid w:val="00CB0A86"/>
    <w:rsid w:val="00CB0DA2"/>
    <w:rsid w:val="00CB0E0F"/>
    <w:rsid w:val="00CB1148"/>
    <w:rsid w:val="00CB1607"/>
    <w:rsid w:val="00CB18AB"/>
    <w:rsid w:val="00CB19A4"/>
    <w:rsid w:val="00CB1B78"/>
    <w:rsid w:val="00CB1F8F"/>
    <w:rsid w:val="00CB1FBA"/>
    <w:rsid w:val="00CB20EB"/>
    <w:rsid w:val="00CB26C7"/>
    <w:rsid w:val="00CB2875"/>
    <w:rsid w:val="00CB2A7F"/>
    <w:rsid w:val="00CB2B76"/>
    <w:rsid w:val="00CB2C97"/>
    <w:rsid w:val="00CB2D37"/>
    <w:rsid w:val="00CB3556"/>
    <w:rsid w:val="00CB3712"/>
    <w:rsid w:val="00CB3943"/>
    <w:rsid w:val="00CB3AC3"/>
    <w:rsid w:val="00CB3EA0"/>
    <w:rsid w:val="00CB4071"/>
    <w:rsid w:val="00CB40C3"/>
    <w:rsid w:val="00CB41CE"/>
    <w:rsid w:val="00CB445C"/>
    <w:rsid w:val="00CB4814"/>
    <w:rsid w:val="00CB49D9"/>
    <w:rsid w:val="00CB4C2E"/>
    <w:rsid w:val="00CB4C46"/>
    <w:rsid w:val="00CB5151"/>
    <w:rsid w:val="00CB52CC"/>
    <w:rsid w:val="00CB56F2"/>
    <w:rsid w:val="00CB585B"/>
    <w:rsid w:val="00CB5868"/>
    <w:rsid w:val="00CB5A77"/>
    <w:rsid w:val="00CB5ACE"/>
    <w:rsid w:val="00CB622B"/>
    <w:rsid w:val="00CB64B1"/>
    <w:rsid w:val="00CB6743"/>
    <w:rsid w:val="00CB6E04"/>
    <w:rsid w:val="00CB6EA7"/>
    <w:rsid w:val="00CB73AD"/>
    <w:rsid w:val="00CB7458"/>
    <w:rsid w:val="00CB757C"/>
    <w:rsid w:val="00CB793F"/>
    <w:rsid w:val="00CB796D"/>
    <w:rsid w:val="00CB7994"/>
    <w:rsid w:val="00CB7A22"/>
    <w:rsid w:val="00CB7C23"/>
    <w:rsid w:val="00CC00C6"/>
    <w:rsid w:val="00CC021C"/>
    <w:rsid w:val="00CC0307"/>
    <w:rsid w:val="00CC07CB"/>
    <w:rsid w:val="00CC0A5F"/>
    <w:rsid w:val="00CC0CCA"/>
    <w:rsid w:val="00CC0DBD"/>
    <w:rsid w:val="00CC0DEE"/>
    <w:rsid w:val="00CC0DF8"/>
    <w:rsid w:val="00CC120A"/>
    <w:rsid w:val="00CC1229"/>
    <w:rsid w:val="00CC13E4"/>
    <w:rsid w:val="00CC1B96"/>
    <w:rsid w:val="00CC1C1D"/>
    <w:rsid w:val="00CC1C63"/>
    <w:rsid w:val="00CC2592"/>
    <w:rsid w:val="00CC290F"/>
    <w:rsid w:val="00CC29FE"/>
    <w:rsid w:val="00CC2A6A"/>
    <w:rsid w:val="00CC2B68"/>
    <w:rsid w:val="00CC2BD6"/>
    <w:rsid w:val="00CC2BDB"/>
    <w:rsid w:val="00CC2BFA"/>
    <w:rsid w:val="00CC2C4B"/>
    <w:rsid w:val="00CC2F41"/>
    <w:rsid w:val="00CC30E0"/>
    <w:rsid w:val="00CC3293"/>
    <w:rsid w:val="00CC353D"/>
    <w:rsid w:val="00CC35AC"/>
    <w:rsid w:val="00CC3995"/>
    <w:rsid w:val="00CC3A50"/>
    <w:rsid w:val="00CC3B57"/>
    <w:rsid w:val="00CC3E88"/>
    <w:rsid w:val="00CC3EAE"/>
    <w:rsid w:val="00CC42A8"/>
    <w:rsid w:val="00CC4C01"/>
    <w:rsid w:val="00CC4D7B"/>
    <w:rsid w:val="00CC50C4"/>
    <w:rsid w:val="00CC51F9"/>
    <w:rsid w:val="00CC5270"/>
    <w:rsid w:val="00CC5332"/>
    <w:rsid w:val="00CC63FF"/>
    <w:rsid w:val="00CC6767"/>
    <w:rsid w:val="00CC6CCE"/>
    <w:rsid w:val="00CC6E01"/>
    <w:rsid w:val="00CC6E76"/>
    <w:rsid w:val="00CC7086"/>
    <w:rsid w:val="00CC7451"/>
    <w:rsid w:val="00CC7D72"/>
    <w:rsid w:val="00CD056C"/>
    <w:rsid w:val="00CD0CB4"/>
    <w:rsid w:val="00CD0EE7"/>
    <w:rsid w:val="00CD0F87"/>
    <w:rsid w:val="00CD12E9"/>
    <w:rsid w:val="00CD134A"/>
    <w:rsid w:val="00CD142B"/>
    <w:rsid w:val="00CD1851"/>
    <w:rsid w:val="00CD19F1"/>
    <w:rsid w:val="00CD1D00"/>
    <w:rsid w:val="00CD1D32"/>
    <w:rsid w:val="00CD1E0D"/>
    <w:rsid w:val="00CD20B6"/>
    <w:rsid w:val="00CD22D3"/>
    <w:rsid w:val="00CD23C7"/>
    <w:rsid w:val="00CD2A7F"/>
    <w:rsid w:val="00CD2B60"/>
    <w:rsid w:val="00CD2F7F"/>
    <w:rsid w:val="00CD301F"/>
    <w:rsid w:val="00CD31EE"/>
    <w:rsid w:val="00CD33A2"/>
    <w:rsid w:val="00CD3472"/>
    <w:rsid w:val="00CD3961"/>
    <w:rsid w:val="00CD3984"/>
    <w:rsid w:val="00CD3A0F"/>
    <w:rsid w:val="00CD3A1D"/>
    <w:rsid w:val="00CD3B3F"/>
    <w:rsid w:val="00CD3D0E"/>
    <w:rsid w:val="00CD3DBC"/>
    <w:rsid w:val="00CD410A"/>
    <w:rsid w:val="00CD4131"/>
    <w:rsid w:val="00CD4223"/>
    <w:rsid w:val="00CD4295"/>
    <w:rsid w:val="00CD4317"/>
    <w:rsid w:val="00CD4397"/>
    <w:rsid w:val="00CD447F"/>
    <w:rsid w:val="00CD49A5"/>
    <w:rsid w:val="00CD4A11"/>
    <w:rsid w:val="00CD4B62"/>
    <w:rsid w:val="00CD4BD9"/>
    <w:rsid w:val="00CD4D93"/>
    <w:rsid w:val="00CD4F46"/>
    <w:rsid w:val="00CD5424"/>
    <w:rsid w:val="00CD55ED"/>
    <w:rsid w:val="00CD5709"/>
    <w:rsid w:val="00CD57A1"/>
    <w:rsid w:val="00CD59AE"/>
    <w:rsid w:val="00CD5BF1"/>
    <w:rsid w:val="00CD5F4C"/>
    <w:rsid w:val="00CD61EC"/>
    <w:rsid w:val="00CD6203"/>
    <w:rsid w:val="00CD668F"/>
    <w:rsid w:val="00CD73CB"/>
    <w:rsid w:val="00CD76BE"/>
    <w:rsid w:val="00CD7754"/>
    <w:rsid w:val="00CD77F1"/>
    <w:rsid w:val="00CD7918"/>
    <w:rsid w:val="00CD7D45"/>
    <w:rsid w:val="00CD7E37"/>
    <w:rsid w:val="00CD7F4E"/>
    <w:rsid w:val="00CE00A7"/>
    <w:rsid w:val="00CE015B"/>
    <w:rsid w:val="00CE032D"/>
    <w:rsid w:val="00CE049B"/>
    <w:rsid w:val="00CE05D7"/>
    <w:rsid w:val="00CE06D1"/>
    <w:rsid w:val="00CE0752"/>
    <w:rsid w:val="00CE09A1"/>
    <w:rsid w:val="00CE0DAA"/>
    <w:rsid w:val="00CE0E02"/>
    <w:rsid w:val="00CE0EE7"/>
    <w:rsid w:val="00CE1813"/>
    <w:rsid w:val="00CE1823"/>
    <w:rsid w:val="00CE1984"/>
    <w:rsid w:val="00CE1D1F"/>
    <w:rsid w:val="00CE21EA"/>
    <w:rsid w:val="00CE23E7"/>
    <w:rsid w:val="00CE2483"/>
    <w:rsid w:val="00CE28DE"/>
    <w:rsid w:val="00CE2C60"/>
    <w:rsid w:val="00CE2F24"/>
    <w:rsid w:val="00CE350C"/>
    <w:rsid w:val="00CE3644"/>
    <w:rsid w:val="00CE368B"/>
    <w:rsid w:val="00CE36F8"/>
    <w:rsid w:val="00CE37C1"/>
    <w:rsid w:val="00CE38E9"/>
    <w:rsid w:val="00CE3900"/>
    <w:rsid w:val="00CE3F49"/>
    <w:rsid w:val="00CE408C"/>
    <w:rsid w:val="00CE4720"/>
    <w:rsid w:val="00CE5050"/>
    <w:rsid w:val="00CE53AE"/>
    <w:rsid w:val="00CE5474"/>
    <w:rsid w:val="00CE5574"/>
    <w:rsid w:val="00CE557E"/>
    <w:rsid w:val="00CE55BC"/>
    <w:rsid w:val="00CE569D"/>
    <w:rsid w:val="00CE570D"/>
    <w:rsid w:val="00CE5768"/>
    <w:rsid w:val="00CE584B"/>
    <w:rsid w:val="00CE5861"/>
    <w:rsid w:val="00CE5A0B"/>
    <w:rsid w:val="00CE5A95"/>
    <w:rsid w:val="00CE5B5F"/>
    <w:rsid w:val="00CE5C22"/>
    <w:rsid w:val="00CE5C4A"/>
    <w:rsid w:val="00CE5F13"/>
    <w:rsid w:val="00CE6065"/>
    <w:rsid w:val="00CE617B"/>
    <w:rsid w:val="00CE633A"/>
    <w:rsid w:val="00CE6461"/>
    <w:rsid w:val="00CE658E"/>
    <w:rsid w:val="00CE6860"/>
    <w:rsid w:val="00CE68A5"/>
    <w:rsid w:val="00CE6C28"/>
    <w:rsid w:val="00CE6FC5"/>
    <w:rsid w:val="00CE702B"/>
    <w:rsid w:val="00CE7090"/>
    <w:rsid w:val="00CE725F"/>
    <w:rsid w:val="00CE764D"/>
    <w:rsid w:val="00CE7B8F"/>
    <w:rsid w:val="00CE7C2D"/>
    <w:rsid w:val="00CE7E09"/>
    <w:rsid w:val="00CE7FD3"/>
    <w:rsid w:val="00CE7FD8"/>
    <w:rsid w:val="00CF0255"/>
    <w:rsid w:val="00CF02EC"/>
    <w:rsid w:val="00CF0488"/>
    <w:rsid w:val="00CF05CE"/>
    <w:rsid w:val="00CF05E7"/>
    <w:rsid w:val="00CF0BA8"/>
    <w:rsid w:val="00CF102B"/>
    <w:rsid w:val="00CF12D6"/>
    <w:rsid w:val="00CF15D2"/>
    <w:rsid w:val="00CF1A81"/>
    <w:rsid w:val="00CF2077"/>
    <w:rsid w:val="00CF2093"/>
    <w:rsid w:val="00CF2151"/>
    <w:rsid w:val="00CF22E7"/>
    <w:rsid w:val="00CF241F"/>
    <w:rsid w:val="00CF2659"/>
    <w:rsid w:val="00CF2672"/>
    <w:rsid w:val="00CF28F4"/>
    <w:rsid w:val="00CF2E2F"/>
    <w:rsid w:val="00CF2EA7"/>
    <w:rsid w:val="00CF313D"/>
    <w:rsid w:val="00CF3468"/>
    <w:rsid w:val="00CF3A44"/>
    <w:rsid w:val="00CF3C53"/>
    <w:rsid w:val="00CF3FE6"/>
    <w:rsid w:val="00CF410F"/>
    <w:rsid w:val="00CF417A"/>
    <w:rsid w:val="00CF426A"/>
    <w:rsid w:val="00CF4410"/>
    <w:rsid w:val="00CF44D7"/>
    <w:rsid w:val="00CF44F9"/>
    <w:rsid w:val="00CF46A6"/>
    <w:rsid w:val="00CF4AE0"/>
    <w:rsid w:val="00CF4D6E"/>
    <w:rsid w:val="00CF4EE1"/>
    <w:rsid w:val="00CF5059"/>
    <w:rsid w:val="00CF50DF"/>
    <w:rsid w:val="00CF5214"/>
    <w:rsid w:val="00CF574A"/>
    <w:rsid w:val="00CF5780"/>
    <w:rsid w:val="00CF5822"/>
    <w:rsid w:val="00CF5CF3"/>
    <w:rsid w:val="00CF619A"/>
    <w:rsid w:val="00CF63C8"/>
    <w:rsid w:val="00CF640A"/>
    <w:rsid w:val="00CF6EA8"/>
    <w:rsid w:val="00CF6F70"/>
    <w:rsid w:val="00CF7117"/>
    <w:rsid w:val="00CF7136"/>
    <w:rsid w:val="00CF718E"/>
    <w:rsid w:val="00CF7606"/>
    <w:rsid w:val="00CF7718"/>
    <w:rsid w:val="00CF784B"/>
    <w:rsid w:val="00CF7B44"/>
    <w:rsid w:val="00D002AA"/>
    <w:rsid w:val="00D00496"/>
    <w:rsid w:val="00D00585"/>
    <w:rsid w:val="00D005EC"/>
    <w:rsid w:val="00D00DAE"/>
    <w:rsid w:val="00D00DBC"/>
    <w:rsid w:val="00D00E75"/>
    <w:rsid w:val="00D01A62"/>
    <w:rsid w:val="00D01AC0"/>
    <w:rsid w:val="00D01BC7"/>
    <w:rsid w:val="00D01E91"/>
    <w:rsid w:val="00D02036"/>
    <w:rsid w:val="00D02088"/>
    <w:rsid w:val="00D02117"/>
    <w:rsid w:val="00D02243"/>
    <w:rsid w:val="00D022C1"/>
    <w:rsid w:val="00D022EF"/>
    <w:rsid w:val="00D02350"/>
    <w:rsid w:val="00D02A64"/>
    <w:rsid w:val="00D02AB1"/>
    <w:rsid w:val="00D02B35"/>
    <w:rsid w:val="00D02F92"/>
    <w:rsid w:val="00D033D2"/>
    <w:rsid w:val="00D034AC"/>
    <w:rsid w:val="00D03710"/>
    <w:rsid w:val="00D037B6"/>
    <w:rsid w:val="00D038AC"/>
    <w:rsid w:val="00D0393E"/>
    <w:rsid w:val="00D03BC8"/>
    <w:rsid w:val="00D03BE4"/>
    <w:rsid w:val="00D03C2B"/>
    <w:rsid w:val="00D03C33"/>
    <w:rsid w:val="00D03D92"/>
    <w:rsid w:val="00D041D4"/>
    <w:rsid w:val="00D0480C"/>
    <w:rsid w:val="00D0482F"/>
    <w:rsid w:val="00D04E2D"/>
    <w:rsid w:val="00D04FED"/>
    <w:rsid w:val="00D052EF"/>
    <w:rsid w:val="00D05AD5"/>
    <w:rsid w:val="00D05BC2"/>
    <w:rsid w:val="00D05E54"/>
    <w:rsid w:val="00D0610E"/>
    <w:rsid w:val="00D063AA"/>
    <w:rsid w:val="00D06416"/>
    <w:rsid w:val="00D067B7"/>
    <w:rsid w:val="00D06A0A"/>
    <w:rsid w:val="00D06B89"/>
    <w:rsid w:val="00D06C5E"/>
    <w:rsid w:val="00D06FB5"/>
    <w:rsid w:val="00D07198"/>
    <w:rsid w:val="00D072C6"/>
    <w:rsid w:val="00D0750C"/>
    <w:rsid w:val="00D079E4"/>
    <w:rsid w:val="00D07A7E"/>
    <w:rsid w:val="00D07B96"/>
    <w:rsid w:val="00D07C3B"/>
    <w:rsid w:val="00D100F0"/>
    <w:rsid w:val="00D10422"/>
    <w:rsid w:val="00D1043E"/>
    <w:rsid w:val="00D104DB"/>
    <w:rsid w:val="00D11091"/>
    <w:rsid w:val="00D11287"/>
    <w:rsid w:val="00D11462"/>
    <w:rsid w:val="00D11983"/>
    <w:rsid w:val="00D11BC1"/>
    <w:rsid w:val="00D11E67"/>
    <w:rsid w:val="00D121F2"/>
    <w:rsid w:val="00D12860"/>
    <w:rsid w:val="00D12988"/>
    <w:rsid w:val="00D12A09"/>
    <w:rsid w:val="00D12A48"/>
    <w:rsid w:val="00D12D63"/>
    <w:rsid w:val="00D12DB0"/>
    <w:rsid w:val="00D12EF3"/>
    <w:rsid w:val="00D1325D"/>
    <w:rsid w:val="00D13321"/>
    <w:rsid w:val="00D1332A"/>
    <w:rsid w:val="00D13629"/>
    <w:rsid w:val="00D13859"/>
    <w:rsid w:val="00D13A78"/>
    <w:rsid w:val="00D140BB"/>
    <w:rsid w:val="00D1431D"/>
    <w:rsid w:val="00D143A0"/>
    <w:rsid w:val="00D1450D"/>
    <w:rsid w:val="00D14685"/>
    <w:rsid w:val="00D14C68"/>
    <w:rsid w:val="00D14CF6"/>
    <w:rsid w:val="00D14FBC"/>
    <w:rsid w:val="00D1507A"/>
    <w:rsid w:val="00D1523F"/>
    <w:rsid w:val="00D1548A"/>
    <w:rsid w:val="00D154D8"/>
    <w:rsid w:val="00D15D16"/>
    <w:rsid w:val="00D15D8F"/>
    <w:rsid w:val="00D15E36"/>
    <w:rsid w:val="00D1657C"/>
    <w:rsid w:val="00D166E8"/>
    <w:rsid w:val="00D166F7"/>
    <w:rsid w:val="00D16748"/>
    <w:rsid w:val="00D1684B"/>
    <w:rsid w:val="00D16CB2"/>
    <w:rsid w:val="00D16D5A"/>
    <w:rsid w:val="00D1707F"/>
    <w:rsid w:val="00D17654"/>
    <w:rsid w:val="00D179B9"/>
    <w:rsid w:val="00D17BE5"/>
    <w:rsid w:val="00D17C20"/>
    <w:rsid w:val="00D17D90"/>
    <w:rsid w:val="00D203E7"/>
    <w:rsid w:val="00D20E67"/>
    <w:rsid w:val="00D21383"/>
    <w:rsid w:val="00D217E4"/>
    <w:rsid w:val="00D2194A"/>
    <w:rsid w:val="00D21A44"/>
    <w:rsid w:val="00D21BEC"/>
    <w:rsid w:val="00D21C7E"/>
    <w:rsid w:val="00D21CA3"/>
    <w:rsid w:val="00D21E01"/>
    <w:rsid w:val="00D220F4"/>
    <w:rsid w:val="00D221A0"/>
    <w:rsid w:val="00D223CB"/>
    <w:rsid w:val="00D22935"/>
    <w:rsid w:val="00D22951"/>
    <w:rsid w:val="00D22A77"/>
    <w:rsid w:val="00D22B7C"/>
    <w:rsid w:val="00D22BAA"/>
    <w:rsid w:val="00D22C13"/>
    <w:rsid w:val="00D22E6C"/>
    <w:rsid w:val="00D22F9C"/>
    <w:rsid w:val="00D23358"/>
    <w:rsid w:val="00D2347B"/>
    <w:rsid w:val="00D23A0F"/>
    <w:rsid w:val="00D23A56"/>
    <w:rsid w:val="00D23B1E"/>
    <w:rsid w:val="00D23EEF"/>
    <w:rsid w:val="00D24818"/>
    <w:rsid w:val="00D248A0"/>
    <w:rsid w:val="00D24A55"/>
    <w:rsid w:val="00D24B8A"/>
    <w:rsid w:val="00D24CA4"/>
    <w:rsid w:val="00D24F7B"/>
    <w:rsid w:val="00D25074"/>
    <w:rsid w:val="00D251DC"/>
    <w:rsid w:val="00D255A5"/>
    <w:rsid w:val="00D25624"/>
    <w:rsid w:val="00D25D87"/>
    <w:rsid w:val="00D25E4F"/>
    <w:rsid w:val="00D26097"/>
    <w:rsid w:val="00D264F9"/>
    <w:rsid w:val="00D265D8"/>
    <w:rsid w:val="00D2667B"/>
    <w:rsid w:val="00D26AD9"/>
    <w:rsid w:val="00D26B25"/>
    <w:rsid w:val="00D26E44"/>
    <w:rsid w:val="00D2717C"/>
    <w:rsid w:val="00D272F1"/>
    <w:rsid w:val="00D27708"/>
    <w:rsid w:val="00D278AA"/>
    <w:rsid w:val="00D27A45"/>
    <w:rsid w:val="00D27AF9"/>
    <w:rsid w:val="00D27B36"/>
    <w:rsid w:val="00D27DD4"/>
    <w:rsid w:val="00D27F3F"/>
    <w:rsid w:val="00D3005F"/>
    <w:rsid w:val="00D304D5"/>
    <w:rsid w:val="00D30711"/>
    <w:rsid w:val="00D30883"/>
    <w:rsid w:val="00D30E96"/>
    <w:rsid w:val="00D30FC8"/>
    <w:rsid w:val="00D31197"/>
    <w:rsid w:val="00D31329"/>
    <w:rsid w:val="00D31443"/>
    <w:rsid w:val="00D317FF"/>
    <w:rsid w:val="00D31BD9"/>
    <w:rsid w:val="00D31FB1"/>
    <w:rsid w:val="00D32240"/>
    <w:rsid w:val="00D32312"/>
    <w:rsid w:val="00D3249C"/>
    <w:rsid w:val="00D326CA"/>
    <w:rsid w:val="00D3277F"/>
    <w:rsid w:val="00D32995"/>
    <w:rsid w:val="00D32E8E"/>
    <w:rsid w:val="00D32F4F"/>
    <w:rsid w:val="00D33292"/>
    <w:rsid w:val="00D332C8"/>
    <w:rsid w:val="00D3333D"/>
    <w:rsid w:val="00D3348E"/>
    <w:rsid w:val="00D33634"/>
    <w:rsid w:val="00D3389B"/>
    <w:rsid w:val="00D33B1B"/>
    <w:rsid w:val="00D33BDD"/>
    <w:rsid w:val="00D33D75"/>
    <w:rsid w:val="00D33EC0"/>
    <w:rsid w:val="00D340A8"/>
    <w:rsid w:val="00D3413B"/>
    <w:rsid w:val="00D34954"/>
    <w:rsid w:val="00D34A83"/>
    <w:rsid w:val="00D34AE5"/>
    <w:rsid w:val="00D34B07"/>
    <w:rsid w:val="00D34C75"/>
    <w:rsid w:val="00D34F3E"/>
    <w:rsid w:val="00D35098"/>
    <w:rsid w:val="00D350D4"/>
    <w:rsid w:val="00D352C6"/>
    <w:rsid w:val="00D357E6"/>
    <w:rsid w:val="00D35C87"/>
    <w:rsid w:val="00D3604D"/>
    <w:rsid w:val="00D3617D"/>
    <w:rsid w:val="00D3635E"/>
    <w:rsid w:val="00D3689D"/>
    <w:rsid w:val="00D36A31"/>
    <w:rsid w:val="00D36B18"/>
    <w:rsid w:val="00D36B2E"/>
    <w:rsid w:val="00D36D11"/>
    <w:rsid w:val="00D36D3E"/>
    <w:rsid w:val="00D371CE"/>
    <w:rsid w:val="00D37769"/>
    <w:rsid w:val="00D3783D"/>
    <w:rsid w:val="00D37A0E"/>
    <w:rsid w:val="00D37D3A"/>
    <w:rsid w:val="00D37EB7"/>
    <w:rsid w:val="00D405E3"/>
    <w:rsid w:val="00D407DA"/>
    <w:rsid w:val="00D40970"/>
    <w:rsid w:val="00D40C5A"/>
    <w:rsid w:val="00D40D22"/>
    <w:rsid w:val="00D40DDE"/>
    <w:rsid w:val="00D41468"/>
    <w:rsid w:val="00D41476"/>
    <w:rsid w:val="00D416A7"/>
    <w:rsid w:val="00D41712"/>
    <w:rsid w:val="00D419ED"/>
    <w:rsid w:val="00D41A89"/>
    <w:rsid w:val="00D41CF2"/>
    <w:rsid w:val="00D41EAE"/>
    <w:rsid w:val="00D426AA"/>
    <w:rsid w:val="00D4284A"/>
    <w:rsid w:val="00D429E4"/>
    <w:rsid w:val="00D42C71"/>
    <w:rsid w:val="00D42EC3"/>
    <w:rsid w:val="00D42F57"/>
    <w:rsid w:val="00D430C7"/>
    <w:rsid w:val="00D43BE3"/>
    <w:rsid w:val="00D43C57"/>
    <w:rsid w:val="00D44093"/>
    <w:rsid w:val="00D440F2"/>
    <w:rsid w:val="00D4417A"/>
    <w:rsid w:val="00D44752"/>
    <w:rsid w:val="00D44999"/>
    <w:rsid w:val="00D44B65"/>
    <w:rsid w:val="00D44CCF"/>
    <w:rsid w:val="00D44FA1"/>
    <w:rsid w:val="00D4509E"/>
    <w:rsid w:val="00D45275"/>
    <w:rsid w:val="00D45363"/>
    <w:rsid w:val="00D4562D"/>
    <w:rsid w:val="00D45AE9"/>
    <w:rsid w:val="00D4666C"/>
    <w:rsid w:val="00D466B6"/>
    <w:rsid w:val="00D46AE7"/>
    <w:rsid w:val="00D46AF4"/>
    <w:rsid w:val="00D46EE2"/>
    <w:rsid w:val="00D46F96"/>
    <w:rsid w:val="00D4746E"/>
    <w:rsid w:val="00D47845"/>
    <w:rsid w:val="00D4789F"/>
    <w:rsid w:val="00D479EF"/>
    <w:rsid w:val="00D47CF9"/>
    <w:rsid w:val="00D47E19"/>
    <w:rsid w:val="00D5001B"/>
    <w:rsid w:val="00D5013B"/>
    <w:rsid w:val="00D502DB"/>
    <w:rsid w:val="00D50598"/>
    <w:rsid w:val="00D510B8"/>
    <w:rsid w:val="00D51394"/>
    <w:rsid w:val="00D51395"/>
    <w:rsid w:val="00D51401"/>
    <w:rsid w:val="00D517EA"/>
    <w:rsid w:val="00D51801"/>
    <w:rsid w:val="00D51ADA"/>
    <w:rsid w:val="00D51E9F"/>
    <w:rsid w:val="00D5214C"/>
    <w:rsid w:val="00D5233B"/>
    <w:rsid w:val="00D5250B"/>
    <w:rsid w:val="00D52687"/>
    <w:rsid w:val="00D527FC"/>
    <w:rsid w:val="00D52A6C"/>
    <w:rsid w:val="00D52A87"/>
    <w:rsid w:val="00D52ACB"/>
    <w:rsid w:val="00D53430"/>
    <w:rsid w:val="00D537D3"/>
    <w:rsid w:val="00D53811"/>
    <w:rsid w:val="00D53919"/>
    <w:rsid w:val="00D53926"/>
    <w:rsid w:val="00D53A43"/>
    <w:rsid w:val="00D53AAC"/>
    <w:rsid w:val="00D5424B"/>
    <w:rsid w:val="00D544D7"/>
    <w:rsid w:val="00D54C7C"/>
    <w:rsid w:val="00D54CCF"/>
    <w:rsid w:val="00D5500A"/>
    <w:rsid w:val="00D55369"/>
    <w:rsid w:val="00D55549"/>
    <w:rsid w:val="00D5555C"/>
    <w:rsid w:val="00D557F2"/>
    <w:rsid w:val="00D558EE"/>
    <w:rsid w:val="00D55A64"/>
    <w:rsid w:val="00D55A72"/>
    <w:rsid w:val="00D55B02"/>
    <w:rsid w:val="00D55CD2"/>
    <w:rsid w:val="00D55D72"/>
    <w:rsid w:val="00D55E96"/>
    <w:rsid w:val="00D55ECA"/>
    <w:rsid w:val="00D56206"/>
    <w:rsid w:val="00D56513"/>
    <w:rsid w:val="00D56535"/>
    <w:rsid w:val="00D56700"/>
    <w:rsid w:val="00D56871"/>
    <w:rsid w:val="00D568A6"/>
    <w:rsid w:val="00D56905"/>
    <w:rsid w:val="00D56A3B"/>
    <w:rsid w:val="00D56F58"/>
    <w:rsid w:val="00D574D7"/>
    <w:rsid w:val="00D57A10"/>
    <w:rsid w:val="00D57B7A"/>
    <w:rsid w:val="00D57D21"/>
    <w:rsid w:val="00D57F04"/>
    <w:rsid w:val="00D6008B"/>
    <w:rsid w:val="00D60679"/>
    <w:rsid w:val="00D606E8"/>
    <w:rsid w:val="00D6094E"/>
    <w:rsid w:val="00D60A36"/>
    <w:rsid w:val="00D60E01"/>
    <w:rsid w:val="00D611D4"/>
    <w:rsid w:val="00D612F2"/>
    <w:rsid w:val="00D61409"/>
    <w:rsid w:val="00D619CC"/>
    <w:rsid w:val="00D619F2"/>
    <w:rsid w:val="00D61CCF"/>
    <w:rsid w:val="00D621E9"/>
    <w:rsid w:val="00D6225D"/>
    <w:rsid w:val="00D62A43"/>
    <w:rsid w:val="00D62B30"/>
    <w:rsid w:val="00D62BBD"/>
    <w:rsid w:val="00D62BD7"/>
    <w:rsid w:val="00D62CEF"/>
    <w:rsid w:val="00D62E6E"/>
    <w:rsid w:val="00D62FE7"/>
    <w:rsid w:val="00D63309"/>
    <w:rsid w:val="00D6337A"/>
    <w:rsid w:val="00D63392"/>
    <w:rsid w:val="00D63A09"/>
    <w:rsid w:val="00D63BDE"/>
    <w:rsid w:val="00D64527"/>
    <w:rsid w:val="00D646F3"/>
    <w:rsid w:val="00D649C4"/>
    <w:rsid w:val="00D64A2D"/>
    <w:rsid w:val="00D64B26"/>
    <w:rsid w:val="00D64B38"/>
    <w:rsid w:val="00D64C6B"/>
    <w:rsid w:val="00D64C73"/>
    <w:rsid w:val="00D64CA0"/>
    <w:rsid w:val="00D651DC"/>
    <w:rsid w:val="00D652C6"/>
    <w:rsid w:val="00D65781"/>
    <w:rsid w:val="00D65820"/>
    <w:rsid w:val="00D6632E"/>
    <w:rsid w:val="00D665CF"/>
    <w:rsid w:val="00D66631"/>
    <w:rsid w:val="00D6670E"/>
    <w:rsid w:val="00D66893"/>
    <w:rsid w:val="00D66A12"/>
    <w:rsid w:val="00D66B76"/>
    <w:rsid w:val="00D66E1E"/>
    <w:rsid w:val="00D66EF3"/>
    <w:rsid w:val="00D6701C"/>
    <w:rsid w:val="00D6715C"/>
    <w:rsid w:val="00D67496"/>
    <w:rsid w:val="00D6761E"/>
    <w:rsid w:val="00D67D0F"/>
    <w:rsid w:val="00D67D22"/>
    <w:rsid w:val="00D67E46"/>
    <w:rsid w:val="00D67EF2"/>
    <w:rsid w:val="00D67FE5"/>
    <w:rsid w:val="00D7008B"/>
    <w:rsid w:val="00D70373"/>
    <w:rsid w:val="00D70710"/>
    <w:rsid w:val="00D70810"/>
    <w:rsid w:val="00D70A82"/>
    <w:rsid w:val="00D70E1D"/>
    <w:rsid w:val="00D7106C"/>
    <w:rsid w:val="00D7144F"/>
    <w:rsid w:val="00D71A26"/>
    <w:rsid w:val="00D71B56"/>
    <w:rsid w:val="00D71CE0"/>
    <w:rsid w:val="00D71FE9"/>
    <w:rsid w:val="00D72096"/>
    <w:rsid w:val="00D72143"/>
    <w:rsid w:val="00D72373"/>
    <w:rsid w:val="00D726E6"/>
    <w:rsid w:val="00D72840"/>
    <w:rsid w:val="00D729F5"/>
    <w:rsid w:val="00D72A78"/>
    <w:rsid w:val="00D7308B"/>
    <w:rsid w:val="00D73155"/>
    <w:rsid w:val="00D734B2"/>
    <w:rsid w:val="00D737E4"/>
    <w:rsid w:val="00D738E4"/>
    <w:rsid w:val="00D73B4A"/>
    <w:rsid w:val="00D73D42"/>
    <w:rsid w:val="00D73F90"/>
    <w:rsid w:val="00D7468A"/>
    <w:rsid w:val="00D7478D"/>
    <w:rsid w:val="00D74BD4"/>
    <w:rsid w:val="00D74C89"/>
    <w:rsid w:val="00D7505B"/>
    <w:rsid w:val="00D750DB"/>
    <w:rsid w:val="00D7588C"/>
    <w:rsid w:val="00D75899"/>
    <w:rsid w:val="00D758B8"/>
    <w:rsid w:val="00D75962"/>
    <w:rsid w:val="00D75B27"/>
    <w:rsid w:val="00D75B9A"/>
    <w:rsid w:val="00D75D59"/>
    <w:rsid w:val="00D75DC0"/>
    <w:rsid w:val="00D760DD"/>
    <w:rsid w:val="00D76134"/>
    <w:rsid w:val="00D764F9"/>
    <w:rsid w:val="00D76665"/>
    <w:rsid w:val="00D76895"/>
    <w:rsid w:val="00D76928"/>
    <w:rsid w:val="00D76B06"/>
    <w:rsid w:val="00D76B85"/>
    <w:rsid w:val="00D76C09"/>
    <w:rsid w:val="00D76D2A"/>
    <w:rsid w:val="00D7723E"/>
    <w:rsid w:val="00D772DB"/>
    <w:rsid w:val="00D7737C"/>
    <w:rsid w:val="00D773D6"/>
    <w:rsid w:val="00D774E4"/>
    <w:rsid w:val="00D77942"/>
    <w:rsid w:val="00D77AFD"/>
    <w:rsid w:val="00D801F3"/>
    <w:rsid w:val="00D80385"/>
    <w:rsid w:val="00D80429"/>
    <w:rsid w:val="00D8054E"/>
    <w:rsid w:val="00D81076"/>
    <w:rsid w:val="00D81141"/>
    <w:rsid w:val="00D81420"/>
    <w:rsid w:val="00D816CE"/>
    <w:rsid w:val="00D81778"/>
    <w:rsid w:val="00D819BA"/>
    <w:rsid w:val="00D8204E"/>
    <w:rsid w:val="00D820AD"/>
    <w:rsid w:val="00D820CA"/>
    <w:rsid w:val="00D821E3"/>
    <w:rsid w:val="00D82A64"/>
    <w:rsid w:val="00D82F46"/>
    <w:rsid w:val="00D83221"/>
    <w:rsid w:val="00D832A4"/>
    <w:rsid w:val="00D8384A"/>
    <w:rsid w:val="00D83E05"/>
    <w:rsid w:val="00D83FE2"/>
    <w:rsid w:val="00D84010"/>
    <w:rsid w:val="00D843A3"/>
    <w:rsid w:val="00D84624"/>
    <w:rsid w:val="00D84811"/>
    <w:rsid w:val="00D84C55"/>
    <w:rsid w:val="00D852DF"/>
    <w:rsid w:val="00D85691"/>
    <w:rsid w:val="00D85AE5"/>
    <w:rsid w:val="00D85B37"/>
    <w:rsid w:val="00D85C96"/>
    <w:rsid w:val="00D861E7"/>
    <w:rsid w:val="00D863E2"/>
    <w:rsid w:val="00D864C1"/>
    <w:rsid w:val="00D86BE8"/>
    <w:rsid w:val="00D86FE8"/>
    <w:rsid w:val="00D8722C"/>
    <w:rsid w:val="00D8723F"/>
    <w:rsid w:val="00D874C3"/>
    <w:rsid w:val="00D8775B"/>
    <w:rsid w:val="00D877A9"/>
    <w:rsid w:val="00D877BE"/>
    <w:rsid w:val="00D8780E"/>
    <w:rsid w:val="00D87FB7"/>
    <w:rsid w:val="00D90008"/>
    <w:rsid w:val="00D90B5A"/>
    <w:rsid w:val="00D90C2B"/>
    <w:rsid w:val="00D90DE0"/>
    <w:rsid w:val="00D91168"/>
    <w:rsid w:val="00D91AF6"/>
    <w:rsid w:val="00D91C58"/>
    <w:rsid w:val="00D91CA4"/>
    <w:rsid w:val="00D91CA6"/>
    <w:rsid w:val="00D91DC0"/>
    <w:rsid w:val="00D91EB7"/>
    <w:rsid w:val="00D9200E"/>
    <w:rsid w:val="00D92028"/>
    <w:rsid w:val="00D92175"/>
    <w:rsid w:val="00D92249"/>
    <w:rsid w:val="00D923B2"/>
    <w:rsid w:val="00D925FC"/>
    <w:rsid w:val="00D92A4F"/>
    <w:rsid w:val="00D930B4"/>
    <w:rsid w:val="00D9315A"/>
    <w:rsid w:val="00D9352A"/>
    <w:rsid w:val="00D935C2"/>
    <w:rsid w:val="00D93914"/>
    <w:rsid w:val="00D93BE4"/>
    <w:rsid w:val="00D93D8F"/>
    <w:rsid w:val="00D93DAA"/>
    <w:rsid w:val="00D93F5B"/>
    <w:rsid w:val="00D93F5F"/>
    <w:rsid w:val="00D940AE"/>
    <w:rsid w:val="00D9455D"/>
    <w:rsid w:val="00D9470C"/>
    <w:rsid w:val="00D948E9"/>
    <w:rsid w:val="00D94DC1"/>
    <w:rsid w:val="00D94E41"/>
    <w:rsid w:val="00D94EB5"/>
    <w:rsid w:val="00D95156"/>
    <w:rsid w:val="00D953F1"/>
    <w:rsid w:val="00D954F0"/>
    <w:rsid w:val="00D95E1A"/>
    <w:rsid w:val="00D95FDB"/>
    <w:rsid w:val="00D96019"/>
    <w:rsid w:val="00D963DA"/>
    <w:rsid w:val="00D96493"/>
    <w:rsid w:val="00D9660A"/>
    <w:rsid w:val="00D9661C"/>
    <w:rsid w:val="00D96745"/>
    <w:rsid w:val="00D96799"/>
    <w:rsid w:val="00D96911"/>
    <w:rsid w:val="00D96B89"/>
    <w:rsid w:val="00D96C97"/>
    <w:rsid w:val="00D96E2C"/>
    <w:rsid w:val="00D96EB2"/>
    <w:rsid w:val="00D97364"/>
    <w:rsid w:val="00D976A2"/>
    <w:rsid w:val="00D97743"/>
    <w:rsid w:val="00D97852"/>
    <w:rsid w:val="00D97ACC"/>
    <w:rsid w:val="00D97E80"/>
    <w:rsid w:val="00D97EC9"/>
    <w:rsid w:val="00DA0425"/>
    <w:rsid w:val="00DA070D"/>
    <w:rsid w:val="00DA0E98"/>
    <w:rsid w:val="00DA102F"/>
    <w:rsid w:val="00DA127C"/>
    <w:rsid w:val="00DA1B52"/>
    <w:rsid w:val="00DA1D2E"/>
    <w:rsid w:val="00DA1E8A"/>
    <w:rsid w:val="00DA20B4"/>
    <w:rsid w:val="00DA231D"/>
    <w:rsid w:val="00DA2762"/>
    <w:rsid w:val="00DA292C"/>
    <w:rsid w:val="00DA2BD9"/>
    <w:rsid w:val="00DA2E18"/>
    <w:rsid w:val="00DA3154"/>
    <w:rsid w:val="00DA3220"/>
    <w:rsid w:val="00DA348A"/>
    <w:rsid w:val="00DA3560"/>
    <w:rsid w:val="00DA3C28"/>
    <w:rsid w:val="00DA4041"/>
    <w:rsid w:val="00DA43DE"/>
    <w:rsid w:val="00DA4510"/>
    <w:rsid w:val="00DA4646"/>
    <w:rsid w:val="00DA467D"/>
    <w:rsid w:val="00DA4EF6"/>
    <w:rsid w:val="00DA5186"/>
    <w:rsid w:val="00DA5792"/>
    <w:rsid w:val="00DA58BB"/>
    <w:rsid w:val="00DA5BEE"/>
    <w:rsid w:val="00DA5F61"/>
    <w:rsid w:val="00DA62A6"/>
    <w:rsid w:val="00DA6545"/>
    <w:rsid w:val="00DA65FC"/>
    <w:rsid w:val="00DA6737"/>
    <w:rsid w:val="00DA6884"/>
    <w:rsid w:val="00DA6A8C"/>
    <w:rsid w:val="00DA6CC9"/>
    <w:rsid w:val="00DA7221"/>
    <w:rsid w:val="00DA74FD"/>
    <w:rsid w:val="00DA7B28"/>
    <w:rsid w:val="00DA7B9E"/>
    <w:rsid w:val="00DA7BA8"/>
    <w:rsid w:val="00DA7BF2"/>
    <w:rsid w:val="00DA7DCE"/>
    <w:rsid w:val="00DA7F3C"/>
    <w:rsid w:val="00DB013D"/>
    <w:rsid w:val="00DB03B3"/>
    <w:rsid w:val="00DB0BC8"/>
    <w:rsid w:val="00DB113C"/>
    <w:rsid w:val="00DB1478"/>
    <w:rsid w:val="00DB15D8"/>
    <w:rsid w:val="00DB188F"/>
    <w:rsid w:val="00DB1BAD"/>
    <w:rsid w:val="00DB200A"/>
    <w:rsid w:val="00DB24D5"/>
    <w:rsid w:val="00DB265A"/>
    <w:rsid w:val="00DB2E0B"/>
    <w:rsid w:val="00DB2F35"/>
    <w:rsid w:val="00DB3163"/>
    <w:rsid w:val="00DB319F"/>
    <w:rsid w:val="00DB3457"/>
    <w:rsid w:val="00DB36B3"/>
    <w:rsid w:val="00DB37A2"/>
    <w:rsid w:val="00DB37CD"/>
    <w:rsid w:val="00DB3ABD"/>
    <w:rsid w:val="00DB3B19"/>
    <w:rsid w:val="00DB3CAE"/>
    <w:rsid w:val="00DB4266"/>
    <w:rsid w:val="00DB443E"/>
    <w:rsid w:val="00DB46F8"/>
    <w:rsid w:val="00DB4A58"/>
    <w:rsid w:val="00DB4ED6"/>
    <w:rsid w:val="00DB51CD"/>
    <w:rsid w:val="00DB51D7"/>
    <w:rsid w:val="00DB5B7B"/>
    <w:rsid w:val="00DB5ECD"/>
    <w:rsid w:val="00DB5EED"/>
    <w:rsid w:val="00DB5F4E"/>
    <w:rsid w:val="00DB62DE"/>
    <w:rsid w:val="00DB67CC"/>
    <w:rsid w:val="00DB69EE"/>
    <w:rsid w:val="00DB6C9D"/>
    <w:rsid w:val="00DB6EA9"/>
    <w:rsid w:val="00DB73DB"/>
    <w:rsid w:val="00DB741C"/>
    <w:rsid w:val="00DB7471"/>
    <w:rsid w:val="00DB7541"/>
    <w:rsid w:val="00DB755A"/>
    <w:rsid w:val="00DC018D"/>
    <w:rsid w:val="00DC07E4"/>
    <w:rsid w:val="00DC0D13"/>
    <w:rsid w:val="00DC0D31"/>
    <w:rsid w:val="00DC0DF6"/>
    <w:rsid w:val="00DC0EAC"/>
    <w:rsid w:val="00DC1015"/>
    <w:rsid w:val="00DC1168"/>
    <w:rsid w:val="00DC11D4"/>
    <w:rsid w:val="00DC1298"/>
    <w:rsid w:val="00DC1575"/>
    <w:rsid w:val="00DC15D5"/>
    <w:rsid w:val="00DC1605"/>
    <w:rsid w:val="00DC1725"/>
    <w:rsid w:val="00DC2032"/>
    <w:rsid w:val="00DC21D4"/>
    <w:rsid w:val="00DC22B0"/>
    <w:rsid w:val="00DC2A82"/>
    <w:rsid w:val="00DC2B94"/>
    <w:rsid w:val="00DC2DAA"/>
    <w:rsid w:val="00DC2E15"/>
    <w:rsid w:val="00DC2FA4"/>
    <w:rsid w:val="00DC3095"/>
    <w:rsid w:val="00DC341E"/>
    <w:rsid w:val="00DC3840"/>
    <w:rsid w:val="00DC40C5"/>
    <w:rsid w:val="00DC41B7"/>
    <w:rsid w:val="00DC43DA"/>
    <w:rsid w:val="00DC442E"/>
    <w:rsid w:val="00DC4A8F"/>
    <w:rsid w:val="00DC4AF9"/>
    <w:rsid w:val="00DC4BF7"/>
    <w:rsid w:val="00DC4CBE"/>
    <w:rsid w:val="00DC5844"/>
    <w:rsid w:val="00DC58AB"/>
    <w:rsid w:val="00DC5C25"/>
    <w:rsid w:val="00DC5FEA"/>
    <w:rsid w:val="00DC6540"/>
    <w:rsid w:val="00DC6AD5"/>
    <w:rsid w:val="00DC6F16"/>
    <w:rsid w:val="00DC70F6"/>
    <w:rsid w:val="00DC7103"/>
    <w:rsid w:val="00DC75FF"/>
    <w:rsid w:val="00DC79D2"/>
    <w:rsid w:val="00DC7AFC"/>
    <w:rsid w:val="00DC7E03"/>
    <w:rsid w:val="00DD0175"/>
    <w:rsid w:val="00DD020A"/>
    <w:rsid w:val="00DD04D9"/>
    <w:rsid w:val="00DD097A"/>
    <w:rsid w:val="00DD1342"/>
    <w:rsid w:val="00DD1348"/>
    <w:rsid w:val="00DD15BB"/>
    <w:rsid w:val="00DD15C6"/>
    <w:rsid w:val="00DD15E0"/>
    <w:rsid w:val="00DD174B"/>
    <w:rsid w:val="00DD1970"/>
    <w:rsid w:val="00DD1BFB"/>
    <w:rsid w:val="00DD1D31"/>
    <w:rsid w:val="00DD2623"/>
    <w:rsid w:val="00DD28C5"/>
    <w:rsid w:val="00DD2BCE"/>
    <w:rsid w:val="00DD2C30"/>
    <w:rsid w:val="00DD2DA0"/>
    <w:rsid w:val="00DD3301"/>
    <w:rsid w:val="00DD392F"/>
    <w:rsid w:val="00DD3971"/>
    <w:rsid w:val="00DD3BB7"/>
    <w:rsid w:val="00DD3BD3"/>
    <w:rsid w:val="00DD3C7E"/>
    <w:rsid w:val="00DD3E57"/>
    <w:rsid w:val="00DD4019"/>
    <w:rsid w:val="00DD40F9"/>
    <w:rsid w:val="00DD41C4"/>
    <w:rsid w:val="00DD422A"/>
    <w:rsid w:val="00DD4347"/>
    <w:rsid w:val="00DD4729"/>
    <w:rsid w:val="00DD48CB"/>
    <w:rsid w:val="00DD4904"/>
    <w:rsid w:val="00DD4E2D"/>
    <w:rsid w:val="00DD4E69"/>
    <w:rsid w:val="00DD5140"/>
    <w:rsid w:val="00DD54A9"/>
    <w:rsid w:val="00DD5E19"/>
    <w:rsid w:val="00DD5E81"/>
    <w:rsid w:val="00DD689F"/>
    <w:rsid w:val="00DD691B"/>
    <w:rsid w:val="00DD6E67"/>
    <w:rsid w:val="00DD7006"/>
    <w:rsid w:val="00DD7168"/>
    <w:rsid w:val="00DD75BF"/>
    <w:rsid w:val="00DD75D9"/>
    <w:rsid w:val="00DD7812"/>
    <w:rsid w:val="00DD791C"/>
    <w:rsid w:val="00DD7964"/>
    <w:rsid w:val="00DD79D0"/>
    <w:rsid w:val="00DD7E6C"/>
    <w:rsid w:val="00DE024C"/>
    <w:rsid w:val="00DE0427"/>
    <w:rsid w:val="00DE0913"/>
    <w:rsid w:val="00DE0A47"/>
    <w:rsid w:val="00DE0A97"/>
    <w:rsid w:val="00DE11C1"/>
    <w:rsid w:val="00DE1840"/>
    <w:rsid w:val="00DE18B9"/>
    <w:rsid w:val="00DE19D4"/>
    <w:rsid w:val="00DE1C40"/>
    <w:rsid w:val="00DE1F19"/>
    <w:rsid w:val="00DE2129"/>
    <w:rsid w:val="00DE2477"/>
    <w:rsid w:val="00DE2B0D"/>
    <w:rsid w:val="00DE302A"/>
    <w:rsid w:val="00DE31D2"/>
    <w:rsid w:val="00DE365E"/>
    <w:rsid w:val="00DE38E5"/>
    <w:rsid w:val="00DE3F62"/>
    <w:rsid w:val="00DE40BA"/>
    <w:rsid w:val="00DE41F2"/>
    <w:rsid w:val="00DE4309"/>
    <w:rsid w:val="00DE43D5"/>
    <w:rsid w:val="00DE471A"/>
    <w:rsid w:val="00DE4916"/>
    <w:rsid w:val="00DE49D3"/>
    <w:rsid w:val="00DE4C81"/>
    <w:rsid w:val="00DE4CF8"/>
    <w:rsid w:val="00DE4E6D"/>
    <w:rsid w:val="00DE4F93"/>
    <w:rsid w:val="00DE4FEB"/>
    <w:rsid w:val="00DE5244"/>
    <w:rsid w:val="00DE542E"/>
    <w:rsid w:val="00DE55E8"/>
    <w:rsid w:val="00DE5689"/>
    <w:rsid w:val="00DE5700"/>
    <w:rsid w:val="00DE5C81"/>
    <w:rsid w:val="00DE5D57"/>
    <w:rsid w:val="00DE626B"/>
    <w:rsid w:val="00DE62F2"/>
    <w:rsid w:val="00DE63FC"/>
    <w:rsid w:val="00DE6455"/>
    <w:rsid w:val="00DE651C"/>
    <w:rsid w:val="00DE6786"/>
    <w:rsid w:val="00DE6916"/>
    <w:rsid w:val="00DE6A66"/>
    <w:rsid w:val="00DE6BE2"/>
    <w:rsid w:val="00DE6D1E"/>
    <w:rsid w:val="00DE6D57"/>
    <w:rsid w:val="00DE6E72"/>
    <w:rsid w:val="00DE70AB"/>
    <w:rsid w:val="00DE7201"/>
    <w:rsid w:val="00DE74E3"/>
    <w:rsid w:val="00DE767C"/>
    <w:rsid w:val="00DE7860"/>
    <w:rsid w:val="00DE78EA"/>
    <w:rsid w:val="00DE79A3"/>
    <w:rsid w:val="00DE7AC1"/>
    <w:rsid w:val="00DE7B29"/>
    <w:rsid w:val="00DE7C3D"/>
    <w:rsid w:val="00DE7C9D"/>
    <w:rsid w:val="00DF0158"/>
    <w:rsid w:val="00DF026A"/>
    <w:rsid w:val="00DF02F8"/>
    <w:rsid w:val="00DF0425"/>
    <w:rsid w:val="00DF04AD"/>
    <w:rsid w:val="00DF0840"/>
    <w:rsid w:val="00DF0A6D"/>
    <w:rsid w:val="00DF0ADC"/>
    <w:rsid w:val="00DF0D97"/>
    <w:rsid w:val="00DF0E89"/>
    <w:rsid w:val="00DF1038"/>
    <w:rsid w:val="00DF11A7"/>
    <w:rsid w:val="00DF11C4"/>
    <w:rsid w:val="00DF129C"/>
    <w:rsid w:val="00DF133E"/>
    <w:rsid w:val="00DF16A3"/>
    <w:rsid w:val="00DF16AE"/>
    <w:rsid w:val="00DF16C4"/>
    <w:rsid w:val="00DF1958"/>
    <w:rsid w:val="00DF1CA7"/>
    <w:rsid w:val="00DF1D71"/>
    <w:rsid w:val="00DF1F66"/>
    <w:rsid w:val="00DF216D"/>
    <w:rsid w:val="00DF21B6"/>
    <w:rsid w:val="00DF2239"/>
    <w:rsid w:val="00DF2516"/>
    <w:rsid w:val="00DF2563"/>
    <w:rsid w:val="00DF26FC"/>
    <w:rsid w:val="00DF2D1F"/>
    <w:rsid w:val="00DF2E7B"/>
    <w:rsid w:val="00DF2F16"/>
    <w:rsid w:val="00DF31A7"/>
    <w:rsid w:val="00DF33A5"/>
    <w:rsid w:val="00DF3783"/>
    <w:rsid w:val="00DF39D4"/>
    <w:rsid w:val="00DF3C59"/>
    <w:rsid w:val="00DF3DBF"/>
    <w:rsid w:val="00DF3DD8"/>
    <w:rsid w:val="00DF3F4C"/>
    <w:rsid w:val="00DF41D2"/>
    <w:rsid w:val="00DF4342"/>
    <w:rsid w:val="00DF4723"/>
    <w:rsid w:val="00DF47AE"/>
    <w:rsid w:val="00DF4D74"/>
    <w:rsid w:val="00DF537C"/>
    <w:rsid w:val="00DF55F9"/>
    <w:rsid w:val="00DF5932"/>
    <w:rsid w:val="00DF59FC"/>
    <w:rsid w:val="00DF5B04"/>
    <w:rsid w:val="00DF5B0D"/>
    <w:rsid w:val="00DF5B20"/>
    <w:rsid w:val="00DF5B3A"/>
    <w:rsid w:val="00DF5CDF"/>
    <w:rsid w:val="00DF5CE7"/>
    <w:rsid w:val="00DF5CF1"/>
    <w:rsid w:val="00DF5F12"/>
    <w:rsid w:val="00DF604D"/>
    <w:rsid w:val="00DF6148"/>
    <w:rsid w:val="00DF64D8"/>
    <w:rsid w:val="00DF65C9"/>
    <w:rsid w:val="00DF67A8"/>
    <w:rsid w:val="00DF6A6C"/>
    <w:rsid w:val="00DF6B13"/>
    <w:rsid w:val="00DF6BAF"/>
    <w:rsid w:val="00DF70AF"/>
    <w:rsid w:val="00DF7183"/>
    <w:rsid w:val="00DF71B2"/>
    <w:rsid w:val="00DF7215"/>
    <w:rsid w:val="00DF754A"/>
    <w:rsid w:val="00DF7706"/>
    <w:rsid w:val="00DF77FC"/>
    <w:rsid w:val="00DF7994"/>
    <w:rsid w:val="00E000C6"/>
    <w:rsid w:val="00E0034B"/>
    <w:rsid w:val="00E00414"/>
    <w:rsid w:val="00E005F9"/>
    <w:rsid w:val="00E00694"/>
    <w:rsid w:val="00E006B3"/>
    <w:rsid w:val="00E00849"/>
    <w:rsid w:val="00E009E3"/>
    <w:rsid w:val="00E00B16"/>
    <w:rsid w:val="00E00C2B"/>
    <w:rsid w:val="00E00CCD"/>
    <w:rsid w:val="00E010DA"/>
    <w:rsid w:val="00E012F7"/>
    <w:rsid w:val="00E01E67"/>
    <w:rsid w:val="00E02385"/>
    <w:rsid w:val="00E0257A"/>
    <w:rsid w:val="00E02901"/>
    <w:rsid w:val="00E029A1"/>
    <w:rsid w:val="00E02C69"/>
    <w:rsid w:val="00E02D17"/>
    <w:rsid w:val="00E02DC6"/>
    <w:rsid w:val="00E0331C"/>
    <w:rsid w:val="00E03491"/>
    <w:rsid w:val="00E03974"/>
    <w:rsid w:val="00E03A59"/>
    <w:rsid w:val="00E03AF2"/>
    <w:rsid w:val="00E03BB4"/>
    <w:rsid w:val="00E052F0"/>
    <w:rsid w:val="00E05341"/>
    <w:rsid w:val="00E0541D"/>
    <w:rsid w:val="00E0565F"/>
    <w:rsid w:val="00E05F80"/>
    <w:rsid w:val="00E06017"/>
    <w:rsid w:val="00E062C2"/>
    <w:rsid w:val="00E06529"/>
    <w:rsid w:val="00E06A1F"/>
    <w:rsid w:val="00E07231"/>
    <w:rsid w:val="00E072E3"/>
    <w:rsid w:val="00E07416"/>
    <w:rsid w:val="00E0773A"/>
    <w:rsid w:val="00E0786F"/>
    <w:rsid w:val="00E0797A"/>
    <w:rsid w:val="00E0797E"/>
    <w:rsid w:val="00E07BBB"/>
    <w:rsid w:val="00E07EDD"/>
    <w:rsid w:val="00E07F79"/>
    <w:rsid w:val="00E10585"/>
    <w:rsid w:val="00E1094D"/>
    <w:rsid w:val="00E10A79"/>
    <w:rsid w:val="00E10BFC"/>
    <w:rsid w:val="00E10E6B"/>
    <w:rsid w:val="00E11329"/>
    <w:rsid w:val="00E113DC"/>
    <w:rsid w:val="00E11C30"/>
    <w:rsid w:val="00E11CD5"/>
    <w:rsid w:val="00E12193"/>
    <w:rsid w:val="00E121BD"/>
    <w:rsid w:val="00E1224D"/>
    <w:rsid w:val="00E12464"/>
    <w:rsid w:val="00E1249E"/>
    <w:rsid w:val="00E12683"/>
    <w:rsid w:val="00E12898"/>
    <w:rsid w:val="00E12952"/>
    <w:rsid w:val="00E12B42"/>
    <w:rsid w:val="00E12FC6"/>
    <w:rsid w:val="00E13BBC"/>
    <w:rsid w:val="00E13E57"/>
    <w:rsid w:val="00E141A7"/>
    <w:rsid w:val="00E1482A"/>
    <w:rsid w:val="00E148D6"/>
    <w:rsid w:val="00E15320"/>
    <w:rsid w:val="00E15A5C"/>
    <w:rsid w:val="00E15B2A"/>
    <w:rsid w:val="00E15CD4"/>
    <w:rsid w:val="00E15E1B"/>
    <w:rsid w:val="00E16392"/>
    <w:rsid w:val="00E16432"/>
    <w:rsid w:val="00E164F2"/>
    <w:rsid w:val="00E16BD7"/>
    <w:rsid w:val="00E16BDB"/>
    <w:rsid w:val="00E16DA3"/>
    <w:rsid w:val="00E17023"/>
    <w:rsid w:val="00E17042"/>
    <w:rsid w:val="00E17774"/>
    <w:rsid w:val="00E17BD4"/>
    <w:rsid w:val="00E17E7E"/>
    <w:rsid w:val="00E20184"/>
    <w:rsid w:val="00E203C2"/>
    <w:rsid w:val="00E20431"/>
    <w:rsid w:val="00E20468"/>
    <w:rsid w:val="00E206E9"/>
    <w:rsid w:val="00E209AB"/>
    <w:rsid w:val="00E20AE2"/>
    <w:rsid w:val="00E210C0"/>
    <w:rsid w:val="00E2111B"/>
    <w:rsid w:val="00E212A6"/>
    <w:rsid w:val="00E216F7"/>
    <w:rsid w:val="00E21A4D"/>
    <w:rsid w:val="00E21B03"/>
    <w:rsid w:val="00E21F76"/>
    <w:rsid w:val="00E22227"/>
    <w:rsid w:val="00E229A0"/>
    <w:rsid w:val="00E22B4A"/>
    <w:rsid w:val="00E22D62"/>
    <w:rsid w:val="00E22EF1"/>
    <w:rsid w:val="00E22F2F"/>
    <w:rsid w:val="00E23294"/>
    <w:rsid w:val="00E23419"/>
    <w:rsid w:val="00E2345D"/>
    <w:rsid w:val="00E237E5"/>
    <w:rsid w:val="00E23817"/>
    <w:rsid w:val="00E23832"/>
    <w:rsid w:val="00E238A3"/>
    <w:rsid w:val="00E23D42"/>
    <w:rsid w:val="00E245C8"/>
    <w:rsid w:val="00E24681"/>
    <w:rsid w:val="00E246EE"/>
    <w:rsid w:val="00E24A4F"/>
    <w:rsid w:val="00E24B6D"/>
    <w:rsid w:val="00E24C40"/>
    <w:rsid w:val="00E24C77"/>
    <w:rsid w:val="00E24D60"/>
    <w:rsid w:val="00E24FC8"/>
    <w:rsid w:val="00E25531"/>
    <w:rsid w:val="00E25546"/>
    <w:rsid w:val="00E257AB"/>
    <w:rsid w:val="00E25C07"/>
    <w:rsid w:val="00E25F05"/>
    <w:rsid w:val="00E26033"/>
    <w:rsid w:val="00E26263"/>
    <w:rsid w:val="00E26671"/>
    <w:rsid w:val="00E266A6"/>
    <w:rsid w:val="00E2678B"/>
    <w:rsid w:val="00E269DF"/>
    <w:rsid w:val="00E26AB5"/>
    <w:rsid w:val="00E26AB6"/>
    <w:rsid w:val="00E26D1E"/>
    <w:rsid w:val="00E26D89"/>
    <w:rsid w:val="00E270A0"/>
    <w:rsid w:val="00E2725C"/>
    <w:rsid w:val="00E276E9"/>
    <w:rsid w:val="00E27A38"/>
    <w:rsid w:val="00E27BEC"/>
    <w:rsid w:val="00E27C1E"/>
    <w:rsid w:val="00E27DA4"/>
    <w:rsid w:val="00E27EA0"/>
    <w:rsid w:val="00E302C0"/>
    <w:rsid w:val="00E302CB"/>
    <w:rsid w:val="00E30633"/>
    <w:rsid w:val="00E30E3D"/>
    <w:rsid w:val="00E30F44"/>
    <w:rsid w:val="00E31391"/>
    <w:rsid w:val="00E313CF"/>
    <w:rsid w:val="00E3177D"/>
    <w:rsid w:val="00E31842"/>
    <w:rsid w:val="00E31924"/>
    <w:rsid w:val="00E319C5"/>
    <w:rsid w:val="00E31BF5"/>
    <w:rsid w:val="00E31FF9"/>
    <w:rsid w:val="00E32055"/>
    <w:rsid w:val="00E320F1"/>
    <w:rsid w:val="00E32216"/>
    <w:rsid w:val="00E3264F"/>
    <w:rsid w:val="00E32792"/>
    <w:rsid w:val="00E32E7A"/>
    <w:rsid w:val="00E332D1"/>
    <w:rsid w:val="00E3393A"/>
    <w:rsid w:val="00E33940"/>
    <w:rsid w:val="00E33B0F"/>
    <w:rsid w:val="00E33CC9"/>
    <w:rsid w:val="00E33E87"/>
    <w:rsid w:val="00E33F08"/>
    <w:rsid w:val="00E33F56"/>
    <w:rsid w:val="00E34055"/>
    <w:rsid w:val="00E341B2"/>
    <w:rsid w:val="00E34534"/>
    <w:rsid w:val="00E34873"/>
    <w:rsid w:val="00E3491C"/>
    <w:rsid w:val="00E34AE1"/>
    <w:rsid w:val="00E34D90"/>
    <w:rsid w:val="00E34E66"/>
    <w:rsid w:val="00E350EE"/>
    <w:rsid w:val="00E3527A"/>
    <w:rsid w:val="00E3540A"/>
    <w:rsid w:val="00E356FD"/>
    <w:rsid w:val="00E35726"/>
    <w:rsid w:val="00E35AD7"/>
    <w:rsid w:val="00E35E1F"/>
    <w:rsid w:val="00E36030"/>
    <w:rsid w:val="00E360BF"/>
    <w:rsid w:val="00E3666C"/>
    <w:rsid w:val="00E369BC"/>
    <w:rsid w:val="00E36A62"/>
    <w:rsid w:val="00E36B3F"/>
    <w:rsid w:val="00E36D3B"/>
    <w:rsid w:val="00E36D3F"/>
    <w:rsid w:val="00E36E50"/>
    <w:rsid w:val="00E36EB9"/>
    <w:rsid w:val="00E36F7F"/>
    <w:rsid w:val="00E37124"/>
    <w:rsid w:val="00E376E9"/>
    <w:rsid w:val="00E4022B"/>
    <w:rsid w:val="00E40B1E"/>
    <w:rsid w:val="00E40DA5"/>
    <w:rsid w:val="00E41107"/>
    <w:rsid w:val="00E41257"/>
    <w:rsid w:val="00E412FE"/>
    <w:rsid w:val="00E413A7"/>
    <w:rsid w:val="00E41BBC"/>
    <w:rsid w:val="00E41C77"/>
    <w:rsid w:val="00E41EE3"/>
    <w:rsid w:val="00E424FB"/>
    <w:rsid w:val="00E427A8"/>
    <w:rsid w:val="00E42AE5"/>
    <w:rsid w:val="00E42DE5"/>
    <w:rsid w:val="00E42FBF"/>
    <w:rsid w:val="00E4327B"/>
    <w:rsid w:val="00E43622"/>
    <w:rsid w:val="00E43675"/>
    <w:rsid w:val="00E43918"/>
    <w:rsid w:val="00E43AAA"/>
    <w:rsid w:val="00E43FA7"/>
    <w:rsid w:val="00E43FBE"/>
    <w:rsid w:val="00E4429C"/>
    <w:rsid w:val="00E445EE"/>
    <w:rsid w:val="00E446A3"/>
    <w:rsid w:val="00E44B2F"/>
    <w:rsid w:val="00E44CC4"/>
    <w:rsid w:val="00E44ECE"/>
    <w:rsid w:val="00E4537E"/>
    <w:rsid w:val="00E455C7"/>
    <w:rsid w:val="00E457F1"/>
    <w:rsid w:val="00E45B4B"/>
    <w:rsid w:val="00E45F1E"/>
    <w:rsid w:val="00E45F5B"/>
    <w:rsid w:val="00E46070"/>
    <w:rsid w:val="00E466E8"/>
    <w:rsid w:val="00E46D19"/>
    <w:rsid w:val="00E47209"/>
    <w:rsid w:val="00E47615"/>
    <w:rsid w:val="00E47C93"/>
    <w:rsid w:val="00E47E87"/>
    <w:rsid w:val="00E47FDC"/>
    <w:rsid w:val="00E501AD"/>
    <w:rsid w:val="00E50548"/>
    <w:rsid w:val="00E5077A"/>
    <w:rsid w:val="00E50DD0"/>
    <w:rsid w:val="00E50E4D"/>
    <w:rsid w:val="00E513D4"/>
    <w:rsid w:val="00E5141F"/>
    <w:rsid w:val="00E5161F"/>
    <w:rsid w:val="00E51FC1"/>
    <w:rsid w:val="00E523B5"/>
    <w:rsid w:val="00E52573"/>
    <w:rsid w:val="00E526B5"/>
    <w:rsid w:val="00E5286C"/>
    <w:rsid w:val="00E52B84"/>
    <w:rsid w:val="00E52C3C"/>
    <w:rsid w:val="00E53079"/>
    <w:rsid w:val="00E53357"/>
    <w:rsid w:val="00E535B8"/>
    <w:rsid w:val="00E53750"/>
    <w:rsid w:val="00E53873"/>
    <w:rsid w:val="00E53E6A"/>
    <w:rsid w:val="00E54290"/>
    <w:rsid w:val="00E5441F"/>
    <w:rsid w:val="00E54535"/>
    <w:rsid w:val="00E545EA"/>
    <w:rsid w:val="00E549D9"/>
    <w:rsid w:val="00E54FD5"/>
    <w:rsid w:val="00E55002"/>
    <w:rsid w:val="00E554A1"/>
    <w:rsid w:val="00E5576F"/>
    <w:rsid w:val="00E5599E"/>
    <w:rsid w:val="00E55B86"/>
    <w:rsid w:val="00E55D34"/>
    <w:rsid w:val="00E55EA9"/>
    <w:rsid w:val="00E56045"/>
    <w:rsid w:val="00E56505"/>
    <w:rsid w:val="00E56837"/>
    <w:rsid w:val="00E5686A"/>
    <w:rsid w:val="00E5694C"/>
    <w:rsid w:val="00E5697C"/>
    <w:rsid w:val="00E56B43"/>
    <w:rsid w:val="00E56CD7"/>
    <w:rsid w:val="00E56EF1"/>
    <w:rsid w:val="00E5716F"/>
    <w:rsid w:val="00E57502"/>
    <w:rsid w:val="00E575E0"/>
    <w:rsid w:val="00E57609"/>
    <w:rsid w:val="00E576AD"/>
    <w:rsid w:val="00E577B0"/>
    <w:rsid w:val="00E577C4"/>
    <w:rsid w:val="00E57A8D"/>
    <w:rsid w:val="00E57CBC"/>
    <w:rsid w:val="00E57D17"/>
    <w:rsid w:val="00E57F4E"/>
    <w:rsid w:val="00E6033E"/>
    <w:rsid w:val="00E6072A"/>
    <w:rsid w:val="00E60AF5"/>
    <w:rsid w:val="00E60DE9"/>
    <w:rsid w:val="00E60FCB"/>
    <w:rsid w:val="00E6108E"/>
    <w:rsid w:val="00E6153E"/>
    <w:rsid w:val="00E615F4"/>
    <w:rsid w:val="00E619B8"/>
    <w:rsid w:val="00E61B11"/>
    <w:rsid w:val="00E61C3C"/>
    <w:rsid w:val="00E61D2E"/>
    <w:rsid w:val="00E62033"/>
    <w:rsid w:val="00E621F0"/>
    <w:rsid w:val="00E62B1C"/>
    <w:rsid w:val="00E62F6C"/>
    <w:rsid w:val="00E63049"/>
    <w:rsid w:val="00E63254"/>
    <w:rsid w:val="00E633CE"/>
    <w:rsid w:val="00E63705"/>
    <w:rsid w:val="00E63924"/>
    <w:rsid w:val="00E63AB9"/>
    <w:rsid w:val="00E63B42"/>
    <w:rsid w:val="00E63E6B"/>
    <w:rsid w:val="00E64055"/>
    <w:rsid w:val="00E645C8"/>
    <w:rsid w:val="00E649EF"/>
    <w:rsid w:val="00E64C04"/>
    <w:rsid w:val="00E64DC1"/>
    <w:rsid w:val="00E651DB"/>
    <w:rsid w:val="00E652BF"/>
    <w:rsid w:val="00E65489"/>
    <w:rsid w:val="00E6556B"/>
    <w:rsid w:val="00E655B8"/>
    <w:rsid w:val="00E658E9"/>
    <w:rsid w:val="00E65C01"/>
    <w:rsid w:val="00E65C1F"/>
    <w:rsid w:val="00E6617F"/>
    <w:rsid w:val="00E66526"/>
    <w:rsid w:val="00E66639"/>
    <w:rsid w:val="00E66806"/>
    <w:rsid w:val="00E66BCF"/>
    <w:rsid w:val="00E66CAD"/>
    <w:rsid w:val="00E66FB7"/>
    <w:rsid w:val="00E67755"/>
    <w:rsid w:val="00E67CA2"/>
    <w:rsid w:val="00E67D02"/>
    <w:rsid w:val="00E67E4F"/>
    <w:rsid w:val="00E67F57"/>
    <w:rsid w:val="00E67F70"/>
    <w:rsid w:val="00E70613"/>
    <w:rsid w:val="00E70A3F"/>
    <w:rsid w:val="00E70D56"/>
    <w:rsid w:val="00E71014"/>
    <w:rsid w:val="00E71071"/>
    <w:rsid w:val="00E71205"/>
    <w:rsid w:val="00E71273"/>
    <w:rsid w:val="00E7130E"/>
    <w:rsid w:val="00E71421"/>
    <w:rsid w:val="00E71590"/>
    <w:rsid w:val="00E717B9"/>
    <w:rsid w:val="00E7193C"/>
    <w:rsid w:val="00E71B32"/>
    <w:rsid w:val="00E721B6"/>
    <w:rsid w:val="00E7237A"/>
    <w:rsid w:val="00E7278E"/>
    <w:rsid w:val="00E72A18"/>
    <w:rsid w:val="00E72CE2"/>
    <w:rsid w:val="00E731CD"/>
    <w:rsid w:val="00E73205"/>
    <w:rsid w:val="00E73740"/>
    <w:rsid w:val="00E73D7E"/>
    <w:rsid w:val="00E73E3A"/>
    <w:rsid w:val="00E73E6D"/>
    <w:rsid w:val="00E7406D"/>
    <w:rsid w:val="00E74204"/>
    <w:rsid w:val="00E74490"/>
    <w:rsid w:val="00E748B4"/>
    <w:rsid w:val="00E7496D"/>
    <w:rsid w:val="00E74CCD"/>
    <w:rsid w:val="00E751B7"/>
    <w:rsid w:val="00E75436"/>
    <w:rsid w:val="00E757C8"/>
    <w:rsid w:val="00E75AEA"/>
    <w:rsid w:val="00E75CF8"/>
    <w:rsid w:val="00E7609E"/>
    <w:rsid w:val="00E7637A"/>
    <w:rsid w:val="00E76D02"/>
    <w:rsid w:val="00E76E26"/>
    <w:rsid w:val="00E76E63"/>
    <w:rsid w:val="00E76EFB"/>
    <w:rsid w:val="00E772A2"/>
    <w:rsid w:val="00E772DD"/>
    <w:rsid w:val="00E77DC2"/>
    <w:rsid w:val="00E77E2F"/>
    <w:rsid w:val="00E800C1"/>
    <w:rsid w:val="00E802ED"/>
    <w:rsid w:val="00E803B5"/>
    <w:rsid w:val="00E80405"/>
    <w:rsid w:val="00E8048C"/>
    <w:rsid w:val="00E804A2"/>
    <w:rsid w:val="00E805EF"/>
    <w:rsid w:val="00E80861"/>
    <w:rsid w:val="00E80E0F"/>
    <w:rsid w:val="00E81055"/>
    <w:rsid w:val="00E81116"/>
    <w:rsid w:val="00E812A2"/>
    <w:rsid w:val="00E8143E"/>
    <w:rsid w:val="00E818E4"/>
    <w:rsid w:val="00E81D2A"/>
    <w:rsid w:val="00E82154"/>
    <w:rsid w:val="00E827FA"/>
    <w:rsid w:val="00E829E6"/>
    <w:rsid w:val="00E831BD"/>
    <w:rsid w:val="00E835B2"/>
    <w:rsid w:val="00E8386D"/>
    <w:rsid w:val="00E83B89"/>
    <w:rsid w:val="00E83C74"/>
    <w:rsid w:val="00E841AD"/>
    <w:rsid w:val="00E842D6"/>
    <w:rsid w:val="00E8435A"/>
    <w:rsid w:val="00E8440C"/>
    <w:rsid w:val="00E846C1"/>
    <w:rsid w:val="00E84847"/>
    <w:rsid w:val="00E848F4"/>
    <w:rsid w:val="00E84AC4"/>
    <w:rsid w:val="00E84B11"/>
    <w:rsid w:val="00E84E17"/>
    <w:rsid w:val="00E856A2"/>
    <w:rsid w:val="00E859F9"/>
    <w:rsid w:val="00E85DB0"/>
    <w:rsid w:val="00E85EDE"/>
    <w:rsid w:val="00E8641D"/>
    <w:rsid w:val="00E86B1D"/>
    <w:rsid w:val="00E86F59"/>
    <w:rsid w:val="00E8704A"/>
    <w:rsid w:val="00E871DD"/>
    <w:rsid w:val="00E8722F"/>
    <w:rsid w:val="00E87296"/>
    <w:rsid w:val="00E875B6"/>
    <w:rsid w:val="00E87BEE"/>
    <w:rsid w:val="00E87CD0"/>
    <w:rsid w:val="00E87F5F"/>
    <w:rsid w:val="00E87F89"/>
    <w:rsid w:val="00E90195"/>
    <w:rsid w:val="00E901AF"/>
    <w:rsid w:val="00E901E5"/>
    <w:rsid w:val="00E90D11"/>
    <w:rsid w:val="00E9115A"/>
    <w:rsid w:val="00E911A9"/>
    <w:rsid w:val="00E912BD"/>
    <w:rsid w:val="00E91865"/>
    <w:rsid w:val="00E91A9E"/>
    <w:rsid w:val="00E91C42"/>
    <w:rsid w:val="00E91FDB"/>
    <w:rsid w:val="00E925DB"/>
    <w:rsid w:val="00E927B5"/>
    <w:rsid w:val="00E92AE5"/>
    <w:rsid w:val="00E92C9C"/>
    <w:rsid w:val="00E92CFC"/>
    <w:rsid w:val="00E92D3E"/>
    <w:rsid w:val="00E92DB5"/>
    <w:rsid w:val="00E93029"/>
    <w:rsid w:val="00E931D5"/>
    <w:rsid w:val="00E931F7"/>
    <w:rsid w:val="00E93A27"/>
    <w:rsid w:val="00E93F6E"/>
    <w:rsid w:val="00E93FE9"/>
    <w:rsid w:val="00E94162"/>
    <w:rsid w:val="00E946AE"/>
    <w:rsid w:val="00E947A3"/>
    <w:rsid w:val="00E94B0E"/>
    <w:rsid w:val="00E94C6B"/>
    <w:rsid w:val="00E95019"/>
    <w:rsid w:val="00E9521A"/>
    <w:rsid w:val="00E955B0"/>
    <w:rsid w:val="00E955B4"/>
    <w:rsid w:val="00E956D9"/>
    <w:rsid w:val="00E95A34"/>
    <w:rsid w:val="00E95E7D"/>
    <w:rsid w:val="00E96039"/>
    <w:rsid w:val="00E96151"/>
    <w:rsid w:val="00E962D1"/>
    <w:rsid w:val="00E96500"/>
    <w:rsid w:val="00E966E5"/>
    <w:rsid w:val="00E968D0"/>
    <w:rsid w:val="00E96A09"/>
    <w:rsid w:val="00E96B56"/>
    <w:rsid w:val="00E96C30"/>
    <w:rsid w:val="00E9700D"/>
    <w:rsid w:val="00E9703A"/>
    <w:rsid w:val="00E97044"/>
    <w:rsid w:val="00E971F5"/>
    <w:rsid w:val="00E97A60"/>
    <w:rsid w:val="00E97E79"/>
    <w:rsid w:val="00E9CDAD"/>
    <w:rsid w:val="00EA0202"/>
    <w:rsid w:val="00EA026F"/>
    <w:rsid w:val="00EA02E3"/>
    <w:rsid w:val="00EA0652"/>
    <w:rsid w:val="00EA065C"/>
    <w:rsid w:val="00EA07CE"/>
    <w:rsid w:val="00EA0982"/>
    <w:rsid w:val="00EA0DBB"/>
    <w:rsid w:val="00EA10A9"/>
    <w:rsid w:val="00EA1800"/>
    <w:rsid w:val="00EA1823"/>
    <w:rsid w:val="00EA200D"/>
    <w:rsid w:val="00EA20AB"/>
    <w:rsid w:val="00EA20E2"/>
    <w:rsid w:val="00EA23E9"/>
    <w:rsid w:val="00EA25FD"/>
    <w:rsid w:val="00EA27CB"/>
    <w:rsid w:val="00EA2996"/>
    <w:rsid w:val="00EA2A74"/>
    <w:rsid w:val="00EA2B0E"/>
    <w:rsid w:val="00EA2D59"/>
    <w:rsid w:val="00EA2DF0"/>
    <w:rsid w:val="00EA2E0C"/>
    <w:rsid w:val="00EA2FC1"/>
    <w:rsid w:val="00EA30A1"/>
    <w:rsid w:val="00EA370D"/>
    <w:rsid w:val="00EA386C"/>
    <w:rsid w:val="00EA3EC1"/>
    <w:rsid w:val="00EA3FCF"/>
    <w:rsid w:val="00EA4814"/>
    <w:rsid w:val="00EA48F1"/>
    <w:rsid w:val="00EA4B21"/>
    <w:rsid w:val="00EA4B83"/>
    <w:rsid w:val="00EA4CB3"/>
    <w:rsid w:val="00EA4E25"/>
    <w:rsid w:val="00EA5329"/>
    <w:rsid w:val="00EA5596"/>
    <w:rsid w:val="00EA56D3"/>
    <w:rsid w:val="00EA56F1"/>
    <w:rsid w:val="00EA5901"/>
    <w:rsid w:val="00EA595D"/>
    <w:rsid w:val="00EA5BBC"/>
    <w:rsid w:val="00EA5BFB"/>
    <w:rsid w:val="00EA5D40"/>
    <w:rsid w:val="00EA6023"/>
    <w:rsid w:val="00EA66E3"/>
    <w:rsid w:val="00EA677E"/>
    <w:rsid w:val="00EA6815"/>
    <w:rsid w:val="00EA6C71"/>
    <w:rsid w:val="00EA6CDE"/>
    <w:rsid w:val="00EA71D7"/>
    <w:rsid w:val="00EA7682"/>
    <w:rsid w:val="00EA7792"/>
    <w:rsid w:val="00EA79CC"/>
    <w:rsid w:val="00EA7ED8"/>
    <w:rsid w:val="00EA7F45"/>
    <w:rsid w:val="00EB00C8"/>
    <w:rsid w:val="00EB00DC"/>
    <w:rsid w:val="00EB0138"/>
    <w:rsid w:val="00EB01AA"/>
    <w:rsid w:val="00EB0461"/>
    <w:rsid w:val="00EB079C"/>
    <w:rsid w:val="00EB0882"/>
    <w:rsid w:val="00EB0CE9"/>
    <w:rsid w:val="00EB0E33"/>
    <w:rsid w:val="00EB0F7B"/>
    <w:rsid w:val="00EB1020"/>
    <w:rsid w:val="00EB1186"/>
    <w:rsid w:val="00EB131A"/>
    <w:rsid w:val="00EB1437"/>
    <w:rsid w:val="00EB1538"/>
    <w:rsid w:val="00EB1865"/>
    <w:rsid w:val="00EB1980"/>
    <w:rsid w:val="00EB2157"/>
    <w:rsid w:val="00EB22A9"/>
    <w:rsid w:val="00EB2434"/>
    <w:rsid w:val="00EB2445"/>
    <w:rsid w:val="00EB26C6"/>
    <w:rsid w:val="00EB2827"/>
    <w:rsid w:val="00EB2880"/>
    <w:rsid w:val="00EB28D3"/>
    <w:rsid w:val="00EB2909"/>
    <w:rsid w:val="00EB2A4E"/>
    <w:rsid w:val="00EB2DA7"/>
    <w:rsid w:val="00EB2E0A"/>
    <w:rsid w:val="00EB2E97"/>
    <w:rsid w:val="00EB30C1"/>
    <w:rsid w:val="00EB34B9"/>
    <w:rsid w:val="00EB35F0"/>
    <w:rsid w:val="00EB386E"/>
    <w:rsid w:val="00EB3953"/>
    <w:rsid w:val="00EB4335"/>
    <w:rsid w:val="00EB43C0"/>
    <w:rsid w:val="00EB45EA"/>
    <w:rsid w:val="00EB4770"/>
    <w:rsid w:val="00EB496E"/>
    <w:rsid w:val="00EB4D08"/>
    <w:rsid w:val="00EB5340"/>
    <w:rsid w:val="00EB535D"/>
    <w:rsid w:val="00EB55AE"/>
    <w:rsid w:val="00EB5C87"/>
    <w:rsid w:val="00EB5DAA"/>
    <w:rsid w:val="00EB5DE4"/>
    <w:rsid w:val="00EB63F9"/>
    <w:rsid w:val="00EB65ED"/>
    <w:rsid w:val="00EB6AB9"/>
    <w:rsid w:val="00EB6BCA"/>
    <w:rsid w:val="00EB70CE"/>
    <w:rsid w:val="00EB754D"/>
    <w:rsid w:val="00EB7B5D"/>
    <w:rsid w:val="00EB7BA8"/>
    <w:rsid w:val="00EB7BE6"/>
    <w:rsid w:val="00EB7BF1"/>
    <w:rsid w:val="00EC0015"/>
    <w:rsid w:val="00EC00C4"/>
    <w:rsid w:val="00EC026B"/>
    <w:rsid w:val="00EC0391"/>
    <w:rsid w:val="00EC04E0"/>
    <w:rsid w:val="00EC05B0"/>
    <w:rsid w:val="00EC0617"/>
    <w:rsid w:val="00EC0796"/>
    <w:rsid w:val="00EC0871"/>
    <w:rsid w:val="00EC0F3B"/>
    <w:rsid w:val="00EC0F78"/>
    <w:rsid w:val="00EC1024"/>
    <w:rsid w:val="00EC1145"/>
    <w:rsid w:val="00EC12B5"/>
    <w:rsid w:val="00EC16E5"/>
    <w:rsid w:val="00EC17C0"/>
    <w:rsid w:val="00EC1D1B"/>
    <w:rsid w:val="00EC201E"/>
    <w:rsid w:val="00EC214F"/>
    <w:rsid w:val="00EC252D"/>
    <w:rsid w:val="00EC26D3"/>
    <w:rsid w:val="00EC29F1"/>
    <w:rsid w:val="00EC2A55"/>
    <w:rsid w:val="00EC2E09"/>
    <w:rsid w:val="00EC2EB1"/>
    <w:rsid w:val="00EC3258"/>
    <w:rsid w:val="00EC38A3"/>
    <w:rsid w:val="00EC390D"/>
    <w:rsid w:val="00EC3977"/>
    <w:rsid w:val="00EC3BE4"/>
    <w:rsid w:val="00EC3E6D"/>
    <w:rsid w:val="00EC3EC8"/>
    <w:rsid w:val="00EC4351"/>
    <w:rsid w:val="00EC4767"/>
    <w:rsid w:val="00EC4791"/>
    <w:rsid w:val="00EC47FF"/>
    <w:rsid w:val="00EC4817"/>
    <w:rsid w:val="00EC4853"/>
    <w:rsid w:val="00EC4CF9"/>
    <w:rsid w:val="00EC514B"/>
    <w:rsid w:val="00EC51D3"/>
    <w:rsid w:val="00EC550C"/>
    <w:rsid w:val="00EC5890"/>
    <w:rsid w:val="00EC5ED2"/>
    <w:rsid w:val="00EC6158"/>
    <w:rsid w:val="00EC63A8"/>
    <w:rsid w:val="00EC6628"/>
    <w:rsid w:val="00EC6835"/>
    <w:rsid w:val="00EC6978"/>
    <w:rsid w:val="00EC6D13"/>
    <w:rsid w:val="00EC6DC7"/>
    <w:rsid w:val="00EC6E7C"/>
    <w:rsid w:val="00EC734C"/>
    <w:rsid w:val="00EC74F8"/>
    <w:rsid w:val="00EC7A00"/>
    <w:rsid w:val="00EC7F46"/>
    <w:rsid w:val="00ED0021"/>
    <w:rsid w:val="00ED01A5"/>
    <w:rsid w:val="00ED037D"/>
    <w:rsid w:val="00ED0625"/>
    <w:rsid w:val="00ED0844"/>
    <w:rsid w:val="00ED0857"/>
    <w:rsid w:val="00ED0897"/>
    <w:rsid w:val="00ED0D9A"/>
    <w:rsid w:val="00ED0EC5"/>
    <w:rsid w:val="00ED117B"/>
    <w:rsid w:val="00ED11EF"/>
    <w:rsid w:val="00ED1431"/>
    <w:rsid w:val="00ED18C4"/>
    <w:rsid w:val="00ED1B30"/>
    <w:rsid w:val="00ED1F42"/>
    <w:rsid w:val="00ED2115"/>
    <w:rsid w:val="00ED23F6"/>
    <w:rsid w:val="00ED250C"/>
    <w:rsid w:val="00ED26DA"/>
    <w:rsid w:val="00ED282E"/>
    <w:rsid w:val="00ED2859"/>
    <w:rsid w:val="00ED2C12"/>
    <w:rsid w:val="00ED2D42"/>
    <w:rsid w:val="00ED2E63"/>
    <w:rsid w:val="00ED379A"/>
    <w:rsid w:val="00ED382C"/>
    <w:rsid w:val="00ED3B5D"/>
    <w:rsid w:val="00ED3D39"/>
    <w:rsid w:val="00ED3DC3"/>
    <w:rsid w:val="00ED3E82"/>
    <w:rsid w:val="00ED425E"/>
    <w:rsid w:val="00ED445A"/>
    <w:rsid w:val="00ED44FE"/>
    <w:rsid w:val="00ED4538"/>
    <w:rsid w:val="00ED5105"/>
    <w:rsid w:val="00ED5194"/>
    <w:rsid w:val="00ED538E"/>
    <w:rsid w:val="00ED58A7"/>
    <w:rsid w:val="00ED5925"/>
    <w:rsid w:val="00ED5D1A"/>
    <w:rsid w:val="00ED6056"/>
    <w:rsid w:val="00ED6524"/>
    <w:rsid w:val="00ED65FA"/>
    <w:rsid w:val="00ED69FB"/>
    <w:rsid w:val="00ED6B44"/>
    <w:rsid w:val="00ED6FC2"/>
    <w:rsid w:val="00ED739E"/>
    <w:rsid w:val="00ED73ED"/>
    <w:rsid w:val="00ED7699"/>
    <w:rsid w:val="00ED77DC"/>
    <w:rsid w:val="00ED7C1C"/>
    <w:rsid w:val="00ED7D33"/>
    <w:rsid w:val="00ED7F44"/>
    <w:rsid w:val="00EE010E"/>
    <w:rsid w:val="00EE015A"/>
    <w:rsid w:val="00EE035B"/>
    <w:rsid w:val="00EE03E6"/>
    <w:rsid w:val="00EE0544"/>
    <w:rsid w:val="00EE056B"/>
    <w:rsid w:val="00EE06C1"/>
    <w:rsid w:val="00EE074D"/>
    <w:rsid w:val="00EE09AF"/>
    <w:rsid w:val="00EE0E64"/>
    <w:rsid w:val="00EE0F01"/>
    <w:rsid w:val="00EE1079"/>
    <w:rsid w:val="00EE130F"/>
    <w:rsid w:val="00EE1375"/>
    <w:rsid w:val="00EE138E"/>
    <w:rsid w:val="00EE13BC"/>
    <w:rsid w:val="00EE14A9"/>
    <w:rsid w:val="00EE1519"/>
    <w:rsid w:val="00EE1551"/>
    <w:rsid w:val="00EE155A"/>
    <w:rsid w:val="00EE15DB"/>
    <w:rsid w:val="00EE1951"/>
    <w:rsid w:val="00EE1BA0"/>
    <w:rsid w:val="00EE1E2E"/>
    <w:rsid w:val="00EE2238"/>
    <w:rsid w:val="00EE23D6"/>
    <w:rsid w:val="00EE272E"/>
    <w:rsid w:val="00EE27A4"/>
    <w:rsid w:val="00EE28E2"/>
    <w:rsid w:val="00EE2968"/>
    <w:rsid w:val="00EE2A1E"/>
    <w:rsid w:val="00EE3214"/>
    <w:rsid w:val="00EE3489"/>
    <w:rsid w:val="00EE3C47"/>
    <w:rsid w:val="00EE3D51"/>
    <w:rsid w:val="00EE3E4D"/>
    <w:rsid w:val="00EE40C1"/>
    <w:rsid w:val="00EE4204"/>
    <w:rsid w:val="00EE426C"/>
    <w:rsid w:val="00EE4307"/>
    <w:rsid w:val="00EE44BC"/>
    <w:rsid w:val="00EE4CB9"/>
    <w:rsid w:val="00EE4D9C"/>
    <w:rsid w:val="00EE4DCB"/>
    <w:rsid w:val="00EE508A"/>
    <w:rsid w:val="00EE52EF"/>
    <w:rsid w:val="00EE56D6"/>
    <w:rsid w:val="00EE5870"/>
    <w:rsid w:val="00EE5871"/>
    <w:rsid w:val="00EE63FC"/>
    <w:rsid w:val="00EE6B75"/>
    <w:rsid w:val="00EE6F78"/>
    <w:rsid w:val="00EE7334"/>
    <w:rsid w:val="00EE79EA"/>
    <w:rsid w:val="00EE7A1F"/>
    <w:rsid w:val="00EE7D57"/>
    <w:rsid w:val="00EE7FCD"/>
    <w:rsid w:val="00EF02C5"/>
    <w:rsid w:val="00EF073A"/>
    <w:rsid w:val="00EF076A"/>
    <w:rsid w:val="00EF07F0"/>
    <w:rsid w:val="00EF0838"/>
    <w:rsid w:val="00EF08B6"/>
    <w:rsid w:val="00EF09FF"/>
    <w:rsid w:val="00EF10F1"/>
    <w:rsid w:val="00EF14C5"/>
    <w:rsid w:val="00EF15E6"/>
    <w:rsid w:val="00EF18F6"/>
    <w:rsid w:val="00EF1936"/>
    <w:rsid w:val="00EF1A94"/>
    <w:rsid w:val="00EF1EB4"/>
    <w:rsid w:val="00EF244B"/>
    <w:rsid w:val="00EF2C68"/>
    <w:rsid w:val="00EF306F"/>
    <w:rsid w:val="00EF30A1"/>
    <w:rsid w:val="00EF35C4"/>
    <w:rsid w:val="00EF37E6"/>
    <w:rsid w:val="00EF399E"/>
    <w:rsid w:val="00EF3ACD"/>
    <w:rsid w:val="00EF3ADC"/>
    <w:rsid w:val="00EF3BE7"/>
    <w:rsid w:val="00EF431C"/>
    <w:rsid w:val="00EF4BBA"/>
    <w:rsid w:val="00EF4CFC"/>
    <w:rsid w:val="00EF4F10"/>
    <w:rsid w:val="00EF50FD"/>
    <w:rsid w:val="00EF51C6"/>
    <w:rsid w:val="00EF520D"/>
    <w:rsid w:val="00EF52B8"/>
    <w:rsid w:val="00EF5574"/>
    <w:rsid w:val="00EF55C4"/>
    <w:rsid w:val="00EF5EAD"/>
    <w:rsid w:val="00EF63A1"/>
    <w:rsid w:val="00EF68BC"/>
    <w:rsid w:val="00EF6A6A"/>
    <w:rsid w:val="00EF6FAE"/>
    <w:rsid w:val="00EF7209"/>
    <w:rsid w:val="00EF7363"/>
    <w:rsid w:val="00EF7AF8"/>
    <w:rsid w:val="00F00606"/>
    <w:rsid w:val="00F00A91"/>
    <w:rsid w:val="00F00A9D"/>
    <w:rsid w:val="00F00C52"/>
    <w:rsid w:val="00F01289"/>
    <w:rsid w:val="00F0155C"/>
    <w:rsid w:val="00F01578"/>
    <w:rsid w:val="00F0169B"/>
    <w:rsid w:val="00F01A92"/>
    <w:rsid w:val="00F01C11"/>
    <w:rsid w:val="00F01C1A"/>
    <w:rsid w:val="00F01ED1"/>
    <w:rsid w:val="00F01F69"/>
    <w:rsid w:val="00F01FF8"/>
    <w:rsid w:val="00F028B0"/>
    <w:rsid w:val="00F028C5"/>
    <w:rsid w:val="00F02CCD"/>
    <w:rsid w:val="00F02E08"/>
    <w:rsid w:val="00F02E1A"/>
    <w:rsid w:val="00F02F47"/>
    <w:rsid w:val="00F0303D"/>
    <w:rsid w:val="00F03283"/>
    <w:rsid w:val="00F034D0"/>
    <w:rsid w:val="00F0350F"/>
    <w:rsid w:val="00F038E5"/>
    <w:rsid w:val="00F03EDE"/>
    <w:rsid w:val="00F0435C"/>
    <w:rsid w:val="00F045D9"/>
    <w:rsid w:val="00F0506C"/>
    <w:rsid w:val="00F050DC"/>
    <w:rsid w:val="00F050F8"/>
    <w:rsid w:val="00F0542F"/>
    <w:rsid w:val="00F0581F"/>
    <w:rsid w:val="00F05912"/>
    <w:rsid w:val="00F0595B"/>
    <w:rsid w:val="00F05A65"/>
    <w:rsid w:val="00F05AD9"/>
    <w:rsid w:val="00F05E2A"/>
    <w:rsid w:val="00F0609F"/>
    <w:rsid w:val="00F064DC"/>
    <w:rsid w:val="00F0666C"/>
    <w:rsid w:val="00F066EA"/>
    <w:rsid w:val="00F06B3B"/>
    <w:rsid w:val="00F06C68"/>
    <w:rsid w:val="00F06D07"/>
    <w:rsid w:val="00F06D48"/>
    <w:rsid w:val="00F06D93"/>
    <w:rsid w:val="00F06DC7"/>
    <w:rsid w:val="00F0722A"/>
    <w:rsid w:val="00F076C3"/>
    <w:rsid w:val="00F0775B"/>
    <w:rsid w:val="00F07B95"/>
    <w:rsid w:val="00F07FEC"/>
    <w:rsid w:val="00F10229"/>
    <w:rsid w:val="00F10AF1"/>
    <w:rsid w:val="00F10AFE"/>
    <w:rsid w:val="00F10B50"/>
    <w:rsid w:val="00F10EAC"/>
    <w:rsid w:val="00F10FAB"/>
    <w:rsid w:val="00F1119A"/>
    <w:rsid w:val="00F111FC"/>
    <w:rsid w:val="00F11652"/>
    <w:rsid w:val="00F117DD"/>
    <w:rsid w:val="00F11888"/>
    <w:rsid w:val="00F11CA5"/>
    <w:rsid w:val="00F11EB6"/>
    <w:rsid w:val="00F12218"/>
    <w:rsid w:val="00F122C2"/>
    <w:rsid w:val="00F12357"/>
    <w:rsid w:val="00F1238E"/>
    <w:rsid w:val="00F1263B"/>
    <w:rsid w:val="00F13865"/>
    <w:rsid w:val="00F13A04"/>
    <w:rsid w:val="00F13B20"/>
    <w:rsid w:val="00F13C05"/>
    <w:rsid w:val="00F13CD4"/>
    <w:rsid w:val="00F14305"/>
    <w:rsid w:val="00F1440E"/>
    <w:rsid w:val="00F14595"/>
    <w:rsid w:val="00F14815"/>
    <w:rsid w:val="00F1485D"/>
    <w:rsid w:val="00F149B5"/>
    <w:rsid w:val="00F14AC7"/>
    <w:rsid w:val="00F15365"/>
    <w:rsid w:val="00F15522"/>
    <w:rsid w:val="00F156B0"/>
    <w:rsid w:val="00F15BDC"/>
    <w:rsid w:val="00F15EE6"/>
    <w:rsid w:val="00F16092"/>
    <w:rsid w:val="00F16192"/>
    <w:rsid w:val="00F162B0"/>
    <w:rsid w:val="00F168C7"/>
    <w:rsid w:val="00F16C50"/>
    <w:rsid w:val="00F16C76"/>
    <w:rsid w:val="00F16E28"/>
    <w:rsid w:val="00F17312"/>
    <w:rsid w:val="00F174A6"/>
    <w:rsid w:val="00F174B2"/>
    <w:rsid w:val="00F177B2"/>
    <w:rsid w:val="00F17801"/>
    <w:rsid w:val="00F179E1"/>
    <w:rsid w:val="00F203F0"/>
    <w:rsid w:val="00F204B5"/>
    <w:rsid w:val="00F206D4"/>
    <w:rsid w:val="00F20822"/>
    <w:rsid w:val="00F21029"/>
    <w:rsid w:val="00F21102"/>
    <w:rsid w:val="00F212CB"/>
    <w:rsid w:val="00F21334"/>
    <w:rsid w:val="00F2147F"/>
    <w:rsid w:val="00F2155F"/>
    <w:rsid w:val="00F219A0"/>
    <w:rsid w:val="00F219DD"/>
    <w:rsid w:val="00F21DA2"/>
    <w:rsid w:val="00F21E75"/>
    <w:rsid w:val="00F22018"/>
    <w:rsid w:val="00F2216E"/>
    <w:rsid w:val="00F2296D"/>
    <w:rsid w:val="00F22A0D"/>
    <w:rsid w:val="00F22DEE"/>
    <w:rsid w:val="00F23072"/>
    <w:rsid w:val="00F23119"/>
    <w:rsid w:val="00F231DF"/>
    <w:rsid w:val="00F2342B"/>
    <w:rsid w:val="00F235C4"/>
    <w:rsid w:val="00F23703"/>
    <w:rsid w:val="00F237DD"/>
    <w:rsid w:val="00F238D9"/>
    <w:rsid w:val="00F239C5"/>
    <w:rsid w:val="00F23A6A"/>
    <w:rsid w:val="00F23B04"/>
    <w:rsid w:val="00F23D91"/>
    <w:rsid w:val="00F23E00"/>
    <w:rsid w:val="00F2421A"/>
    <w:rsid w:val="00F244CC"/>
    <w:rsid w:val="00F24672"/>
    <w:rsid w:val="00F246FA"/>
    <w:rsid w:val="00F24A30"/>
    <w:rsid w:val="00F24B13"/>
    <w:rsid w:val="00F24C1D"/>
    <w:rsid w:val="00F25183"/>
    <w:rsid w:val="00F25202"/>
    <w:rsid w:val="00F2579D"/>
    <w:rsid w:val="00F25A11"/>
    <w:rsid w:val="00F25DC3"/>
    <w:rsid w:val="00F2601F"/>
    <w:rsid w:val="00F2623B"/>
    <w:rsid w:val="00F266C3"/>
    <w:rsid w:val="00F26B67"/>
    <w:rsid w:val="00F273F1"/>
    <w:rsid w:val="00F2740D"/>
    <w:rsid w:val="00F27490"/>
    <w:rsid w:val="00F30697"/>
    <w:rsid w:val="00F306AF"/>
    <w:rsid w:val="00F308C2"/>
    <w:rsid w:val="00F30BA3"/>
    <w:rsid w:val="00F31165"/>
    <w:rsid w:val="00F31430"/>
    <w:rsid w:val="00F31555"/>
    <w:rsid w:val="00F315C0"/>
    <w:rsid w:val="00F315FD"/>
    <w:rsid w:val="00F3161D"/>
    <w:rsid w:val="00F316CF"/>
    <w:rsid w:val="00F318E8"/>
    <w:rsid w:val="00F319BD"/>
    <w:rsid w:val="00F31B19"/>
    <w:rsid w:val="00F31B2E"/>
    <w:rsid w:val="00F31CDD"/>
    <w:rsid w:val="00F31E47"/>
    <w:rsid w:val="00F321A6"/>
    <w:rsid w:val="00F3245E"/>
    <w:rsid w:val="00F32AA2"/>
    <w:rsid w:val="00F32FE2"/>
    <w:rsid w:val="00F330D1"/>
    <w:rsid w:val="00F33357"/>
    <w:rsid w:val="00F33BC3"/>
    <w:rsid w:val="00F33E2B"/>
    <w:rsid w:val="00F33F3A"/>
    <w:rsid w:val="00F342AA"/>
    <w:rsid w:val="00F346EF"/>
    <w:rsid w:val="00F3485D"/>
    <w:rsid w:val="00F34987"/>
    <w:rsid w:val="00F349F4"/>
    <w:rsid w:val="00F34B24"/>
    <w:rsid w:val="00F34E00"/>
    <w:rsid w:val="00F3508A"/>
    <w:rsid w:val="00F35294"/>
    <w:rsid w:val="00F3565A"/>
    <w:rsid w:val="00F358A8"/>
    <w:rsid w:val="00F35A62"/>
    <w:rsid w:val="00F35F25"/>
    <w:rsid w:val="00F3613D"/>
    <w:rsid w:val="00F36656"/>
    <w:rsid w:val="00F36660"/>
    <w:rsid w:val="00F366A4"/>
    <w:rsid w:val="00F36AAF"/>
    <w:rsid w:val="00F36C37"/>
    <w:rsid w:val="00F36F1F"/>
    <w:rsid w:val="00F37083"/>
    <w:rsid w:val="00F37236"/>
    <w:rsid w:val="00F373E9"/>
    <w:rsid w:val="00F373EB"/>
    <w:rsid w:val="00F374A0"/>
    <w:rsid w:val="00F37518"/>
    <w:rsid w:val="00F375CE"/>
    <w:rsid w:val="00F376CE"/>
    <w:rsid w:val="00F37EB5"/>
    <w:rsid w:val="00F37EBD"/>
    <w:rsid w:val="00F40276"/>
    <w:rsid w:val="00F402DF"/>
    <w:rsid w:val="00F4050D"/>
    <w:rsid w:val="00F40601"/>
    <w:rsid w:val="00F40704"/>
    <w:rsid w:val="00F4092F"/>
    <w:rsid w:val="00F409B4"/>
    <w:rsid w:val="00F409E8"/>
    <w:rsid w:val="00F40A4B"/>
    <w:rsid w:val="00F40BA4"/>
    <w:rsid w:val="00F40BD2"/>
    <w:rsid w:val="00F40E41"/>
    <w:rsid w:val="00F40E4A"/>
    <w:rsid w:val="00F40E6D"/>
    <w:rsid w:val="00F4113E"/>
    <w:rsid w:val="00F413AC"/>
    <w:rsid w:val="00F413AD"/>
    <w:rsid w:val="00F41A00"/>
    <w:rsid w:val="00F41A3E"/>
    <w:rsid w:val="00F41DBC"/>
    <w:rsid w:val="00F41FF0"/>
    <w:rsid w:val="00F420BE"/>
    <w:rsid w:val="00F4227C"/>
    <w:rsid w:val="00F42373"/>
    <w:rsid w:val="00F425F4"/>
    <w:rsid w:val="00F42602"/>
    <w:rsid w:val="00F42BE1"/>
    <w:rsid w:val="00F42D05"/>
    <w:rsid w:val="00F42D87"/>
    <w:rsid w:val="00F4335E"/>
    <w:rsid w:val="00F4358C"/>
    <w:rsid w:val="00F437CA"/>
    <w:rsid w:val="00F43C51"/>
    <w:rsid w:val="00F44019"/>
    <w:rsid w:val="00F44084"/>
    <w:rsid w:val="00F44241"/>
    <w:rsid w:val="00F44384"/>
    <w:rsid w:val="00F44618"/>
    <w:rsid w:val="00F4479F"/>
    <w:rsid w:val="00F4490F"/>
    <w:rsid w:val="00F44D87"/>
    <w:rsid w:val="00F4500E"/>
    <w:rsid w:val="00F45124"/>
    <w:rsid w:val="00F451D0"/>
    <w:rsid w:val="00F452DB"/>
    <w:rsid w:val="00F453C5"/>
    <w:rsid w:val="00F45B00"/>
    <w:rsid w:val="00F45D16"/>
    <w:rsid w:val="00F45E87"/>
    <w:rsid w:val="00F45F2B"/>
    <w:rsid w:val="00F45FAD"/>
    <w:rsid w:val="00F465E1"/>
    <w:rsid w:val="00F46642"/>
    <w:rsid w:val="00F468C5"/>
    <w:rsid w:val="00F46A03"/>
    <w:rsid w:val="00F46B56"/>
    <w:rsid w:val="00F46BEA"/>
    <w:rsid w:val="00F46CF2"/>
    <w:rsid w:val="00F47124"/>
    <w:rsid w:val="00F471AC"/>
    <w:rsid w:val="00F471C6"/>
    <w:rsid w:val="00F472C5"/>
    <w:rsid w:val="00F474B4"/>
    <w:rsid w:val="00F474E4"/>
    <w:rsid w:val="00F475D2"/>
    <w:rsid w:val="00F4782C"/>
    <w:rsid w:val="00F479C6"/>
    <w:rsid w:val="00F47B05"/>
    <w:rsid w:val="00F47DC8"/>
    <w:rsid w:val="00F500DF"/>
    <w:rsid w:val="00F5094D"/>
    <w:rsid w:val="00F509FE"/>
    <w:rsid w:val="00F50A2F"/>
    <w:rsid w:val="00F50B32"/>
    <w:rsid w:val="00F50E3D"/>
    <w:rsid w:val="00F5125B"/>
    <w:rsid w:val="00F515D7"/>
    <w:rsid w:val="00F517B0"/>
    <w:rsid w:val="00F519A5"/>
    <w:rsid w:val="00F519F2"/>
    <w:rsid w:val="00F51A3E"/>
    <w:rsid w:val="00F5235C"/>
    <w:rsid w:val="00F52388"/>
    <w:rsid w:val="00F52685"/>
    <w:rsid w:val="00F52762"/>
    <w:rsid w:val="00F5282F"/>
    <w:rsid w:val="00F52A5A"/>
    <w:rsid w:val="00F52BAC"/>
    <w:rsid w:val="00F531C1"/>
    <w:rsid w:val="00F53235"/>
    <w:rsid w:val="00F532DE"/>
    <w:rsid w:val="00F53A4D"/>
    <w:rsid w:val="00F53E6C"/>
    <w:rsid w:val="00F53E8A"/>
    <w:rsid w:val="00F543B8"/>
    <w:rsid w:val="00F54925"/>
    <w:rsid w:val="00F54B4C"/>
    <w:rsid w:val="00F54B5E"/>
    <w:rsid w:val="00F54C16"/>
    <w:rsid w:val="00F5543C"/>
    <w:rsid w:val="00F55A88"/>
    <w:rsid w:val="00F55C2C"/>
    <w:rsid w:val="00F55F5C"/>
    <w:rsid w:val="00F5609F"/>
    <w:rsid w:val="00F56806"/>
    <w:rsid w:val="00F56AE3"/>
    <w:rsid w:val="00F56D21"/>
    <w:rsid w:val="00F57139"/>
    <w:rsid w:val="00F571C5"/>
    <w:rsid w:val="00F5746E"/>
    <w:rsid w:val="00F576C4"/>
    <w:rsid w:val="00F57A57"/>
    <w:rsid w:val="00F57BA3"/>
    <w:rsid w:val="00F57DE5"/>
    <w:rsid w:val="00F57F6F"/>
    <w:rsid w:val="00F57FA2"/>
    <w:rsid w:val="00F601C1"/>
    <w:rsid w:val="00F60260"/>
    <w:rsid w:val="00F60772"/>
    <w:rsid w:val="00F60B0B"/>
    <w:rsid w:val="00F60B0D"/>
    <w:rsid w:val="00F60E52"/>
    <w:rsid w:val="00F60E95"/>
    <w:rsid w:val="00F614E5"/>
    <w:rsid w:val="00F6185A"/>
    <w:rsid w:val="00F62113"/>
    <w:rsid w:val="00F622EB"/>
    <w:rsid w:val="00F62386"/>
    <w:rsid w:val="00F62794"/>
    <w:rsid w:val="00F62A28"/>
    <w:rsid w:val="00F62CAF"/>
    <w:rsid w:val="00F62D9A"/>
    <w:rsid w:val="00F62F09"/>
    <w:rsid w:val="00F63019"/>
    <w:rsid w:val="00F63087"/>
    <w:rsid w:val="00F631CE"/>
    <w:rsid w:val="00F6330E"/>
    <w:rsid w:val="00F63347"/>
    <w:rsid w:val="00F63699"/>
    <w:rsid w:val="00F637B2"/>
    <w:rsid w:val="00F638DA"/>
    <w:rsid w:val="00F63C84"/>
    <w:rsid w:val="00F63D3D"/>
    <w:rsid w:val="00F63DFE"/>
    <w:rsid w:val="00F6434E"/>
    <w:rsid w:val="00F644E4"/>
    <w:rsid w:val="00F64520"/>
    <w:rsid w:val="00F6460B"/>
    <w:rsid w:val="00F64628"/>
    <w:rsid w:val="00F64AFF"/>
    <w:rsid w:val="00F64DC6"/>
    <w:rsid w:val="00F64F8D"/>
    <w:rsid w:val="00F651B3"/>
    <w:rsid w:val="00F651F5"/>
    <w:rsid w:val="00F655CB"/>
    <w:rsid w:val="00F65677"/>
    <w:rsid w:val="00F65AC2"/>
    <w:rsid w:val="00F65B17"/>
    <w:rsid w:val="00F65B6B"/>
    <w:rsid w:val="00F6600A"/>
    <w:rsid w:val="00F66196"/>
    <w:rsid w:val="00F662D7"/>
    <w:rsid w:val="00F662FB"/>
    <w:rsid w:val="00F668C9"/>
    <w:rsid w:val="00F66AC1"/>
    <w:rsid w:val="00F672C1"/>
    <w:rsid w:val="00F7035F"/>
    <w:rsid w:val="00F706D2"/>
    <w:rsid w:val="00F709B1"/>
    <w:rsid w:val="00F70B27"/>
    <w:rsid w:val="00F70B6B"/>
    <w:rsid w:val="00F70B93"/>
    <w:rsid w:val="00F70E56"/>
    <w:rsid w:val="00F70F22"/>
    <w:rsid w:val="00F711A9"/>
    <w:rsid w:val="00F712F7"/>
    <w:rsid w:val="00F713E4"/>
    <w:rsid w:val="00F714A9"/>
    <w:rsid w:val="00F7169F"/>
    <w:rsid w:val="00F716D5"/>
    <w:rsid w:val="00F71834"/>
    <w:rsid w:val="00F71EB3"/>
    <w:rsid w:val="00F72134"/>
    <w:rsid w:val="00F72160"/>
    <w:rsid w:val="00F722C3"/>
    <w:rsid w:val="00F7231B"/>
    <w:rsid w:val="00F72912"/>
    <w:rsid w:val="00F72DF2"/>
    <w:rsid w:val="00F72E1C"/>
    <w:rsid w:val="00F73029"/>
    <w:rsid w:val="00F73195"/>
    <w:rsid w:val="00F7325B"/>
    <w:rsid w:val="00F73266"/>
    <w:rsid w:val="00F73408"/>
    <w:rsid w:val="00F737CE"/>
    <w:rsid w:val="00F73AE6"/>
    <w:rsid w:val="00F73C16"/>
    <w:rsid w:val="00F73CDE"/>
    <w:rsid w:val="00F73E45"/>
    <w:rsid w:val="00F73F3E"/>
    <w:rsid w:val="00F74351"/>
    <w:rsid w:val="00F744BE"/>
    <w:rsid w:val="00F744E0"/>
    <w:rsid w:val="00F74726"/>
    <w:rsid w:val="00F74866"/>
    <w:rsid w:val="00F74993"/>
    <w:rsid w:val="00F74D02"/>
    <w:rsid w:val="00F74FD0"/>
    <w:rsid w:val="00F75046"/>
    <w:rsid w:val="00F75240"/>
    <w:rsid w:val="00F75B71"/>
    <w:rsid w:val="00F75CD3"/>
    <w:rsid w:val="00F75E20"/>
    <w:rsid w:val="00F7601A"/>
    <w:rsid w:val="00F76392"/>
    <w:rsid w:val="00F76A8A"/>
    <w:rsid w:val="00F76F4D"/>
    <w:rsid w:val="00F775A6"/>
    <w:rsid w:val="00F778FC"/>
    <w:rsid w:val="00F77C62"/>
    <w:rsid w:val="00F77FB8"/>
    <w:rsid w:val="00F8003A"/>
    <w:rsid w:val="00F801FE"/>
    <w:rsid w:val="00F802F5"/>
    <w:rsid w:val="00F805DD"/>
    <w:rsid w:val="00F8080B"/>
    <w:rsid w:val="00F809C6"/>
    <w:rsid w:val="00F80A3D"/>
    <w:rsid w:val="00F80E4E"/>
    <w:rsid w:val="00F81164"/>
    <w:rsid w:val="00F811EF"/>
    <w:rsid w:val="00F81816"/>
    <w:rsid w:val="00F81873"/>
    <w:rsid w:val="00F8189B"/>
    <w:rsid w:val="00F818B2"/>
    <w:rsid w:val="00F81BFF"/>
    <w:rsid w:val="00F81EE2"/>
    <w:rsid w:val="00F81FF2"/>
    <w:rsid w:val="00F82345"/>
    <w:rsid w:val="00F82C1E"/>
    <w:rsid w:val="00F82E17"/>
    <w:rsid w:val="00F831DB"/>
    <w:rsid w:val="00F831E0"/>
    <w:rsid w:val="00F83369"/>
    <w:rsid w:val="00F835E6"/>
    <w:rsid w:val="00F837FB"/>
    <w:rsid w:val="00F83AD4"/>
    <w:rsid w:val="00F83B0C"/>
    <w:rsid w:val="00F83B98"/>
    <w:rsid w:val="00F83C17"/>
    <w:rsid w:val="00F83C48"/>
    <w:rsid w:val="00F83C9C"/>
    <w:rsid w:val="00F8403B"/>
    <w:rsid w:val="00F8405D"/>
    <w:rsid w:val="00F843B6"/>
    <w:rsid w:val="00F844C5"/>
    <w:rsid w:val="00F848EB"/>
    <w:rsid w:val="00F84928"/>
    <w:rsid w:val="00F84999"/>
    <w:rsid w:val="00F84A7F"/>
    <w:rsid w:val="00F84AAA"/>
    <w:rsid w:val="00F85134"/>
    <w:rsid w:val="00F8513B"/>
    <w:rsid w:val="00F8530C"/>
    <w:rsid w:val="00F85698"/>
    <w:rsid w:val="00F85859"/>
    <w:rsid w:val="00F858E7"/>
    <w:rsid w:val="00F85A9E"/>
    <w:rsid w:val="00F85B92"/>
    <w:rsid w:val="00F862F2"/>
    <w:rsid w:val="00F863EF"/>
    <w:rsid w:val="00F86668"/>
    <w:rsid w:val="00F867A9"/>
    <w:rsid w:val="00F86890"/>
    <w:rsid w:val="00F86B2A"/>
    <w:rsid w:val="00F86BFC"/>
    <w:rsid w:val="00F87227"/>
    <w:rsid w:val="00F87260"/>
    <w:rsid w:val="00F8766D"/>
    <w:rsid w:val="00F8778E"/>
    <w:rsid w:val="00F87AEB"/>
    <w:rsid w:val="00F87BD8"/>
    <w:rsid w:val="00F87BD9"/>
    <w:rsid w:val="00F87D9F"/>
    <w:rsid w:val="00F90233"/>
    <w:rsid w:val="00F9055D"/>
    <w:rsid w:val="00F91085"/>
    <w:rsid w:val="00F910E4"/>
    <w:rsid w:val="00F9117C"/>
    <w:rsid w:val="00F913D9"/>
    <w:rsid w:val="00F9172B"/>
    <w:rsid w:val="00F9174E"/>
    <w:rsid w:val="00F91B9E"/>
    <w:rsid w:val="00F91D44"/>
    <w:rsid w:val="00F921FE"/>
    <w:rsid w:val="00F922D2"/>
    <w:rsid w:val="00F9247C"/>
    <w:rsid w:val="00F925BC"/>
    <w:rsid w:val="00F92A4A"/>
    <w:rsid w:val="00F92AF2"/>
    <w:rsid w:val="00F92C1A"/>
    <w:rsid w:val="00F92CE9"/>
    <w:rsid w:val="00F92D8A"/>
    <w:rsid w:val="00F93001"/>
    <w:rsid w:val="00F93686"/>
    <w:rsid w:val="00F936A0"/>
    <w:rsid w:val="00F9381C"/>
    <w:rsid w:val="00F93A68"/>
    <w:rsid w:val="00F93B36"/>
    <w:rsid w:val="00F93F84"/>
    <w:rsid w:val="00F9401D"/>
    <w:rsid w:val="00F9413D"/>
    <w:rsid w:val="00F945D8"/>
    <w:rsid w:val="00F9461B"/>
    <w:rsid w:val="00F94C74"/>
    <w:rsid w:val="00F94E17"/>
    <w:rsid w:val="00F952B0"/>
    <w:rsid w:val="00F95541"/>
    <w:rsid w:val="00F95899"/>
    <w:rsid w:val="00F962E4"/>
    <w:rsid w:val="00F9634A"/>
    <w:rsid w:val="00F9659B"/>
    <w:rsid w:val="00F9674A"/>
    <w:rsid w:val="00F96898"/>
    <w:rsid w:val="00F96A27"/>
    <w:rsid w:val="00F96A2E"/>
    <w:rsid w:val="00F96D2B"/>
    <w:rsid w:val="00F973E4"/>
    <w:rsid w:val="00F9763D"/>
    <w:rsid w:val="00F97679"/>
    <w:rsid w:val="00F979A3"/>
    <w:rsid w:val="00FA01EF"/>
    <w:rsid w:val="00FA062C"/>
    <w:rsid w:val="00FA077B"/>
    <w:rsid w:val="00FA07BA"/>
    <w:rsid w:val="00FA0AA2"/>
    <w:rsid w:val="00FA0B60"/>
    <w:rsid w:val="00FA0BEC"/>
    <w:rsid w:val="00FA0D23"/>
    <w:rsid w:val="00FA0F9D"/>
    <w:rsid w:val="00FA106A"/>
    <w:rsid w:val="00FA1894"/>
    <w:rsid w:val="00FA190A"/>
    <w:rsid w:val="00FA1A5E"/>
    <w:rsid w:val="00FA1BF1"/>
    <w:rsid w:val="00FA1C1D"/>
    <w:rsid w:val="00FA1DE3"/>
    <w:rsid w:val="00FA1F92"/>
    <w:rsid w:val="00FA2194"/>
    <w:rsid w:val="00FA23B4"/>
    <w:rsid w:val="00FA2433"/>
    <w:rsid w:val="00FA247D"/>
    <w:rsid w:val="00FA2735"/>
    <w:rsid w:val="00FA28F1"/>
    <w:rsid w:val="00FA29C8"/>
    <w:rsid w:val="00FA29E2"/>
    <w:rsid w:val="00FA2C74"/>
    <w:rsid w:val="00FA2E0B"/>
    <w:rsid w:val="00FA33A7"/>
    <w:rsid w:val="00FA38C5"/>
    <w:rsid w:val="00FA3942"/>
    <w:rsid w:val="00FA3BE6"/>
    <w:rsid w:val="00FA4083"/>
    <w:rsid w:val="00FA42F4"/>
    <w:rsid w:val="00FA44C2"/>
    <w:rsid w:val="00FA4A5E"/>
    <w:rsid w:val="00FA4A64"/>
    <w:rsid w:val="00FA4BEC"/>
    <w:rsid w:val="00FA4BF5"/>
    <w:rsid w:val="00FA4CBE"/>
    <w:rsid w:val="00FA4EB9"/>
    <w:rsid w:val="00FA4F9A"/>
    <w:rsid w:val="00FA526D"/>
    <w:rsid w:val="00FA52D8"/>
    <w:rsid w:val="00FA5328"/>
    <w:rsid w:val="00FA54BF"/>
    <w:rsid w:val="00FA54F9"/>
    <w:rsid w:val="00FA5626"/>
    <w:rsid w:val="00FA58F0"/>
    <w:rsid w:val="00FA598B"/>
    <w:rsid w:val="00FA5BD6"/>
    <w:rsid w:val="00FA5C3F"/>
    <w:rsid w:val="00FA5C7B"/>
    <w:rsid w:val="00FA5CB6"/>
    <w:rsid w:val="00FA5DAE"/>
    <w:rsid w:val="00FA5F53"/>
    <w:rsid w:val="00FA5F5E"/>
    <w:rsid w:val="00FA5F83"/>
    <w:rsid w:val="00FA5FF5"/>
    <w:rsid w:val="00FA60B6"/>
    <w:rsid w:val="00FA60C4"/>
    <w:rsid w:val="00FA621C"/>
    <w:rsid w:val="00FA65A6"/>
    <w:rsid w:val="00FA6AE5"/>
    <w:rsid w:val="00FA6BE5"/>
    <w:rsid w:val="00FA6F39"/>
    <w:rsid w:val="00FA6FCA"/>
    <w:rsid w:val="00FA6FE5"/>
    <w:rsid w:val="00FA72DF"/>
    <w:rsid w:val="00FA767B"/>
    <w:rsid w:val="00FA7A5C"/>
    <w:rsid w:val="00FA7BA0"/>
    <w:rsid w:val="00FA7BE1"/>
    <w:rsid w:val="00FA7E3E"/>
    <w:rsid w:val="00FA7EFC"/>
    <w:rsid w:val="00FB00E3"/>
    <w:rsid w:val="00FB02DF"/>
    <w:rsid w:val="00FB0380"/>
    <w:rsid w:val="00FB05DC"/>
    <w:rsid w:val="00FB0670"/>
    <w:rsid w:val="00FB0713"/>
    <w:rsid w:val="00FB08A6"/>
    <w:rsid w:val="00FB0CCF"/>
    <w:rsid w:val="00FB121A"/>
    <w:rsid w:val="00FB12BC"/>
    <w:rsid w:val="00FB139D"/>
    <w:rsid w:val="00FB1405"/>
    <w:rsid w:val="00FB1871"/>
    <w:rsid w:val="00FB1A5A"/>
    <w:rsid w:val="00FB1B5B"/>
    <w:rsid w:val="00FB1CE5"/>
    <w:rsid w:val="00FB1DE3"/>
    <w:rsid w:val="00FB1FB8"/>
    <w:rsid w:val="00FB2103"/>
    <w:rsid w:val="00FB21E9"/>
    <w:rsid w:val="00FB21ED"/>
    <w:rsid w:val="00FB21EF"/>
    <w:rsid w:val="00FB22C7"/>
    <w:rsid w:val="00FB237A"/>
    <w:rsid w:val="00FB2444"/>
    <w:rsid w:val="00FB25F2"/>
    <w:rsid w:val="00FB28F6"/>
    <w:rsid w:val="00FB2A44"/>
    <w:rsid w:val="00FB2A50"/>
    <w:rsid w:val="00FB2A6F"/>
    <w:rsid w:val="00FB2BF7"/>
    <w:rsid w:val="00FB2D4A"/>
    <w:rsid w:val="00FB2E26"/>
    <w:rsid w:val="00FB2EFD"/>
    <w:rsid w:val="00FB333B"/>
    <w:rsid w:val="00FB354E"/>
    <w:rsid w:val="00FB35D4"/>
    <w:rsid w:val="00FB367A"/>
    <w:rsid w:val="00FB38EF"/>
    <w:rsid w:val="00FB3DA9"/>
    <w:rsid w:val="00FB419C"/>
    <w:rsid w:val="00FB41E9"/>
    <w:rsid w:val="00FB4256"/>
    <w:rsid w:val="00FB4758"/>
    <w:rsid w:val="00FB479B"/>
    <w:rsid w:val="00FB4B21"/>
    <w:rsid w:val="00FB4C57"/>
    <w:rsid w:val="00FB4CF0"/>
    <w:rsid w:val="00FB4D9B"/>
    <w:rsid w:val="00FB4F79"/>
    <w:rsid w:val="00FB4FEB"/>
    <w:rsid w:val="00FB5411"/>
    <w:rsid w:val="00FB54E6"/>
    <w:rsid w:val="00FB5C3A"/>
    <w:rsid w:val="00FB5C72"/>
    <w:rsid w:val="00FB5EED"/>
    <w:rsid w:val="00FB5F3C"/>
    <w:rsid w:val="00FB6208"/>
    <w:rsid w:val="00FB633C"/>
    <w:rsid w:val="00FB6B14"/>
    <w:rsid w:val="00FB6CA8"/>
    <w:rsid w:val="00FB6E90"/>
    <w:rsid w:val="00FB6E97"/>
    <w:rsid w:val="00FB6F3D"/>
    <w:rsid w:val="00FB7338"/>
    <w:rsid w:val="00FB7350"/>
    <w:rsid w:val="00FB75E1"/>
    <w:rsid w:val="00FB7A25"/>
    <w:rsid w:val="00FB7B1A"/>
    <w:rsid w:val="00FB7F1A"/>
    <w:rsid w:val="00FC0007"/>
    <w:rsid w:val="00FC03D3"/>
    <w:rsid w:val="00FC0587"/>
    <w:rsid w:val="00FC0595"/>
    <w:rsid w:val="00FC05DD"/>
    <w:rsid w:val="00FC06FC"/>
    <w:rsid w:val="00FC0C34"/>
    <w:rsid w:val="00FC0CF5"/>
    <w:rsid w:val="00FC181C"/>
    <w:rsid w:val="00FC1A0C"/>
    <w:rsid w:val="00FC1D9A"/>
    <w:rsid w:val="00FC2014"/>
    <w:rsid w:val="00FC26E2"/>
    <w:rsid w:val="00FC27A3"/>
    <w:rsid w:val="00FC2ED2"/>
    <w:rsid w:val="00FC332C"/>
    <w:rsid w:val="00FC3510"/>
    <w:rsid w:val="00FC3A13"/>
    <w:rsid w:val="00FC3DD1"/>
    <w:rsid w:val="00FC3F84"/>
    <w:rsid w:val="00FC41D7"/>
    <w:rsid w:val="00FC4726"/>
    <w:rsid w:val="00FC486D"/>
    <w:rsid w:val="00FC4D12"/>
    <w:rsid w:val="00FC4DEA"/>
    <w:rsid w:val="00FC506C"/>
    <w:rsid w:val="00FC5546"/>
    <w:rsid w:val="00FC5644"/>
    <w:rsid w:val="00FC576C"/>
    <w:rsid w:val="00FC58B2"/>
    <w:rsid w:val="00FC5C25"/>
    <w:rsid w:val="00FC5CD7"/>
    <w:rsid w:val="00FC5D2E"/>
    <w:rsid w:val="00FC5ED2"/>
    <w:rsid w:val="00FC62A4"/>
    <w:rsid w:val="00FC62AB"/>
    <w:rsid w:val="00FC630F"/>
    <w:rsid w:val="00FC63BE"/>
    <w:rsid w:val="00FC64C4"/>
    <w:rsid w:val="00FC6814"/>
    <w:rsid w:val="00FC682E"/>
    <w:rsid w:val="00FC6A72"/>
    <w:rsid w:val="00FC6BC5"/>
    <w:rsid w:val="00FC74A7"/>
    <w:rsid w:val="00FC7F72"/>
    <w:rsid w:val="00FD0076"/>
    <w:rsid w:val="00FD020E"/>
    <w:rsid w:val="00FD051A"/>
    <w:rsid w:val="00FD0BCD"/>
    <w:rsid w:val="00FD0FC2"/>
    <w:rsid w:val="00FD1402"/>
    <w:rsid w:val="00FD1459"/>
    <w:rsid w:val="00FD1515"/>
    <w:rsid w:val="00FD1745"/>
    <w:rsid w:val="00FD17DE"/>
    <w:rsid w:val="00FD1B10"/>
    <w:rsid w:val="00FD1DF9"/>
    <w:rsid w:val="00FD212C"/>
    <w:rsid w:val="00FD2191"/>
    <w:rsid w:val="00FD21F8"/>
    <w:rsid w:val="00FD2301"/>
    <w:rsid w:val="00FD240A"/>
    <w:rsid w:val="00FD2A0D"/>
    <w:rsid w:val="00FD2A72"/>
    <w:rsid w:val="00FD2C89"/>
    <w:rsid w:val="00FD3AA0"/>
    <w:rsid w:val="00FD3F5E"/>
    <w:rsid w:val="00FD4376"/>
    <w:rsid w:val="00FD489D"/>
    <w:rsid w:val="00FD49B3"/>
    <w:rsid w:val="00FD4BFA"/>
    <w:rsid w:val="00FD4CEE"/>
    <w:rsid w:val="00FD4D78"/>
    <w:rsid w:val="00FD4FC7"/>
    <w:rsid w:val="00FD500D"/>
    <w:rsid w:val="00FD5110"/>
    <w:rsid w:val="00FD5124"/>
    <w:rsid w:val="00FD51B9"/>
    <w:rsid w:val="00FD5442"/>
    <w:rsid w:val="00FD5447"/>
    <w:rsid w:val="00FD5497"/>
    <w:rsid w:val="00FD55AA"/>
    <w:rsid w:val="00FD55E7"/>
    <w:rsid w:val="00FD580D"/>
    <w:rsid w:val="00FD58F3"/>
    <w:rsid w:val="00FD5DD4"/>
    <w:rsid w:val="00FD5E90"/>
    <w:rsid w:val="00FD5E96"/>
    <w:rsid w:val="00FD603B"/>
    <w:rsid w:val="00FD60B0"/>
    <w:rsid w:val="00FD615E"/>
    <w:rsid w:val="00FD6319"/>
    <w:rsid w:val="00FD6453"/>
    <w:rsid w:val="00FD64B3"/>
    <w:rsid w:val="00FD65D1"/>
    <w:rsid w:val="00FD6772"/>
    <w:rsid w:val="00FD7352"/>
    <w:rsid w:val="00FD740E"/>
    <w:rsid w:val="00FD7BEC"/>
    <w:rsid w:val="00FD7E36"/>
    <w:rsid w:val="00FE0161"/>
    <w:rsid w:val="00FE0205"/>
    <w:rsid w:val="00FE04AC"/>
    <w:rsid w:val="00FE0594"/>
    <w:rsid w:val="00FE0701"/>
    <w:rsid w:val="00FE1068"/>
    <w:rsid w:val="00FE11C6"/>
    <w:rsid w:val="00FE15FF"/>
    <w:rsid w:val="00FE1832"/>
    <w:rsid w:val="00FE195E"/>
    <w:rsid w:val="00FE1C4B"/>
    <w:rsid w:val="00FE1C55"/>
    <w:rsid w:val="00FE21E7"/>
    <w:rsid w:val="00FE22D6"/>
    <w:rsid w:val="00FE2387"/>
    <w:rsid w:val="00FE28D2"/>
    <w:rsid w:val="00FE292F"/>
    <w:rsid w:val="00FE2FA4"/>
    <w:rsid w:val="00FE3199"/>
    <w:rsid w:val="00FE3C73"/>
    <w:rsid w:val="00FE3D26"/>
    <w:rsid w:val="00FE40E0"/>
    <w:rsid w:val="00FE4229"/>
    <w:rsid w:val="00FE4465"/>
    <w:rsid w:val="00FE44C2"/>
    <w:rsid w:val="00FE48F7"/>
    <w:rsid w:val="00FE4B54"/>
    <w:rsid w:val="00FE4C54"/>
    <w:rsid w:val="00FE4ED6"/>
    <w:rsid w:val="00FE5003"/>
    <w:rsid w:val="00FE5D9C"/>
    <w:rsid w:val="00FE613D"/>
    <w:rsid w:val="00FE62CB"/>
    <w:rsid w:val="00FE678C"/>
    <w:rsid w:val="00FE67B1"/>
    <w:rsid w:val="00FE6916"/>
    <w:rsid w:val="00FE70A7"/>
    <w:rsid w:val="00FE7142"/>
    <w:rsid w:val="00FE7629"/>
    <w:rsid w:val="00FE771E"/>
    <w:rsid w:val="00FE7943"/>
    <w:rsid w:val="00FE7C8F"/>
    <w:rsid w:val="00FE7CEA"/>
    <w:rsid w:val="00FF001E"/>
    <w:rsid w:val="00FF011F"/>
    <w:rsid w:val="00FF0426"/>
    <w:rsid w:val="00FF07DC"/>
    <w:rsid w:val="00FF0826"/>
    <w:rsid w:val="00FF0829"/>
    <w:rsid w:val="00FF08B0"/>
    <w:rsid w:val="00FF0E0F"/>
    <w:rsid w:val="00FF0F63"/>
    <w:rsid w:val="00FF0F80"/>
    <w:rsid w:val="00FF0F85"/>
    <w:rsid w:val="00FF1174"/>
    <w:rsid w:val="00FF13CB"/>
    <w:rsid w:val="00FF151A"/>
    <w:rsid w:val="00FF180E"/>
    <w:rsid w:val="00FF1A6A"/>
    <w:rsid w:val="00FF1AA7"/>
    <w:rsid w:val="00FF1C4D"/>
    <w:rsid w:val="00FF1F5E"/>
    <w:rsid w:val="00FF25C9"/>
    <w:rsid w:val="00FF2736"/>
    <w:rsid w:val="00FF2824"/>
    <w:rsid w:val="00FF2858"/>
    <w:rsid w:val="00FF2C58"/>
    <w:rsid w:val="00FF2C5B"/>
    <w:rsid w:val="00FF2D7E"/>
    <w:rsid w:val="00FF30C6"/>
    <w:rsid w:val="00FF3ADC"/>
    <w:rsid w:val="00FF3C17"/>
    <w:rsid w:val="00FF3C1F"/>
    <w:rsid w:val="00FF3CDC"/>
    <w:rsid w:val="00FF3FCE"/>
    <w:rsid w:val="00FF43B7"/>
    <w:rsid w:val="00FF43C1"/>
    <w:rsid w:val="00FF43CE"/>
    <w:rsid w:val="00FF4414"/>
    <w:rsid w:val="00FF481F"/>
    <w:rsid w:val="00FF48C6"/>
    <w:rsid w:val="00FF4C1B"/>
    <w:rsid w:val="00FF4CEE"/>
    <w:rsid w:val="00FF4D80"/>
    <w:rsid w:val="00FF53B8"/>
    <w:rsid w:val="00FF5532"/>
    <w:rsid w:val="00FF5E9B"/>
    <w:rsid w:val="00FF5EA2"/>
    <w:rsid w:val="00FF6151"/>
    <w:rsid w:val="00FF62A2"/>
    <w:rsid w:val="00FF6412"/>
    <w:rsid w:val="00FF64EF"/>
    <w:rsid w:val="00FF6593"/>
    <w:rsid w:val="00FF6B63"/>
    <w:rsid w:val="00FF6F12"/>
    <w:rsid w:val="00FF7206"/>
    <w:rsid w:val="00FF7428"/>
    <w:rsid w:val="00FF745F"/>
    <w:rsid w:val="00FF79EE"/>
    <w:rsid w:val="00FF7AEB"/>
    <w:rsid w:val="00FF7E8D"/>
    <w:rsid w:val="00FF7EAB"/>
    <w:rsid w:val="00FF7F49"/>
    <w:rsid w:val="015949F8"/>
    <w:rsid w:val="017159CF"/>
    <w:rsid w:val="0175CDAC"/>
    <w:rsid w:val="017959CB"/>
    <w:rsid w:val="01857103"/>
    <w:rsid w:val="01A64EB5"/>
    <w:rsid w:val="01ACCA61"/>
    <w:rsid w:val="01DC6518"/>
    <w:rsid w:val="01E6870B"/>
    <w:rsid w:val="0202F063"/>
    <w:rsid w:val="021A9485"/>
    <w:rsid w:val="023C0C5B"/>
    <w:rsid w:val="02551396"/>
    <w:rsid w:val="025D7B00"/>
    <w:rsid w:val="0274980E"/>
    <w:rsid w:val="027DD423"/>
    <w:rsid w:val="02842966"/>
    <w:rsid w:val="02C428FC"/>
    <w:rsid w:val="02D8FB9D"/>
    <w:rsid w:val="02E483AF"/>
    <w:rsid w:val="0305E416"/>
    <w:rsid w:val="0323E859"/>
    <w:rsid w:val="032F3F08"/>
    <w:rsid w:val="03454CDA"/>
    <w:rsid w:val="034F2D3F"/>
    <w:rsid w:val="0360EC18"/>
    <w:rsid w:val="036295ED"/>
    <w:rsid w:val="036597F8"/>
    <w:rsid w:val="03697699"/>
    <w:rsid w:val="03986F4F"/>
    <w:rsid w:val="0449C373"/>
    <w:rsid w:val="0459BAAC"/>
    <w:rsid w:val="045C9C09"/>
    <w:rsid w:val="049C635B"/>
    <w:rsid w:val="04B466D5"/>
    <w:rsid w:val="04D14F45"/>
    <w:rsid w:val="04DE4F02"/>
    <w:rsid w:val="04FE9479"/>
    <w:rsid w:val="05055590"/>
    <w:rsid w:val="057B47C3"/>
    <w:rsid w:val="05D35803"/>
    <w:rsid w:val="05D53EA2"/>
    <w:rsid w:val="05DB623A"/>
    <w:rsid w:val="05F5AAFC"/>
    <w:rsid w:val="067400BF"/>
    <w:rsid w:val="06B4FCFE"/>
    <w:rsid w:val="06F533BC"/>
    <w:rsid w:val="07055C8B"/>
    <w:rsid w:val="072CA251"/>
    <w:rsid w:val="07D3E0BC"/>
    <w:rsid w:val="08C4132B"/>
    <w:rsid w:val="090E38AF"/>
    <w:rsid w:val="09629BE3"/>
    <w:rsid w:val="0969CF54"/>
    <w:rsid w:val="09D6D9D7"/>
    <w:rsid w:val="09F14A58"/>
    <w:rsid w:val="0A055333"/>
    <w:rsid w:val="0A414915"/>
    <w:rsid w:val="0A6A10E0"/>
    <w:rsid w:val="0A70CF9F"/>
    <w:rsid w:val="0A997F00"/>
    <w:rsid w:val="0A9DE119"/>
    <w:rsid w:val="0AABC0DE"/>
    <w:rsid w:val="0AE6812D"/>
    <w:rsid w:val="0B17F120"/>
    <w:rsid w:val="0B5CCFC6"/>
    <w:rsid w:val="0BA0B3C1"/>
    <w:rsid w:val="0BCFD4C2"/>
    <w:rsid w:val="0C0A69AB"/>
    <w:rsid w:val="0C743733"/>
    <w:rsid w:val="0C7573A1"/>
    <w:rsid w:val="0C76FB0B"/>
    <w:rsid w:val="0C8164D1"/>
    <w:rsid w:val="0C8BDC60"/>
    <w:rsid w:val="0C9D4910"/>
    <w:rsid w:val="0CF44DFD"/>
    <w:rsid w:val="0D5C2FF5"/>
    <w:rsid w:val="0D6DE346"/>
    <w:rsid w:val="0D8357A5"/>
    <w:rsid w:val="0D9D5AB4"/>
    <w:rsid w:val="0DAB4ACD"/>
    <w:rsid w:val="0DB8984C"/>
    <w:rsid w:val="0DC72302"/>
    <w:rsid w:val="0DCC2229"/>
    <w:rsid w:val="0E1F0475"/>
    <w:rsid w:val="0E215823"/>
    <w:rsid w:val="0E39B351"/>
    <w:rsid w:val="0E6CA93E"/>
    <w:rsid w:val="0E75B68E"/>
    <w:rsid w:val="0F2DBB2A"/>
    <w:rsid w:val="0F38EFFB"/>
    <w:rsid w:val="0F493D40"/>
    <w:rsid w:val="0F4EA795"/>
    <w:rsid w:val="0F842557"/>
    <w:rsid w:val="0FD6E516"/>
    <w:rsid w:val="0FEB059D"/>
    <w:rsid w:val="0FFB54F5"/>
    <w:rsid w:val="101041EF"/>
    <w:rsid w:val="1031FAAD"/>
    <w:rsid w:val="1076005D"/>
    <w:rsid w:val="10AEDB60"/>
    <w:rsid w:val="10BE54B1"/>
    <w:rsid w:val="110CFFF7"/>
    <w:rsid w:val="1121FFDB"/>
    <w:rsid w:val="1182A92D"/>
    <w:rsid w:val="118631B7"/>
    <w:rsid w:val="11BEE9AA"/>
    <w:rsid w:val="11DEDCAE"/>
    <w:rsid w:val="11E0FF5E"/>
    <w:rsid w:val="11E77BCA"/>
    <w:rsid w:val="11F784F9"/>
    <w:rsid w:val="11FA5E2D"/>
    <w:rsid w:val="12276DEF"/>
    <w:rsid w:val="123B61D2"/>
    <w:rsid w:val="12B15D89"/>
    <w:rsid w:val="12BA30DC"/>
    <w:rsid w:val="12BD974C"/>
    <w:rsid w:val="12CFF33C"/>
    <w:rsid w:val="12DAEBF8"/>
    <w:rsid w:val="13107031"/>
    <w:rsid w:val="13253408"/>
    <w:rsid w:val="13572A29"/>
    <w:rsid w:val="13702A3B"/>
    <w:rsid w:val="13EF8DA8"/>
    <w:rsid w:val="1404A1FD"/>
    <w:rsid w:val="141FA5DB"/>
    <w:rsid w:val="143B6859"/>
    <w:rsid w:val="144D13F4"/>
    <w:rsid w:val="147DEFB6"/>
    <w:rsid w:val="1480BF59"/>
    <w:rsid w:val="149D3FDE"/>
    <w:rsid w:val="14A13FDB"/>
    <w:rsid w:val="14A72423"/>
    <w:rsid w:val="14C6DD0B"/>
    <w:rsid w:val="14CF6196"/>
    <w:rsid w:val="14E429DA"/>
    <w:rsid w:val="150CEF59"/>
    <w:rsid w:val="15232A34"/>
    <w:rsid w:val="1555260D"/>
    <w:rsid w:val="156A8AE9"/>
    <w:rsid w:val="1585AEF5"/>
    <w:rsid w:val="158B4E5B"/>
    <w:rsid w:val="158C01E2"/>
    <w:rsid w:val="15EE9C52"/>
    <w:rsid w:val="162B7FB6"/>
    <w:rsid w:val="1660D61E"/>
    <w:rsid w:val="16613BB3"/>
    <w:rsid w:val="1679F41D"/>
    <w:rsid w:val="169EA76F"/>
    <w:rsid w:val="16DFA819"/>
    <w:rsid w:val="16FC346C"/>
    <w:rsid w:val="1711AE6E"/>
    <w:rsid w:val="1747E6E9"/>
    <w:rsid w:val="1749DD9B"/>
    <w:rsid w:val="176740C4"/>
    <w:rsid w:val="177CCF84"/>
    <w:rsid w:val="1787525E"/>
    <w:rsid w:val="17B041AE"/>
    <w:rsid w:val="17E40AEB"/>
    <w:rsid w:val="17F942A7"/>
    <w:rsid w:val="180633F0"/>
    <w:rsid w:val="18244EEB"/>
    <w:rsid w:val="18490E2E"/>
    <w:rsid w:val="185CCF28"/>
    <w:rsid w:val="1860BC42"/>
    <w:rsid w:val="18BBD78E"/>
    <w:rsid w:val="18C41170"/>
    <w:rsid w:val="18C53C7C"/>
    <w:rsid w:val="18C59781"/>
    <w:rsid w:val="18E1BBCC"/>
    <w:rsid w:val="18F46A69"/>
    <w:rsid w:val="190492A6"/>
    <w:rsid w:val="195024C3"/>
    <w:rsid w:val="1976F75F"/>
    <w:rsid w:val="19CCFF55"/>
    <w:rsid w:val="19D63A6E"/>
    <w:rsid w:val="19E9886C"/>
    <w:rsid w:val="1A508757"/>
    <w:rsid w:val="1A5F5618"/>
    <w:rsid w:val="1A626E3C"/>
    <w:rsid w:val="1AE1C348"/>
    <w:rsid w:val="1B7E7050"/>
    <w:rsid w:val="1BA0FD50"/>
    <w:rsid w:val="1BCC5AF1"/>
    <w:rsid w:val="1C0DA86A"/>
    <w:rsid w:val="1C5A21CB"/>
    <w:rsid w:val="1C9DBC59"/>
    <w:rsid w:val="1CB5506A"/>
    <w:rsid w:val="1CCAD714"/>
    <w:rsid w:val="1CF6D163"/>
    <w:rsid w:val="1D1FF50B"/>
    <w:rsid w:val="1D3C89A5"/>
    <w:rsid w:val="1D69C71D"/>
    <w:rsid w:val="1D6B2CA3"/>
    <w:rsid w:val="1D759CF6"/>
    <w:rsid w:val="1D772090"/>
    <w:rsid w:val="1DB3CEC0"/>
    <w:rsid w:val="1DB99D9B"/>
    <w:rsid w:val="1DDAF0BF"/>
    <w:rsid w:val="1E2F6A6E"/>
    <w:rsid w:val="1E32944B"/>
    <w:rsid w:val="1E41ED54"/>
    <w:rsid w:val="1EA7799D"/>
    <w:rsid w:val="1EBB7057"/>
    <w:rsid w:val="1EC7650F"/>
    <w:rsid w:val="1ECE73C3"/>
    <w:rsid w:val="1F7E2ED9"/>
    <w:rsid w:val="1F82CCF3"/>
    <w:rsid w:val="1F9E61B7"/>
    <w:rsid w:val="1FAC9D8F"/>
    <w:rsid w:val="1FBD7A0B"/>
    <w:rsid w:val="1FC5D07A"/>
    <w:rsid w:val="200292EC"/>
    <w:rsid w:val="20102103"/>
    <w:rsid w:val="20130F40"/>
    <w:rsid w:val="20420D41"/>
    <w:rsid w:val="206B63FD"/>
    <w:rsid w:val="208BFBEE"/>
    <w:rsid w:val="20AC5504"/>
    <w:rsid w:val="20DE748D"/>
    <w:rsid w:val="2107DCF8"/>
    <w:rsid w:val="21106D35"/>
    <w:rsid w:val="215A5D3B"/>
    <w:rsid w:val="219430ED"/>
    <w:rsid w:val="21A03446"/>
    <w:rsid w:val="21D8E722"/>
    <w:rsid w:val="21E28510"/>
    <w:rsid w:val="21F22E7A"/>
    <w:rsid w:val="2204E961"/>
    <w:rsid w:val="220AB7FC"/>
    <w:rsid w:val="22556E71"/>
    <w:rsid w:val="228F3399"/>
    <w:rsid w:val="22D75F32"/>
    <w:rsid w:val="22E9E2C2"/>
    <w:rsid w:val="231F8C6D"/>
    <w:rsid w:val="23279938"/>
    <w:rsid w:val="23349D3E"/>
    <w:rsid w:val="2371D961"/>
    <w:rsid w:val="237F0106"/>
    <w:rsid w:val="2399A7DE"/>
    <w:rsid w:val="23E022E1"/>
    <w:rsid w:val="23E7BD42"/>
    <w:rsid w:val="23F4CC9A"/>
    <w:rsid w:val="24009D50"/>
    <w:rsid w:val="24B0ACEE"/>
    <w:rsid w:val="24B1FACC"/>
    <w:rsid w:val="24C382F3"/>
    <w:rsid w:val="251D57E0"/>
    <w:rsid w:val="251E6B5B"/>
    <w:rsid w:val="2530A587"/>
    <w:rsid w:val="2545BB13"/>
    <w:rsid w:val="257F114A"/>
    <w:rsid w:val="25B5B618"/>
    <w:rsid w:val="25D0D823"/>
    <w:rsid w:val="25EB27FC"/>
    <w:rsid w:val="2615F9C4"/>
    <w:rsid w:val="26980BD7"/>
    <w:rsid w:val="26E10C7C"/>
    <w:rsid w:val="270B239E"/>
    <w:rsid w:val="2762A9BA"/>
    <w:rsid w:val="277BABCB"/>
    <w:rsid w:val="2796E01A"/>
    <w:rsid w:val="27C4A88D"/>
    <w:rsid w:val="27D30FFD"/>
    <w:rsid w:val="280C869F"/>
    <w:rsid w:val="280D152D"/>
    <w:rsid w:val="280E5DB0"/>
    <w:rsid w:val="2839C5AB"/>
    <w:rsid w:val="284C1E89"/>
    <w:rsid w:val="2861069C"/>
    <w:rsid w:val="286FE245"/>
    <w:rsid w:val="28835F51"/>
    <w:rsid w:val="28863D81"/>
    <w:rsid w:val="28887840"/>
    <w:rsid w:val="289861A6"/>
    <w:rsid w:val="28992D18"/>
    <w:rsid w:val="28A66FAE"/>
    <w:rsid w:val="28B941F4"/>
    <w:rsid w:val="28C8E1F7"/>
    <w:rsid w:val="28F1C032"/>
    <w:rsid w:val="290F1EBD"/>
    <w:rsid w:val="291E327B"/>
    <w:rsid w:val="29205409"/>
    <w:rsid w:val="29257EB1"/>
    <w:rsid w:val="2950A9B7"/>
    <w:rsid w:val="295451C6"/>
    <w:rsid w:val="297D8BD4"/>
    <w:rsid w:val="29C1BCEB"/>
    <w:rsid w:val="29DACC56"/>
    <w:rsid w:val="29DF01BF"/>
    <w:rsid w:val="29FC9DAB"/>
    <w:rsid w:val="2A023391"/>
    <w:rsid w:val="2A19F980"/>
    <w:rsid w:val="2A568E14"/>
    <w:rsid w:val="2A621F96"/>
    <w:rsid w:val="2A8881A0"/>
    <w:rsid w:val="2AA5FE4B"/>
    <w:rsid w:val="2AF5C7AB"/>
    <w:rsid w:val="2AF63413"/>
    <w:rsid w:val="2AF91D00"/>
    <w:rsid w:val="2B7A2E7E"/>
    <w:rsid w:val="2B908A89"/>
    <w:rsid w:val="2B96FFB5"/>
    <w:rsid w:val="2BA2C343"/>
    <w:rsid w:val="2BFB7DF2"/>
    <w:rsid w:val="2C5246D2"/>
    <w:rsid w:val="2C69BFE2"/>
    <w:rsid w:val="2C8DD749"/>
    <w:rsid w:val="2CA1934B"/>
    <w:rsid w:val="2CB74AA6"/>
    <w:rsid w:val="2D000DB1"/>
    <w:rsid w:val="2D6EE8B8"/>
    <w:rsid w:val="2D729D91"/>
    <w:rsid w:val="2D7E450D"/>
    <w:rsid w:val="2DB3443E"/>
    <w:rsid w:val="2DB5394B"/>
    <w:rsid w:val="2DDDA969"/>
    <w:rsid w:val="2DF2E3FE"/>
    <w:rsid w:val="2E8006B7"/>
    <w:rsid w:val="2E814927"/>
    <w:rsid w:val="2EDD4790"/>
    <w:rsid w:val="2EEECDA6"/>
    <w:rsid w:val="2F042774"/>
    <w:rsid w:val="2F30511A"/>
    <w:rsid w:val="2F3F61B9"/>
    <w:rsid w:val="2F57E08C"/>
    <w:rsid w:val="2F5B2442"/>
    <w:rsid w:val="2F958918"/>
    <w:rsid w:val="2FBA7676"/>
    <w:rsid w:val="2FC84D65"/>
    <w:rsid w:val="2FF75E05"/>
    <w:rsid w:val="30110CED"/>
    <w:rsid w:val="30486DBD"/>
    <w:rsid w:val="309AA424"/>
    <w:rsid w:val="30D50595"/>
    <w:rsid w:val="314AFC3D"/>
    <w:rsid w:val="314C9871"/>
    <w:rsid w:val="3159F1A9"/>
    <w:rsid w:val="31872558"/>
    <w:rsid w:val="31982493"/>
    <w:rsid w:val="31C0D47C"/>
    <w:rsid w:val="3213AD87"/>
    <w:rsid w:val="3222FC92"/>
    <w:rsid w:val="3245214B"/>
    <w:rsid w:val="32803A2A"/>
    <w:rsid w:val="3284FB0B"/>
    <w:rsid w:val="32BF43C6"/>
    <w:rsid w:val="32CD03B4"/>
    <w:rsid w:val="32EE2219"/>
    <w:rsid w:val="330EA3CF"/>
    <w:rsid w:val="335B5118"/>
    <w:rsid w:val="335D4C11"/>
    <w:rsid w:val="337090EF"/>
    <w:rsid w:val="338238C5"/>
    <w:rsid w:val="338CCE93"/>
    <w:rsid w:val="338E2E8A"/>
    <w:rsid w:val="33A2DE3B"/>
    <w:rsid w:val="33C1B7CE"/>
    <w:rsid w:val="340D43A0"/>
    <w:rsid w:val="3421624B"/>
    <w:rsid w:val="34555C69"/>
    <w:rsid w:val="35548922"/>
    <w:rsid w:val="35783BAF"/>
    <w:rsid w:val="35D6402E"/>
    <w:rsid w:val="3600196D"/>
    <w:rsid w:val="363A69E7"/>
    <w:rsid w:val="3689264B"/>
    <w:rsid w:val="3694655E"/>
    <w:rsid w:val="36AB5CB3"/>
    <w:rsid w:val="36EF780E"/>
    <w:rsid w:val="36F75058"/>
    <w:rsid w:val="36F828A6"/>
    <w:rsid w:val="370988B3"/>
    <w:rsid w:val="371662F0"/>
    <w:rsid w:val="37924F11"/>
    <w:rsid w:val="379C52DF"/>
    <w:rsid w:val="37B9850A"/>
    <w:rsid w:val="37BE997F"/>
    <w:rsid w:val="37BF453E"/>
    <w:rsid w:val="37F93A2A"/>
    <w:rsid w:val="37F9F9B8"/>
    <w:rsid w:val="3804DE42"/>
    <w:rsid w:val="3823523D"/>
    <w:rsid w:val="3843A6AD"/>
    <w:rsid w:val="385F6D1C"/>
    <w:rsid w:val="387D80F6"/>
    <w:rsid w:val="38A45D3F"/>
    <w:rsid w:val="38C79C2E"/>
    <w:rsid w:val="39022E0F"/>
    <w:rsid w:val="391FAC01"/>
    <w:rsid w:val="3927948A"/>
    <w:rsid w:val="39330B73"/>
    <w:rsid w:val="39535268"/>
    <w:rsid w:val="396E0036"/>
    <w:rsid w:val="39BBC91B"/>
    <w:rsid w:val="39E97124"/>
    <w:rsid w:val="3A5722FD"/>
    <w:rsid w:val="3A8C7692"/>
    <w:rsid w:val="3A9B1A0F"/>
    <w:rsid w:val="3AD8CE14"/>
    <w:rsid w:val="3B22D8DE"/>
    <w:rsid w:val="3B4A7088"/>
    <w:rsid w:val="3B992EE1"/>
    <w:rsid w:val="3BE1A15D"/>
    <w:rsid w:val="3C0860C3"/>
    <w:rsid w:val="3C8B79DD"/>
    <w:rsid w:val="3CCB65D1"/>
    <w:rsid w:val="3CDBB464"/>
    <w:rsid w:val="3D1E488F"/>
    <w:rsid w:val="3D395E08"/>
    <w:rsid w:val="3D694C0C"/>
    <w:rsid w:val="3D9FFF72"/>
    <w:rsid w:val="3DC950E1"/>
    <w:rsid w:val="3DD42385"/>
    <w:rsid w:val="3DD569C9"/>
    <w:rsid w:val="3DF3B834"/>
    <w:rsid w:val="3DFFA571"/>
    <w:rsid w:val="3E129211"/>
    <w:rsid w:val="3E6A8CB8"/>
    <w:rsid w:val="3E71BDD2"/>
    <w:rsid w:val="3E7C85E7"/>
    <w:rsid w:val="3EC2F960"/>
    <w:rsid w:val="3F0842A5"/>
    <w:rsid w:val="3F6EDD8E"/>
    <w:rsid w:val="3F9C9FE7"/>
    <w:rsid w:val="3FBD0393"/>
    <w:rsid w:val="3FF93C66"/>
    <w:rsid w:val="40792779"/>
    <w:rsid w:val="409DC849"/>
    <w:rsid w:val="40A481E5"/>
    <w:rsid w:val="40B45A75"/>
    <w:rsid w:val="40E19C8C"/>
    <w:rsid w:val="410725A0"/>
    <w:rsid w:val="410FB88C"/>
    <w:rsid w:val="41E1D3FF"/>
    <w:rsid w:val="41E4B303"/>
    <w:rsid w:val="41EBC2A9"/>
    <w:rsid w:val="4207E076"/>
    <w:rsid w:val="42092A51"/>
    <w:rsid w:val="425E0C00"/>
    <w:rsid w:val="42A2FDD0"/>
    <w:rsid w:val="42B1C648"/>
    <w:rsid w:val="42DCD699"/>
    <w:rsid w:val="42F162A3"/>
    <w:rsid w:val="431DDFFC"/>
    <w:rsid w:val="43316027"/>
    <w:rsid w:val="437B044B"/>
    <w:rsid w:val="4383DDE2"/>
    <w:rsid w:val="43902B90"/>
    <w:rsid w:val="4458C823"/>
    <w:rsid w:val="445BF07F"/>
    <w:rsid w:val="44FE8797"/>
    <w:rsid w:val="450374E2"/>
    <w:rsid w:val="45431C2D"/>
    <w:rsid w:val="45AE28C0"/>
    <w:rsid w:val="45B3C7EC"/>
    <w:rsid w:val="45E3A887"/>
    <w:rsid w:val="45FC0730"/>
    <w:rsid w:val="465A9E09"/>
    <w:rsid w:val="468EA25A"/>
    <w:rsid w:val="46C03E6B"/>
    <w:rsid w:val="46EFC38C"/>
    <w:rsid w:val="46F9A004"/>
    <w:rsid w:val="470FDBB2"/>
    <w:rsid w:val="47378350"/>
    <w:rsid w:val="474BB06F"/>
    <w:rsid w:val="47E13E35"/>
    <w:rsid w:val="480B15E8"/>
    <w:rsid w:val="4817C3CD"/>
    <w:rsid w:val="484786A7"/>
    <w:rsid w:val="484DB2C5"/>
    <w:rsid w:val="48584FF7"/>
    <w:rsid w:val="4887244D"/>
    <w:rsid w:val="488EDA6E"/>
    <w:rsid w:val="48EFA0FD"/>
    <w:rsid w:val="4904368E"/>
    <w:rsid w:val="490912DB"/>
    <w:rsid w:val="495E1210"/>
    <w:rsid w:val="49BBFB41"/>
    <w:rsid w:val="49D42AF4"/>
    <w:rsid w:val="49DF703C"/>
    <w:rsid w:val="49F1B0E4"/>
    <w:rsid w:val="4A209F1E"/>
    <w:rsid w:val="4A597707"/>
    <w:rsid w:val="4A5B0169"/>
    <w:rsid w:val="4A7A249D"/>
    <w:rsid w:val="4ACF7C09"/>
    <w:rsid w:val="4AECB165"/>
    <w:rsid w:val="4B072C82"/>
    <w:rsid w:val="4B14C5C9"/>
    <w:rsid w:val="4B522AFB"/>
    <w:rsid w:val="4BE3F05B"/>
    <w:rsid w:val="4C14A975"/>
    <w:rsid w:val="4C39EB58"/>
    <w:rsid w:val="4C6B6C74"/>
    <w:rsid w:val="4CC2094C"/>
    <w:rsid w:val="4CCD7420"/>
    <w:rsid w:val="4D1A352D"/>
    <w:rsid w:val="4D2E6521"/>
    <w:rsid w:val="4D3FE41F"/>
    <w:rsid w:val="4D444A02"/>
    <w:rsid w:val="4DB39F34"/>
    <w:rsid w:val="4DD72DDC"/>
    <w:rsid w:val="4DDE86A9"/>
    <w:rsid w:val="4DEFC17A"/>
    <w:rsid w:val="4E39DF78"/>
    <w:rsid w:val="4E3FA941"/>
    <w:rsid w:val="4F4AFB62"/>
    <w:rsid w:val="4F98EC37"/>
    <w:rsid w:val="4F998155"/>
    <w:rsid w:val="4FA1DC14"/>
    <w:rsid w:val="4FA4DAD8"/>
    <w:rsid w:val="4FBAABA8"/>
    <w:rsid w:val="4FD543DC"/>
    <w:rsid w:val="4FFC2038"/>
    <w:rsid w:val="5006D82D"/>
    <w:rsid w:val="506C4BC7"/>
    <w:rsid w:val="50DD9E8D"/>
    <w:rsid w:val="50F80E27"/>
    <w:rsid w:val="510EF463"/>
    <w:rsid w:val="51182AEC"/>
    <w:rsid w:val="511B7232"/>
    <w:rsid w:val="5161CE2A"/>
    <w:rsid w:val="516F29C6"/>
    <w:rsid w:val="51C5C4C1"/>
    <w:rsid w:val="51C8D4A7"/>
    <w:rsid w:val="520A0B3B"/>
    <w:rsid w:val="521BE00D"/>
    <w:rsid w:val="522793C1"/>
    <w:rsid w:val="52305466"/>
    <w:rsid w:val="52404EFB"/>
    <w:rsid w:val="524A0776"/>
    <w:rsid w:val="52916BAF"/>
    <w:rsid w:val="52C2E580"/>
    <w:rsid w:val="52CECA63"/>
    <w:rsid w:val="52D54120"/>
    <w:rsid w:val="52F2147E"/>
    <w:rsid w:val="53063426"/>
    <w:rsid w:val="5308ECC8"/>
    <w:rsid w:val="53165211"/>
    <w:rsid w:val="53202850"/>
    <w:rsid w:val="53222113"/>
    <w:rsid w:val="532B43DC"/>
    <w:rsid w:val="532C2499"/>
    <w:rsid w:val="5337F7A0"/>
    <w:rsid w:val="5386381B"/>
    <w:rsid w:val="53923AD4"/>
    <w:rsid w:val="53C944F4"/>
    <w:rsid w:val="53CBBB5C"/>
    <w:rsid w:val="5463D03D"/>
    <w:rsid w:val="54649647"/>
    <w:rsid w:val="5465D33A"/>
    <w:rsid w:val="54D185FD"/>
    <w:rsid w:val="552BD66C"/>
    <w:rsid w:val="555039EC"/>
    <w:rsid w:val="5576896D"/>
    <w:rsid w:val="557C6E30"/>
    <w:rsid w:val="559FA831"/>
    <w:rsid w:val="55B9FD48"/>
    <w:rsid w:val="55C68076"/>
    <w:rsid w:val="561144C4"/>
    <w:rsid w:val="561BF417"/>
    <w:rsid w:val="56A08B0C"/>
    <w:rsid w:val="56ACE16D"/>
    <w:rsid w:val="56B0F4CF"/>
    <w:rsid w:val="56B8CBE9"/>
    <w:rsid w:val="56EA2E1B"/>
    <w:rsid w:val="570A9284"/>
    <w:rsid w:val="572FFC76"/>
    <w:rsid w:val="576C8C3A"/>
    <w:rsid w:val="5794D5F7"/>
    <w:rsid w:val="57F3E6B6"/>
    <w:rsid w:val="58123C77"/>
    <w:rsid w:val="586B58DE"/>
    <w:rsid w:val="59001091"/>
    <w:rsid w:val="598EEE1A"/>
    <w:rsid w:val="59B65EA5"/>
    <w:rsid w:val="5A067BDD"/>
    <w:rsid w:val="5A072B10"/>
    <w:rsid w:val="5A211CB0"/>
    <w:rsid w:val="5A3E1AA9"/>
    <w:rsid w:val="5A452798"/>
    <w:rsid w:val="5A760B19"/>
    <w:rsid w:val="5AB791EB"/>
    <w:rsid w:val="5ADF07F2"/>
    <w:rsid w:val="5AE9E328"/>
    <w:rsid w:val="5B0F696A"/>
    <w:rsid w:val="5B963248"/>
    <w:rsid w:val="5B9E71AC"/>
    <w:rsid w:val="5BA3AE5F"/>
    <w:rsid w:val="5BD01C0A"/>
    <w:rsid w:val="5C28D163"/>
    <w:rsid w:val="5C3C7DBF"/>
    <w:rsid w:val="5C8A42BE"/>
    <w:rsid w:val="5CA62BA0"/>
    <w:rsid w:val="5CB14367"/>
    <w:rsid w:val="5CD47A5A"/>
    <w:rsid w:val="5D1B317F"/>
    <w:rsid w:val="5D298DF3"/>
    <w:rsid w:val="5D34A7CA"/>
    <w:rsid w:val="5D514129"/>
    <w:rsid w:val="5D620826"/>
    <w:rsid w:val="5D6D3E2E"/>
    <w:rsid w:val="5DB6EDB3"/>
    <w:rsid w:val="5DE14A4A"/>
    <w:rsid w:val="5E130FA4"/>
    <w:rsid w:val="5E243B94"/>
    <w:rsid w:val="5E539EB7"/>
    <w:rsid w:val="5E810E94"/>
    <w:rsid w:val="5EAE098E"/>
    <w:rsid w:val="5EBEDF91"/>
    <w:rsid w:val="5F0B1DD8"/>
    <w:rsid w:val="5F4221B7"/>
    <w:rsid w:val="5F60F880"/>
    <w:rsid w:val="5F741C4D"/>
    <w:rsid w:val="5FE32424"/>
    <w:rsid w:val="6021F0BC"/>
    <w:rsid w:val="6045B5EA"/>
    <w:rsid w:val="60660EB8"/>
    <w:rsid w:val="6073CEA2"/>
    <w:rsid w:val="616A2514"/>
    <w:rsid w:val="61930F3F"/>
    <w:rsid w:val="61A64D41"/>
    <w:rsid w:val="61D6A2EE"/>
    <w:rsid w:val="62047E18"/>
    <w:rsid w:val="6236C7B2"/>
    <w:rsid w:val="62645074"/>
    <w:rsid w:val="626D436D"/>
    <w:rsid w:val="6271E67B"/>
    <w:rsid w:val="629D5564"/>
    <w:rsid w:val="62B9B2CB"/>
    <w:rsid w:val="62D3DAD2"/>
    <w:rsid w:val="62F04722"/>
    <w:rsid w:val="62F9A9AA"/>
    <w:rsid w:val="6319F4E9"/>
    <w:rsid w:val="632BA787"/>
    <w:rsid w:val="637684E2"/>
    <w:rsid w:val="637C2D7F"/>
    <w:rsid w:val="637E8221"/>
    <w:rsid w:val="63B0C02F"/>
    <w:rsid w:val="63DA5A32"/>
    <w:rsid w:val="63DDE2AA"/>
    <w:rsid w:val="640C5F70"/>
    <w:rsid w:val="64354C10"/>
    <w:rsid w:val="644CCDC2"/>
    <w:rsid w:val="646DB660"/>
    <w:rsid w:val="64C3A46B"/>
    <w:rsid w:val="6504EB81"/>
    <w:rsid w:val="650CE6D2"/>
    <w:rsid w:val="651D120C"/>
    <w:rsid w:val="656CCDF0"/>
    <w:rsid w:val="659A53AE"/>
    <w:rsid w:val="65B95D10"/>
    <w:rsid w:val="65BD7565"/>
    <w:rsid w:val="66A13487"/>
    <w:rsid w:val="66B8216B"/>
    <w:rsid w:val="66FFA5E2"/>
    <w:rsid w:val="67033EA1"/>
    <w:rsid w:val="670B3DD5"/>
    <w:rsid w:val="670E0ED6"/>
    <w:rsid w:val="6741B350"/>
    <w:rsid w:val="6750F8B6"/>
    <w:rsid w:val="68421385"/>
    <w:rsid w:val="685391A2"/>
    <w:rsid w:val="6905EFFC"/>
    <w:rsid w:val="69154E73"/>
    <w:rsid w:val="699B56C9"/>
    <w:rsid w:val="69AE9B11"/>
    <w:rsid w:val="69C3753F"/>
    <w:rsid w:val="69F2544C"/>
    <w:rsid w:val="69F42EB1"/>
    <w:rsid w:val="69FA5F47"/>
    <w:rsid w:val="6A387CDE"/>
    <w:rsid w:val="6A6DAB18"/>
    <w:rsid w:val="6A6FD47C"/>
    <w:rsid w:val="6AA424BC"/>
    <w:rsid w:val="6AF52F45"/>
    <w:rsid w:val="6B24B3DC"/>
    <w:rsid w:val="6B2AA9ED"/>
    <w:rsid w:val="6B750B43"/>
    <w:rsid w:val="6B7C1FE7"/>
    <w:rsid w:val="6BC10107"/>
    <w:rsid w:val="6BC64E66"/>
    <w:rsid w:val="6C91EDF9"/>
    <w:rsid w:val="6C9C8EAE"/>
    <w:rsid w:val="6CAC48FA"/>
    <w:rsid w:val="6D305EB2"/>
    <w:rsid w:val="6D524CEB"/>
    <w:rsid w:val="6D76182A"/>
    <w:rsid w:val="6D88C562"/>
    <w:rsid w:val="6D8AB013"/>
    <w:rsid w:val="6DB6A01A"/>
    <w:rsid w:val="6DFC6281"/>
    <w:rsid w:val="6E836191"/>
    <w:rsid w:val="6E996BA8"/>
    <w:rsid w:val="6ED3C290"/>
    <w:rsid w:val="6ED3EF30"/>
    <w:rsid w:val="6ED7301C"/>
    <w:rsid w:val="6EDD002A"/>
    <w:rsid w:val="6EE186EB"/>
    <w:rsid w:val="6EE7DDC9"/>
    <w:rsid w:val="6EFA3B0F"/>
    <w:rsid w:val="6F5025F0"/>
    <w:rsid w:val="6F7D7613"/>
    <w:rsid w:val="6F894E38"/>
    <w:rsid w:val="6FEC10E5"/>
    <w:rsid w:val="6FFB84D2"/>
    <w:rsid w:val="70146511"/>
    <w:rsid w:val="7018A039"/>
    <w:rsid w:val="70277E1D"/>
    <w:rsid w:val="7033A4EB"/>
    <w:rsid w:val="7047C9EF"/>
    <w:rsid w:val="705A3BD1"/>
    <w:rsid w:val="705BD395"/>
    <w:rsid w:val="70766728"/>
    <w:rsid w:val="70D210A9"/>
    <w:rsid w:val="70E46A08"/>
    <w:rsid w:val="70EE51FA"/>
    <w:rsid w:val="7102C1CE"/>
    <w:rsid w:val="7115328A"/>
    <w:rsid w:val="712BFBF4"/>
    <w:rsid w:val="71573F61"/>
    <w:rsid w:val="717B8E94"/>
    <w:rsid w:val="71808569"/>
    <w:rsid w:val="721D0635"/>
    <w:rsid w:val="7277A1B8"/>
    <w:rsid w:val="729A215F"/>
    <w:rsid w:val="72A7FED6"/>
    <w:rsid w:val="72B695B2"/>
    <w:rsid w:val="72CE6CD9"/>
    <w:rsid w:val="731955B2"/>
    <w:rsid w:val="73C2CFE0"/>
    <w:rsid w:val="73C7B05F"/>
    <w:rsid w:val="7458246B"/>
    <w:rsid w:val="74ECBC42"/>
    <w:rsid w:val="754B1FF3"/>
    <w:rsid w:val="758EF25D"/>
    <w:rsid w:val="75B5E90D"/>
    <w:rsid w:val="763D2DC9"/>
    <w:rsid w:val="76499B59"/>
    <w:rsid w:val="769044CB"/>
    <w:rsid w:val="769772F2"/>
    <w:rsid w:val="76A1F931"/>
    <w:rsid w:val="76C9164A"/>
    <w:rsid w:val="76E46647"/>
    <w:rsid w:val="76E9B84B"/>
    <w:rsid w:val="770EE36B"/>
    <w:rsid w:val="773E2D6C"/>
    <w:rsid w:val="7781A22E"/>
    <w:rsid w:val="77E7EDDF"/>
    <w:rsid w:val="78140335"/>
    <w:rsid w:val="78B17703"/>
    <w:rsid w:val="7924E8A5"/>
    <w:rsid w:val="7932C325"/>
    <w:rsid w:val="79855CA4"/>
    <w:rsid w:val="798E3506"/>
    <w:rsid w:val="79E1B6EA"/>
    <w:rsid w:val="7A338385"/>
    <w:rsid w:val="7A43DA99"/>
    <w:rsid w:val="7A538B04"/>
    <w:rsid w:val="7A86FC58"/>
    <w:rsid w:val="7A961E15"/>
    <w:rsid w:val="7ABEAE10"/>
    <w:rsid w:val="7ADEFFAE"/>
    <w:rsid w:val="7AE5DC7C"/>
    <w:rsid w:val="7B11ACF4"/>
    <w:rsid w:val="7B1471F5"/>
    <w:rsid w:val="7B33D234"/>
    <w:rsid w:val="7B60272D"/>
    <w:rsid w:val="7B7589AB"/>
    <w:rsid w:val="7B8904C2"/>
    <w:rsid w:val="7B9360E3"/>
    <w:rsid w:val="7B96A4BE"/>
    <w:rsid w:val="7BE35D30"/>
    <w:rsid w:val="7BE51370"/>
    <w:rsid w:val="7BFD45B0"/>
    <w:rsid w:val="7C0CE77B"/>
    <w:rsid w:val="7C22E71B"/>
    <w:rsid w:val="7C4828C6"/>
    <w:rsid w:val="7C628F20"/>
    <w:rsid w:val="7CF5344A"/>
    <w:rsid w:val="7D40E1F2"/>
    <w:rsid w:val="7D50F542"/>
    <w:rsid w:val="7D69D75C"/>
    <w:rsid w:val="7D710173"/>
    <w:rsid w:val="7DA6CED5"/>
    <w:rsid w:val="7DA70A46"/>
    <w:rsid w:val="7DAC75C8"/>
    <w:rsid w:val="7DB96CB3"/>
    <w:rsid w:val="7DEDA11C"/>
    <w:rsid w:val="7E2BAC82"/>
    <w:rsid w:val="7EB20CCD"/>
    <w:rsid w:val="7EC598A3"/>
    <w:rsid w:val="7ED084FE"/>
    <w:rsid w:val="7EDF2E30"/>
    <w:rsid w:val="7EF62A23"/>
    <w:rsid w:val="7F01678E"/>
    <w:rsid w:val="7F4C0295"/>
    <w:rsid w:val="7F7942B5"/>
    <w:rsid w:val="7F940973"/>
    <w:rsid w:val="7FBA7976"/>
    <w:rsid w:val="7FDAD439"/>
    <w:rsid w:val="7FEA0E2D"/>
    <w:rsid w:val="7FF21D6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6E221"/>
  <w15:chartTrackingRefBased/>
  <w15:docId w15:val="{FAB46DA6-7132-47A5-A691-AC348A0B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95D"/>
    <w:pPr>
      <w:spacing w:after="180" w:line="280" w:lineRule="atLeast"/>
    </w:pPr>
    <w:rPr>
      <w:rFonts w:ascii="Arial" w:eastAsia="Times New Roman" w:hAnsi="Arial"/>
      <w:sz w:val="22"/>
      <w:lang w:val="en-GB" w:eastAsia="en-GB"/>
    </w:rPr>
  </w:style>
  <w:style w:type="paragraph" w:styleId="Heading1">
    <w:name w:val="heading 1"/>
    <w:basedOn w:val="Normal"/>
    <w:next w:val="Normal"/>
    <w:link w:val="Heading1Char"/>
    <w:uiPriority w:val="99"/>
    <w:qFormat/>
    <w:rsid w:val="00BC3EA0"/>
    <w:pPr>
      <w:spacing w:before="120" w:line="240" w:lineRule="auto"/>
      <w:outlineLvl w:val="0"/>
    </w:pPr>
    <w:rPr>
      <w:b/>
      <w:color w:val="002469"/>
      <w:spacing w:val="20"/>
      <w:w w:val="90"/>
      <w:sz w:val="44"/>
      <w:szCs w:val="44"/>
    </w:rPr>
  </w:style>
  <w:style w:type="paragraph" w:styleId="Heading2">
    <w:name w:val="heading 2"/>
    <w:basedOn w:val="Normal"/>
    <w:next w:val="Normal"/>
    <w:link w:val="Heading2Char"/>
    <w:autoRedefine/>
    <w:qFormat/>
    <w:rsid w:val="00E54290"/>
    <w:pPr>
      <w:keepNext/>
      <w:spacing w:before="120" w:after="120" w:line="240" w:lineRule="auto"/>
      <w:jc w:val="both"/>
      <w:outlineLvl w:val="1"/>
    </w:pPr>
    <w:rPr>
      <w:b/>
      <w:color w:val="0082AB"/>
      <w:spacing w:val="20"/>
      <w:w w:val="90"/>
      <w:sz w:val="24"/>
      <w:szCs w:val="24"/>
    </w:rPr>
  </w:style>
  <w:style w:type="paragraph" w:styleId="Heading3">
    <w:name w:val="heading 3"/>
    <w:basedOn w:val="Heading2"/>
    <w:next w:val="Normal"/>
    <w:link w:val="Heading3Char"/>
    <w:qFormat/>
    <w:rsid w:val="00715855"/>
    <w:pPr>
      <w:spacing w:before="200" w:after="180"/>
      <w:outlineLvl w:val="2"/>
    </w:pPr>
    <w:rPr>
      <w:szCs w:val="22"/>
    </w:rPr>
  </w:style>
  <w:style w:type="paragraph" w:styleId="Heading4">
    <w:name w:val="heading 4"/>
    <w:basedOn w:val="Normal"/>
    <w:next w:val="Normal"/>
    <w:link w:val="Heading4Char"/>
    <w:qFormat/>
    <w:rsid w:val="006448CF"/>
    <w:pPr>
      <w:spacing w:before="120" w:after="200" w:line="240" w:lineRule="auto"/>
      <w:outlineLvl w:val="3"/>
    </w:pPr>
    <w:rPr>
      <w:b/>
      <w:bCs/>
      <w:color w:val="595959" w:themeColor="text1" w:themeTint="A6"/>
    </w:rPr>
  </w:style>
  <w:style w:type="paragraph" w:styleId="Heading5">
    <w:name w:val="heading 5"/>
    <w:basedOn w:val="Normal"/>
    <w:next w:val="Normal"/>
    <w:link w:val="Heading5Char"/>
    <w:rsid w:val="00BC3EA0"/>
    <w:pPr>
      <w:keepNext/>
      <w:widowControl w:val="0"/>
      <w:spacing w:before="80" w:after="120"/>
      <w:outlineLvl w:val="4"/>
    </w:pPr>
    <w:rPr>
      <w:color w:val="000000"/>
      <w:szCs w:val="22"/>
    </w:rPr>
  </w:style>
  <w:style w:type="paragraph" w:styleId="Heading6">
    <w:name w:val="heading 6"/>
    <w:basedOn w:val="Normal"/>
    <w:next w:val="Normal"/>
    <w:link w:val="Heading6Char"/>
    <w:rsid w:val="00BC3EA0"/>
    <w:pPr>
      <w:spacing w:before="240"/>
      <w:outlineLvl w:val="5"/>
    </w:pPr>
    <w:rPr>
      <w:i/>
      <w:sz w:val="20"/>
    </w:rPr>
  </w:style>
  <w:style w:type="paragraph" w:styleId="Heading7">
    <w:name w:val="heading 7"/>
    <w:basedOn w:val="Normal"/>
    <w:next w:val="Normal"/>
    <w:link w:val="Heading7Char"/>
    <w:rsid w:val="00BC3EA0"/>
    <w:pPr>
      <w:spacing w:before="240"/>
      <w:outlineLvl w:val="6"/>
    </w:pPr>
    <w:rPr>
      <w:sz w:val="20"/>
    </w:rPr>
  </w:style>
  <w:style w:type="paragraph" w:styleId="Heading8">
    <w:name w:val="heading 8"/>
    <w:basedOn w:val="Normal"/>
    <w:next w:val="Normal"/>
    <w:link w:val="Heading8Char"/>
    <w:rsid w:val="00BC3EA0"/>
    <w:pPr>
      <w:spacing w:before="80" w:after="80"/>
      <w:outlineLvl w:val="7"/>
    </w:pPr>
    <w:rPr>
      <w:sz w:val="20"/>
    </w:rPr>
  </w:style>
  <w:style w:type="paragraph" w:styleId="Heading9">
    <w:name w:val="heading 9"/>
    <w:next w:val="Normal"/>
    <w:link w:val="Heading9Char"/>
    <w:rsid w:val="00BC3EA0"/>
    <w:pPr>
      <w:keepNext/>
      <w:spacing w:before="160" w:line="260" w:lineRule="exact"/>
      <w:outlineLvl w:val="8"/>
    </w:pPr>
    <w:rPr>
      <w:rFonts w:ascii="Arial" w:eastAsia="Times New Roman"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6448CF"/>
    <w:pPr>
      <w:tabs>
        <w:tab w:val="right" w:pos="14002"/>
      </w:tabs>
      <w:spacing w:after="0" w:line="240" w:lineRule="auto"/>
    </w:pPr>
    <w:rPr>
      <w:noProof/>
      <w:color w:val="0082AB"/>
      <w:spacing w:val="6"/>
      <w:sz w:val="16"/>
      <w:szCs w:val="16"/>
    </w:rPr>
  </w:style>
  <w:style w:type="character" w:customStyle="1" w:styleId="FooterChar">
    <w:name w:val="Footer Char"/>
    <w:link w:val="Footer"/>
    <w:uiPriority w:val="99"/>
    <w:rsid w:val="006448CF"/>
    <w:rPr>
      <w:rFonts w:ascii="Arial" w:eastAsia="Times New Roman" w:hAnsi="Arial"/>
      <w:noProof/>
      <w:color w:val="0082AB"/>
      <w:spacing w:val="6"/>
      <w:sz w:val="16"/>
      <w:szCs w:val="16"/>
      <w:lang w:val="en-GB" w:eastAsia="en-GB"/>
    </w:rPr>
  </w:style>
  <w:style w:type="table" w:styleId="TableGrid">
    <w:name w:val="Table Grid"/>
    <w:basedOn w:val="TableNormal"/>
    <w:uiPriority w:val="59"/>
    <w:rsid w:val="00BC3EA0"/>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C3EA0"/>
    <w:rPr>
      <w:rFonts w:ascii="Tahoma" w:hAnsi="Tahoma" w:cs="Tahoma"/>
      <w:sz w:val="16"/>
      <w:szCs w:val="16"/>
    </w:rPr>
  </w:style>
  <w:style w:type="character" w:customStyle="1" w:styleId="BalloonTextChar">
    <w:name w:val="Balloon Text Char"/>
    <w:link w:val="BalloonText"/>
    <w:semiHidden/>
    <w:rsid w:val="00487FAD"/>
    <w:rPr>
      <w:rFonts w:ascii="Tahoma" w:eastAsia="Times New Roman" w:hAnsi="Tahoma" w:cs="Tahoma"/>
      <w:sz w:val="16"/>
      <w:szCs w:val="16"/>
      <w:lang w:val="en-GB" w:eastAsia="en-GB"/>
    </w:rPr>
  </w:style>
  <w:style w:type="paragraph" w:styleId="ListParagraph">
    <w:name w:val="List Paragraph"/>
    <w:aliases w:val="Otakaro List Paragraph,List Paragraph numbered,List Bullet indent,Paragraph,Rec para,List Paragraph1,List Paragraph11,Dot pt,F5 List Paragraph,No Spacing1,List Paragraph Char Char Char,Indicator Text,Numbered Para 1,Bulletr List Paragraph"/>
    <w:basedOn w:val="Normal"/>
    <w:link w:val="ListParagraphChar"/>
    <w:uiPriority w:val="34"/>
    <w:qFormat/>
    <w:rsid w:val="006448CF"/>
    <w:pPr>
      <w:ind w:left="567"/>
      <w:contextualSpacing/>
    </w:pPr>
  </w:style>
  <w:style w:type="character" w:styleId="Hyperlink">
    <w:name w:val="Hyperlink"/>
    <w:uiPriority w:val="99"/>
    <w:rsid w:val="00537EFE"/>
    <w:rPr>
      <w:color w:val="0082AB"/>
      <w:u w:val="single"/>
    </w:rPr>
  </w:style>
  <w:style w:type="character" w:styleId="CommentReference">
    <w:name w:val="annotation reference"/>
    <w:uiPriority w:val="99"/>
    <w:semiHidden/>
    <w:rsid w:val="00BC3EA0"/>
    <w:rPr>
      <w:sz w:val="16"/>
      <w:szCs w:val="16"/>
    </w:rPr>
  </w:style>
  <w:style w:type="paragraph" w:styleId="CommentText">
    <w:name w:val="annotation text"/>
    <w:basedOn w:val="Normal"/>
    <w:link w:val="CommentTextChar"/>
    <w:uiPriority w:val="99"/>
    <w:semiHidden/>
    <w:rsid w:val="00BC3EA0"/>
    <w:rPr>
      <w:sz w:val="20"/>
    </w:rPr>
  </w:style>
  <w:style w:type="character" w:customStyle="1" w:styleId="CommentTextChar">
    <w:name w:val="Comment Text Char"/>
    <w:link w:val="CommentText"/>
    <w:uiPriority w:val="99"/>
    <w:semiHidden/>
    <w:rsid w:val="004A4084"/>
    <w:rPr>
      <w:rFonts w:ascii="Arial" w:eastAsia="Times New Roman" w:hAnsi="Arial" w:cs="Times New Roman"/>
      <w:sz w:val="20"/>
      <w:szCs w:val="20"/>
      <w:lang w:val="en-GB" w:eastAsia="en-GB"/>
    </w:rPr>
  </w:style>
  <w:style w:type="paragraph" w:customStyle="1" w:styleId="BodyText-Numbered">
    <w:name w:val="Body Text - Numbered"/>
    <w:basedOn w:val="BodyText"/>
    <w:link w:val="BodyText-NumberedChar"/>
    <w:qFormat/>
    <w:rsid w:val="004A4084"/>
    <w:pPr>
      <w:keepNext/>
      <w:spacing w:before="60" w:line="240" w:lineRule="auto"/>
    </w:pPr>
    <w:rPr>
      <w:rFonts w:cs="Arial"/>
    </w:rPr>
  </w:style>
  <w:style w:type="character" w:customStyle="1" w:styleId="BodyText-NumberedChar">
    <w:name w:val="Body Text - Numbered Char"/>
    <w:link w:val="BodyText-Numbered"/>
    <w:rsid w:val="004A4084"/>
    <w:rPr>
      <w:rFonts w:ascii="Arial" w:eastAsia="Times New Roman" w:hAnsi="Arial" w:cs="Arial"/>
      <w:sz w:val="22"/>
      <w:lang w:val="en-GB" w:eastAsia="en-GB"/>
    </w:rPr>
  </w:style>
  <w:style w:type="paragraph" w:styleId="BodyText">
    <w:name w:val="Body Text"/>
    <w:basedOn w:val="Normal"/>
    <w:link w:val="BodyTextChar"/>
    <w:uiPriority w:val="99"/>
    <w:semiHidden/>
    <w:unhideWhenUsed/>
    <w:rsid w:val="004A4084"/>
    <w:pPr>
      <w:spacing w:after="120"/>
    </w:pPr>
  </w:style>
  <w:style w:type="character" w:customStyle="1" w:styleId="BodyTextChar">
    <w:name w:val="Body Text Char"/>
    <w:basedOn w:val="DefaultParagraphFont"/>
    <w:link w:val="BodyText"/>
    <w:uiPriority w:val="99"/>
    <w:semiHidden/>
    <w:rsid w:val="004A4084"/>
  </w:style>
  <w:style w:type="paragraph" w:customStyle="1" w:styleId="spacer">
    <w:name w:val="spacer"/>
    <w:basedOn w:val="Normal"/>
    <w:qFormat/>
    <w:rsid w:val="00BC3EA0"/>
    <w:pPr>
      <w:spacing w:after="0" w:line="240" w:lineRule="auto"/>
    </w:pPr>
    <w:rPr>
      <w:sz w:val="16"/>
      <w:szCs w:val="22"/>
      <w:lang w:eastAsia="en-AU"/>
    </w:rPr>
  </w:style>
  <w:style w:type="paragraph" w:styleId="CommentSubject">
    <w:name w:val="annotation subject"/>
    <w:basedOn w:val="CommentText"/>
    <w:next w:val="CommentText"/>
    <w:link w:val="CommentSubjectChar"/>
    <w:semiHidden/>
    <w:rsid w:val="00BC3EA0"/>
    <w:rPr>
      <w:b/>
      <w:bCs/>
    </w:rPr>
  </w:style>
  <w:style w:type="character" w:customStyle="1" w:styleId="CommentSubjectChar">
    <w:name w:val="Comment Subject Char"/>
    <w:link w:val="CommentSubject"/>
    <w:semiHidden/>
    <w:rsid w:val="000C4659"/>
    <w:rPr>
      <w:rFonts w:ascii="Arial" w:eastAsia="Times New Roman" w:hAnsi="Arial" w:cs="Times New Roman"/>
      <w:b/>
      <w:bCs/>
      <w:sz w:val="20"/>
      <w:szCs w:val="20"/>
      <w:lang w:val="en-GB" w:eastAsia="en-GB"/>
    </w:rPr>
  </w:style>
  <w:style w:type="paragraph" w:styleId="Header">
    <w:name w:val="header"/>
    <w:basedOn w:val="Normal"/>
    <w:link w:val="HeaderChar"/>
    <w:uiPriority w:val="99"/>
    <w:rsid w:val="00BC3EA0"/>
    <w:pPr>
      <w:tabs>
        <w:tab w:val="center" w:pos="4153"/>
        <w:tab w:val="right" w:pos="8306"/>
      </w:tabs>
    </w:pPr>
  </w:style>
  <w:style w:type="character" w:customStyle="1" w:styleId="HeaderChar">
    <w:name w:val="Header Char"/>
    <w:link w:val="Header"/>
    <w:uiPriority w:val="99"/>
    <w:rsid w:val="008D265C"/>
    <w:rPr>
      <w:rFonts w:ascii="Arial" w:eastAsia="Times New Roman" w:hAnsi="Arial" w:cs="Times New Roman"/>
      <w:szCs w:val="20"/>
      <w:lang w:val="en-GB" w:eastAsia="en-GB"/>
    </w:rPr>
  </w:style>
  <w:style w:type="character" w:styleId="FollowedHyperlink">
    <w:name w:val="FollowedHyperlink"/>
    <w:rsid w:val="00BC3EA0"/>
    <w:rPr>
      <w:color w:val="800080"/>
      <w:u w:val="single"/>
    </w:rPr>
  </w:style>
  <w:style w:type="paragraph" w:styleId="Revision">
    <w:name w:val="Revision"/>
    <w:hidden/>
    <w:uiPriority w:val="99"/>
    <w:semiHidden/>
    <w:rsid w:val="0082413D"/>
    <w:rPr>
      <w:sz w:val="22"/>
      <w:szCs w:val="22"/>
      <w:lang w:eastAsia="en-US"/>
    </w:rPr>
  </w:style>
  <w:style w:type="paragraph" w:customStyle="1" w:styleId="Author">
    <w:name w:val="Author"/>
    <w:basedOn w:val="Normal"/>
    <w:semiHidden/>
    <w:rsid w:val="00BC3EA0"/>
    <w:pPr>
      <w:spacing w:before="240" w:after="1200"/>
      <w:ind w:left="-181"/>
      <w:jc w:val="right"/>
    </w:pPr>
    <w:rPr>
      <w:rFonts w:cs="Arial"/>
      <w:i/>
      <w:sz w:val="40"/>
      <w:szCs w:val="22"/>
    </w:rPr>
  </w:style>
  <w:style w:type="paragraph" w:customStyle="1" w:styleId="Boxtext">
    <w:name w:val="Box text"/>
    <w:basedOn w:val="Normal"/>
    <w:rsid w:val="00FA7EFC"/>
    <w:pPr>
      <w:pBdr>
        <w:top w:val="single" w:sz="4" w:space="10" w:color="EBF5F8"/>
        <w:left w:val="single" w:sz="4" w:space="4" w:color="EBF5F8"/>
        <w:bottom w:val="single" w:sz="4" w:space="10" w:color="EBF5F8"/>
        <w:right w:val="single" w:sz="4" w:space="4" w:color="EBF5F8"/>
      </w:pBdr>
      <w:shd w:val="clear" w:color="auto" w:fill="EBF5F8"/>
      <w:spacing w:after="80"/>
      <w:ind w:left="142" w:right="142"/>
    </w:pPr>
    <w:rPr>
      <w:i/>
    </w:rPr>
  </w:style>
  <w:style w:type="paragraph" w:customStyle="1" w:styleId="Boxbullet">
    <w:name w:val="Box bullet"/>
    <w:basedOn w:val="Boxtext"/>
    <w:rsid w:val="00BC3EA0"/>
    <w:pPr>
      <w:numPr>
        <w:numId w:val="1"/>
      </w:numPr>
      <w:tabs>
        <w:tab w:val="clear" w:pos="644"/>
        <w:tab w:val="num" w:pos="426"/>
      </w:tabs>
      <w:spacing w:before="80"/>
    </w:pPr>
  </w:style>
  <w:style w:type="paragraph" w:customStyle="1" w:styleId="Boxheading">
    <w:name w:val="Box heading"/>
    <w:basedOn w:val="Normal"/>
    <w:next w:val="Boxtext"/>
    <w:autoRedefine/>
    <w:rsid w:val="00BC3EA0"/>
    <w:pPr>
      <w:spacing w:before="180" w:after="60" w:line="240" w:lineRule="auto"/>
      <w:ind w:left="284" w:right="284"/>
    </w:pPr>
    <w:rPr>
      <w:rFonts w:ascii="Arial Narrow" w:hAnsi="Arial Narrow"/>
      <w:b/>
      <w:bCs/>
      <w:color w:val="335087"/>
      <w:spacing w:val="10"/>
      <w:szCs w:val="22"/>
    </w:rPr>
  </w:style>
  <w:style w:type="paragraph" w:customStyle="1" w:styleId="Boxindent">
    <w:name w:val="Box indent"/>
    <w:basedOn w:val="Boxtext"/>
    <w:rsid w:val="00BC3EA0"/>
    <w:pPr>
      <w:tabs>
        <w:tab w:val="left" w:pos="426"/>
      </w:tabs>
      <w:ind w:left="426" w:hanging="284"/>
    </w:pPr>
  </w:style>
  <w:style w:type="paragraph" w:customStyle="1" w:styleId="Bullet-list">
    <w:name w:val="Bullet-list"/>
    <w:qFormat/>
    <w:rsid w:val="00BC3EA0"/>
    <w:pPr>
      <w:numPr>
        <w:numId w:val="2"/>
      </w:numPr>
      <w:spacing w:after="180" w:line="280" w:lineRule="exact"/>
    </w:pPr>
    <w:rPr>
      <w:rFonts w:ascii="Arial" w:eastAsia="Times New Roman" w:hAnsi="Arial"/>
      <w:sz w:val="22"/>
      <w:lang w:val="en-AU" w:eastAsia="en-US"/>
    </w:rPr>
  </w:style>
  <w:style w:type="paragraph" w:styleId="Caption">
    <w:name w:val="caption"/>
    <w:basedOn w:val="Normal"/>
    <w:next w:val="Normal"/>
    <w:rsid w:val="00BC3EA0"/>
    <w:rPr>
      <w:b/>
      <w:bCs/>
      <w:sz w:val="20"/>
    </w:rPr>
  </w:style>
  <w:style w:type="paragraph" w:styleId="DocumentMap">
    <w:name w:val="Document Map"/>
    <w:basedOn w:val="Normal"/>
    <w:link w:val="DocumentMapChar"/>
    <w:semiHidden/>
    <w:rsid w:val="00BC3EA0"/>
    <w:pPr>
      <w:shd w:val="clear" w:color="auto" w:fill="000080"/>
    </w:pPr>
    <w:rPr>
      <w:rFonts w:ascii="Tahoma" w:hAnsi="Tahoma" w:cs="Tahoma"/>
      <w:sz w:val="20"/>
    </w:rPr>
  </w:style>
  <w:style w:type="character" w:customStyle="1" w:styleId="DocumentMapChar">
    <w:name w:val="Document Map Char"/>
    <w:link w:val="DocumentMap"/>
    <w:semiHidden/>
    <w:rsid w:val="00BC3EA0"/>
    <w:rPr>
      <w:rFonts w:ascii="Tahoma" w:eastAsia="Times New Roman" w:hAnsi="Tahoma" w:cs="Tahoma"/>
      <w:sz w:val="20"/>
      <w:szCs w:val="20"/>
      <w:shd w:val="clear" w:color="auto" w:fill="000080"/>
      <w:lang w:val="en-GB" w:eastAsia="en-GB"/>
    </w:rPr>
  </w:style>
  <w:style w:type="paragraph" w:customStyle="1" w:styleId="EvenFooter">
    <w:name w:val="Even Footer"/>
    <w:basedOn w:val="Footer"/>
    <w:rsid w:val="00BC3EA0"/>
  </w:style>
  <w:style w:type="paragraph" w:customStyle="1" w:styleId="Evenfooter-wide">
    <w:name w:val="Even footer-wide"/>
    <w:basedOn w:val="EvenFooter"/>
    <w:rsid w:val="00BC3EA0"/>
  </w:style>
  <w:style w:type="character" w:styleId="FootnoteReference">
    <w:name w:val="footnote reference"/>
    <w:rsid w:val="00BC3EA0"/>
    <w:rPr>
      <w:rFonts w:ascii="Arial" w:hAnsi="Arial"/>
      <w:color w:val="auto"/>
      <w:position w:val="8"/>
      <w:sz w:val="16"/>
    </w:rPr>
  </w:style>
  <w:style w:type="paragraph" w:styleId="FootnoteText">
    <w:name w:val="footnote text"/>
    <w:basedOn w:val="Normal"/>
    <w:link w:val="FootnoteTextChar"/>
    <w:uiPriority w:val="4"/>
    <w:semiHidden/>
    <w:qFormat/>
    <w:rsid w:val="00BC3EA0"/>
    <w:pPr>
      <w:tabs>
        <w:tab w:val="left" w:pos="425"/>
      </w:tabs>
      <w:spacing w:after="60" w:line="240" w:lineRule="auto"/>
      <w:ind w:left="425" w:hanging="425"/>
    </w:pPr>
    <w:rPr>
      <w:sz w:val="18"/>
    </w:rPr>
  </w:style>
  <w:style w:type="character" w:customStyle="1" w:styleId="FootnoteTextChar">
    <w:name w:val="Footnote Text Char"/>
    <w:link w:val="FootnoteText"/>
    <w:uiPriority w:val="4"/>
    <w:semiHidden/>
    <w:rsid w:val="00BC3EA0"/>
    <w:rPr>
      <w:rFonts w:ascii="Arial" w:eastAsia="Times New Roman" w:hAnsi="Arial" w:cs="Times New Roman"/>
      <w:sz w:val="18"/>
      <w:szCs w:val="20"/>
      <w:lang w:val="en-GB" w:eastAsia="en-GB"/>
    </w:rPr>
  </w:style>
  <w:style w:type="character" w:customStyle="1" w:styleId="Heading1Char">
    <w:name w:val="Heading 1 Char"/>
    <w:link w:val="Heading1"/>
    <w:uiPriority w:val="99"/>
    <w:rsid w:val="00BC3EA0"/>
    <w:rPr>
      <w:rFonts w:ascii="Arial" w:eastAsia="Times New Roman" w:hAnsi="Arial" w:cs="Times New Roman"/>
      <w:b/>
      <w:color w:val="002469"/>
      <w:spacing w:val="20"/>
      <w:w w:val="90"/>
      <w:sz w:val="44"/>
      <w:szCs w:val="44"/>
      <w:lang w:val="en-GB" w:eastAsia="en-GB"/>
    </w:rPr>
  </w:style>
  <w:style w:type="character" w:customStyle="1" w:styleId="Heading2Char">
    <w:name w:val="Heading 2 Char"/>
    <w:link w:val="Heading2"/>
    <w:rsid w:val="00E54290"/>
    <w:rPr>
      <w:rFonts w:ascii="Arial" w:eastAsia="Times New Roman" w:hAnsi="Arial"/>
      <w:b/>
      <w:color w:val="0082AB"/>
      <w:spacing w:val="20"/>
      <w:w w:val="90"/>
      <w:sz w:val="24"/>
      <w:szCs w:val="24"/>
      <w:lang w:val="en-GB" w:eastAsia="en-GB"/>
    </w:rPr>
  </w:style>
  <w:style w:type="character" w:customStyle="1" w:styleId="Heading3Char">
    <w:name w:val="Heading 3 Char"/>
    <w:link w:val="Heading3"/>
    <w:rsid w:val="00715855"/>
    <w:rPr>
      <w:rFonts w:ascii="Arial" w:eastAsia="Times New Roman" w:hAnsi="Arial"/>
      <w:b/>
      <w:color w:val="0082AB"/>
      <w:spacing w:val="20"/>
      <w:w w:val="90"/>
      <w:sz w:val="24"/>
      <w:szCs w:val="22"/>
      <w:lang w:val="en-GB" w:eastAsia="en-GB"/>
    </w:rPr>
  </w:style>
  <w:style w:type="character" w:customStyle="1" w:styleId="Heading4Char">
    <w:name w:val="Heading 4 Char"/>
    <w:link w:val="Heading4"/>
    <w:rsid w:val="006448CF"/>
    <w:rPr>
      <w:rFonts w:ascii="Arial" w:eastAsia="Times New Roman" w:hAnsi="Arial"/>
      <w:b/>
      <w:bCs/>
      <w:color w:val="595959" w:themeColor="text1" w:themeTint="A6"/>
      <w:sz w:val="22"/>
      <w:lang w:val="en-GB" w:eastAsia="en-GB"/>
    </w:rPr>
  </w:style>
  <w:style w:type="character" w:customStyle="1" w:styleId="Heading5Char">
    <w:name w:val="Heading 5 Char"/>
    <w:link w:val="Heading5"/>
    <w:rsid w:val="00BC3EA0"/>
    <w:rPr>
      <w:rFonts w:ascii="Arial" w:eastAsia="Times New Roman" w:hAnsi="Arial" w:cs="Times New Roman"/>
      <w:color w:val="000000"/>
      <w:lang w:val="en-GB" w:eastAsia="en-GB"/>
    </w:rPr>
  </w:style>
  <w:style w:type="character" w:customStyle="1" w:styleId="Heading6Char">
    <w:name w:val="Heading 6 Char"/>
    <w:link w:val="Heading6"/>
    <w:rsid w:val="00BC3EA0"/>
    <w:rPr>
      <w:rFonts w:ascii="Arial" w:eastAsia="Times New Roman" w:hAnsi="Arial" w:cs="Times New Roman"/>
      <w:i/>
      <w:sz w:val="20"/>
      <w:szCs w:val="20"/>
      <w:lang w:val="en-GB" w:eastAsia="en-GB"/>
    </w:rPr>
  </w:style>
  <w:style w:type="character" w:customStyle="1" w:styleId="Heading7Char">
    <w:name w:val="Heading 7 Char"/>
    <w:link w:val="Heading7"/>
    <w:rsid w:val="00BC3EA0"/>
    <w:rPr>
      <w:rFonts w:ascii="Arial" w:eastAsia="Times New Roman" w:hAnsi="Arial" w:cs="Times New Roman"/>
      <w:sz w:val="20"/>
      <w:szCs w:val="20"/>
      <w:lang w:val="en-GB" w:eastAsia="en-GB"/>
    </w:rPr>
  </w:style>
  <w:style w:type="character" w:customStyle="1" w:styleId="Heading8Char">
    <w:name w:val="Heading 8 Char"/>
    <w:link w:val="Heading8"/>
    <w:rsid w:val="00BC3EA0"/>
    <w:rPr>
      <w:rFonts w:ascii="Arial" w:eastAsia="Times New Roman" w:hAnsi="Arial" w:cs="Times New Roman"/>
      <w:sz w:val="20"/>
      <w:szCs w:val="20"/>
      <w:lang w:val="en-GB" w:eastAsia="en-GB"/>
    </w:rPr>
  </w:style>
  <w:style w:type="character" w:customStyle="1" w:styleId="Heading9Char">
    <w:name w:val="Heading 9 Char"/>
    <w:link w:val="Heading9"/>
    <w:rsid w:val="00BC3EA0"/>
    <w:rPr>
      <w:rFonts w:ascii="Arial" w:eastAsia="Times New Roman" w:hAnsi="Arial" w:cs="Times New Roman"/>
      <w:b/>
      <w:i/>
      <w:sz w:val="20"/>
      <w:szCs w:val="20"/>
      <w:lang w:val="en-AU"/>
    </w:rPr>
  </w:style>
  <w:style w:type="paragraph" w:styleId="List">
    <w:name w:val="List"/>
    <w:basedOn w:val="Normal"/>
    <w:rsid w:val="00BC3EA0"/>
    <w:pPr>
      <w:ind w:left="283" w:hanging="283"/>
    </w:pPr>
  </w:style>
  <w:style w:type="paragraph" w:styleId="Title">
    <w:name w:val="Title"/>
    <w:basedOn w:val="Normal"/>
    <w:link w:val="TitleChar"/>
    <w:rsid w:val="00BC3EA0"/>
    <w:pPr>
      <w:widowControl w:val="0"/>
      <w:autoSpaceDE w:val="0"/>
      <w:autoSpaceDN w:val="0"/>
      <w:adjustRightInd w:val="0"/>
      <w:spacing w:before="1560" w:after="720" w:line="240" w:lineRule="atLeast"/>
    </w:pPr>
    <w:rPr>
      <w:rFonts w:cs="Arial"/>
      <w:color w:val="002469"/>
      <w:spacing w:val="40"/>
      <w:w w:val="90"/>
      <w:sz w:val="48"/>
      <w:szCs w:val="48"/>
    </w:rPr>
  </w:style>
  <w:style w:type="character" w:customStyle="1" w:styleId="TitleChar">
    <w:name w:val="Title Char"/>
    <w:link w:val="Title"/>
    <w:rsid w:val="00BC3EA0"/>
    <w:rPr>
      <w:rFonts w:ascii="Arial" w:eastAsia="Times New Roman" w:hAnsi="Arial" w:cs="Arial"/>
      <w:color w:val="002469"/>
      <w:spacing w:val="40"/>
      <w:w w:val="90"/>
      <w:sz w:val="48"/>
      <w:szCs w:val="48"/>
      <w:lang w:val="en-GB" w:eastAsia="en-GB"/>
    </w:rPr>
  </w:style>
  <w:style w:type="paragraph" w:styleId="Subtitle">
    <w:name w:val="Subtitle"/>
    <w:basedOn w:val="Title"/>
    <w:next w:val="Normal"/>
    <w:link w:val="SubtitleChar"/>
    <w:rsid w:val="00BC3EA0"/>
    <w:pPr>
      <w:spacing w:before="360" w:line="600" w:lineRule="atLeast"/>
    </w:pPr>
    <w:rPr>
      <w:sz w:val="36"/>
      <w:szCs w:val="36"/>
    </w:rPr>
  </w:style>
  <w:style w:type="character" w:customStyle="1" w:styleId="SubtitleChar">
    <w:name w:val="Subtitle Char"/>
    <w:link w:val="Subtitle"/>
    <w:rsid w:val="00BC3EA0"/>
    <w:rPr>
      <w:rFonts w:ascii="Arial" w:eastAsia="Times New Roman" w:hAnsi="Arial" w:cs="Arial"/>
      <w:color w:val="002469"/>
      <w:spacing w:val="40"/>
      <w:w w:val="90"/>
      <w:sz w:val="36"/>
      <w:szCs w:val="36"/>
      <w:lang w:val="en-GB" w:eastAsia="en-GB"/>
    </w:rPr>
  </w:style>
  <w:style w:type="paragraph" w:customStyle="1" w:styleId="TableText">
    <w:name w:val="Table Text"/>
    <w:basedOn w:val="Normal"/>
    <w:rsid w:val="00BC3EA0"/>
    <w:pPr>
      <w:autoSpaceDE w:val="0"/>
      <w:autoSpaceDN w:val="0"/>
      <w:adjustRightInd w:val="0"/>
      <w:spacing w:before="60" w:after="60" w:line="240" w:lineRule="atLeast"/>
    </w:pPr>
    <w:rPr>
      <w:rFonts w:cs="GillSans"/>
      <w:sz w:val="20"/>
      <w:szCs w:val="22"/>
      <w:lang w:eastAsia="en-AU"/>
    </w:rPr>
  </w:style>
  <w:style w:type="paragraph" w:customStyle="1" w:styleId="tablespacer">
    <w:name w:val="table_spacer"/>
    <w:basedOn w:val="Normal"/>
    <w:next w:val="Normal"/>
    <w:rsid w:val="00BC3EA0"/>
    <w:pPr>
      <w:keepNext/>
      <w:spacing w:after="0" w:line="240" w:lineRule="auto"/>
    </w:pPr>
    <w:rPr>
      <w:sz w:val="20"/>
    </w:rPr>
  </w:style>
  <w:style w:type="paragraph" w:styleId="TOC1">
    <w:name w:val="toc 1"/>
    <w:basedOn w:val="Normal"/>
    <w:next w:val="Normal"/>
    <w:uiPriority w:val="39"/>
    <w:rsid w:val="009C1E42"/>
    <w:pPr>
      <w:spacing w:before="360" w:after="0"/>
    </w:pPr>
    <w:rPr>
      <w:rFonts w:asciiTheme="majorHAnsi" w:hAnsiTheme="majorHAnsi" w:cstheme="majorHAnsi"/>
      <w:b/>
      <w:bCs/>
      <w:caps/>
      <w:sz w:val="24"/>
      <w:szCs w:val="24"/>
    </w:rPr>
  </w:style>
  <w:style w:type="paragraph" w:styleId="TOC2">
    <w:name w:val="toc 2"/>
    <w:basedOn w:val="Normal"/>
    <w:next w:val="Normal"/>
    <w:uiPriority w:val="39"/>
    <w:rsid w:val="00BC3EA0"/>
    <w:pPr>
      <w:spacing w:before="240" w:after="0"/>
    </w:pPr>
    <w:rPr>
      <w:rFonts w:asciiTheme="minorHAnsi" w:hAnsiTheme="minorHAnsi" w:cstheme="minorHAnsi"/>
      <w:b/>
      <w:bCs/>
      <w:sz w:val="20"/>
    </w:rPr>
  </w:style>
  <w:style w:type="paragraph" w:styleId="TOC3">
    <w:name w:val="toc 3"/>
    <w:basedOn w:val="Normal"/>
    <w:next w:val="Normal"/>
    <w:uiPriority w:val="39"/>
    <w:rsid w:val="00BC3EA0"/>
    <w:pPr>
      <w:spacing w:after="0"/>
      <w:ind w:left="220"/>
    </w:pPr>
    <w:rPr>
      <w:rFonts w:asciiTheme="minorHAnsi" w:hAnsiTheme="minorHAnsi" w:cstheme="minorHAnsi"/>
      <w:sz w:val="20"/>
    </w:rPr>
  </w:style>
  <w:style w:type="paragraph" w:customStyle="1" w:styleId="Tier2Bullet-list">
    <w:name w:val="Tier 2 Bullet-list"/>
    <w:qFormat/>
    <w:rsid w:val="0062657E"/>
    <w:pPr>
      <w:spacing w:after="160" w:line="259" w:lineRule="auto"/>
      <w:ind w:left="568" w:hanging="284"/>
    </w:pPr>
    <w:rPr>
      <w:rFonts w:ascii="Arial" w:eastAsia="Times New Roman" w:hAnsi="Arial"/>
      <w:sz w:val="22"/>
      <w:lang w:val="en-AU" w:eastAsia="en-US"/>
    </w:rPr>
  </w:style>
  <w:style w:type="paragraph" w:customStyle="1" w:styleId="TableHeading2">
    <w:name w:val="Table Heading 2"/>
    <w:basedOn w:val="Normal"/>
    <w:qFormat/>
    <w:rsid w:val="00DF2E7B"/>
    <w:pPr>
      <w:spacing w:before="60" w:after="60" w:line="276" w:lineRule="auto"/>
    </w:pPr>
    <w:rPr>
      <w:i/>
      <w:szCs w:val="22"/>
    </w:rPr>
  </w:style>
  <w:style w:type="paragraph" w:customStyle="1" w:styleId="Tablebullet">
    <w:name w:val="Table bullet"/>
    <w:basedOn w:val="Normal"/>
    <w:qFormat/>
    <w:rsid w:val="00B56273"/>
    <w:pPr>
      <w:numPr>
        <w:numId w:val="3"/>
      </w:numPr>
      <w:autoSpaceDE w:val="0"/>
      <w:autoSpaceDN w:val="0"/>
      <w:adjustRightInd w:val="0"/>
      <w:spacing w:before="60" w:after="60"/>
    </w:pPr>
    <w:rPr>
      <w:rFonts w:cs="GillSans"/>
      <w:szCs w:val="22"/>
      <w:lang w:eastAsia="en-AU"/>
    </w:rPr>
  </w:style>
  <w:style w:type="table" w:styleId="GridTable4-Accent1">
    <w:name w:val="Grid Table 4 Accent 1"/>
    <w:basedOn w:val="TableNormal"/>
    <w:uiPriority w:val="49"/>
    <w:rsid w:val="00C935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Headings">
    <w:name w:val="Table Headings"/>
    <w:basedOn w:val="Normal"/>
    <w:qFormat/>
    <w:rsid w:val="00C93549"/>
    <w:pPr>
      <w:spacing w:before="60" w:after="60"/>
    </w:pPr>
    <w:rPr>
      <w:rFonts w:cs="Arial"/>
      <w:b/>
      <w:color w:val="000000"/>
    </w:rPr>
  </w:style>
  <w:style w:type="character" w:customStyle="1" w:styleId="UnresolvedMention1">
    <w:name w:val="Unresolved Mention1"/>
    <w:basedOn w:val="DefaultParagraphFont"/>
    <w:uiPriority w:val="99"/>
    <w:semiHidden/>
    <w:unhideWhenUsed/>
    <w:rsid w:val="00E52B84"/>
    <w:rPr>
      <w:color w:val="605E5C"/>
      <w:shd w:val="clear" w:color="auto" w:fill="E1DFDD"/>
    </w:rPr>
  </w:style>
  <w:style w:type="character" w:styleId="UnresolvedMention">
    <w:name w:val="Unresolved Mention"/>
    <w:basedOn w:val="DefaultParagraphFont"/>
    <w:uiPriority w:val="99"/>
    <w:semiHidden/>
    <w:unhideWhenUsed/>
    <w:rsid w:val="00447453"/>
    <w:rPr>
      <w:color w:val="605E5C"/>
      <w:shd w:val="clear" w:color="auto" w:fill="E1DFDD"/>
    </w:rPr>
  </w:style>
  <w:style w:type="character" w:styleId="Mention">
    <w:name w:val="Mention"/>
    <w:basedOn w:val="DefaultParagraphFont"/>
    <w:uiPriority w:val="99"/>
    <w:unhideWhenUsed/>
    <w:rsid w:val="00EA026F"/>
    <w:rPr>
      <w:color w:val="2B579A"/>
      <w:shd w:val="clear" w:color="auto" w:fill="E1DFDD"/>
    </w:rPr>
  </w:style>
  <w:style w:type="character" w:customStyle="1" w:styleId="ui-provider">
    <w:name w:val="ui-provider"/>
    <w:basedOn w:val="DefaultParagraphFont"/>
    <w:rsid w:val="007A593A"/>
  </w:style>
  <w:style w:type="paragraph" w:styleId="List5">
    <w:name w:val="List 5"/>
    <w:basedOn w:val="Normal"/>
    <w:uiPriority w:val="99"/>
    <w:semiHidden/>
    <w:unhideWhenUsed/>
    <w:rsid w:val="00351BDA"/>
    <w:pPr>
      <w:ind w:left="1415" w:hanging="283"/>
      <w:contextualSpacing/>
    </w:pPr>
  </w:style>
  <w:style w:type="paragraph" w:customStyle="1" w:styleId="ReportBody">
    <w:name w:val="Report Body"/>
    <w:basedOn w:val="Normal"/>
    <w:link w:val="ReportBodyChar"/>
    <w:qFormat/>
    <w:rsid w:val="00FA190A"/>
    <w:pPr>
      <w:numPr>
        <w:numId w:val="8"/>
      </w:numPr>
      <w:spacing w:before="120" w:after="120" w:line="288" w:lineRule="auto"/>
    </w:pPr>
    <w:rPr>
      <w:rFonts w:ascii="Verdana" w:hAnsi="Verdana" w:cs="Arial"/>
      <w:color w:val="000000"/>
      <w:kern w:val="22"/>
      <w:lang w:val="en-NZ" w:eastAsia="en-NZ"/>
    </w:rPr>
  </w:style>
  <w:style w:type="paragraph" w:customStyle="1" w:styleId="ReportBody2">
    <w:name w:val="Report Body 2"/>
    <w:basedOn w:val="ReportBody"/>
    <w:qFormat/>
    <w:rsid w:val="00CD22D3"/>
    <w:pPr>
      <w:numPr>
        <w:ilvl w:val="1"/>
      </w:numPr>
      <w:tabs>
        <w:tab w:val="num" w:pos="1209"/>
      </w:tabs>
    </w:pPr>
  </w:style>
  <w:style w:type="character" w:customStyle="1" w:styleId="ReportBodyChar">
    <w:name w:val="Report Body Char"/>
    <w:basedOn w:val="DefaultParagraphFont"/>
    <w:link w:val="ReportBody"/>
    <w:rsid w:val="00FA190A"/>
    <w:rPr>
      <w:rFonts w:ascii="Verdana" w:eastAsia="Times New Roman" w:hAnsi="Verdana" w:cs="Arial"/>
      <w:color w:val="000000"/>
      <w:kern w:val="22"/>
      <w:sz w:val="22"/>
    </w:rPr>
  </w:style>
  <w:style w:type="character" w:customStyle="1" w:styleId="cf01">
    <w:name w:val="cf01"/>
    <w:basedOn w:val="DefaultParagraphFont"/>
    <w:rsid w:val="00642C2B"/>
    <w:rPr>
      <w:rFonts w:ascii="Segoe UI" w:hAnsi="Segoe UI" w:cs="Segoe UI" w:hint="default"/>
      <w:sz w:val="18"/>
      <w:szCs w:val="18"/>
    </w:rPr>
  </w:style>
  <w:style w:type="paragraph" w:customStyle="1" w:styleId="Bullet1">
    <w:name w:val="Bullet1"/>
    <w:basedOn w:val="Normal"/>
    <w:qFormat/>
    <w:rsid w:val="00851249"/>
    <w:pPr>
      <w:numPr>
        <w:numId w:val="9"/>
      </w:numPr>
      <w:tabs>
        <w:tab w:val="left" w:pos="454"/>
      </w:tabs>
      <w:suppressAutoHyphens/>
      <w:autoSpaceDE w:val="0"/>
      <w:autoSpaceDN w:val="0"/>
      <w:adjustRightInd w:val="0"/>
      <w:spacing w:after="120" w:line="288" w:lineRule="auto"/>
      <w:textAlignment w:val="center"/>
    </w:pPr>
    <w:rPr>
      <w:rFonts w:ascii="Verdana" w:hAnsi="Verdana" w:cs="Arial"/>
      <w:kern w:val="28"/>
      <w:sz w:val="20"/>
      <w:lang w:val="en-US" w:eastAsia="en-US"/>
      <w14:ligatures w14:val="standardContextual"/>
    </w:rPr>
  </w:style>
  <w:style w:type="paragraph" w:customStyle="1" w:styleId="Default">
    <w:name w:val="Default"/>
    <w:rsid w:val="00D14685"/>
    <w:pPr>
      <w:autoSpaceDE w:val="0"/>
      <w:autoSpaceDN w:val="0"/>
      <w:adjustRightInd w:val="0"/>
    </w:pPr>
    <w:rPr>
      <w:rFonts w:ascii="Verdana Pro" w:hAnsi="Verdana Pro" w:cs="Verdana Pro"/>
      <w:color w:val="000000"/>
      <w:sz w:val="24"/>
      <w:szCs w:val="24"/>
      <w:lang w:eastAsia="en-US"/>
      <w14:ligatures w14:val="standardContextual"/>
    </w:rPr>
  </w:style>
  <w:style w:type="character" w:customStyle="1" w:styleId="ListParagraphChar">
    <w:name w:val="List Paragraph Char"/>
    <w:aliases w:val="Otakaro List Paragraph Char,List Paragraph numbered Char,List Bullet indent Char,Paragraph Char,Rec para Char,List Paragraph1 Char,List Paragraph11 Char,Dot pt Char,F5 List Paragraph Char,No Spacing1 Char,Indicator Text Char"/>
    <w:link w:val="ListParagraph"/>
    <w:uiPriority w:val="34"/>
    <w:locked/>
    <w:rsid w:val="00D14685"/>
    <w:rPr>
      <w:rFonts w:ascii="Arial" w:eastAsia="Times New Roman" w:hAnsi="Arial"/>
      <w:sz w:val="22"/>
      <w:lang w:val="en-GB" w:eastAsia="en-GB"/>
    </w:rPr>
  </w:style>
  <w:style w:type="character" w:customStyle="1" w:styleId="cf31">
    <w:name w:val="cf31"/>
    <w:basedOn w:val="DefaultParagraphFont"/>
    <w:rsid w:val="003D6951"/>
    <w:rPr>
      <w:rFonts w:ascii="Segoe UI" w:hAnsi="Segoe UI" w:cs="Segoe UI" w:hint="default"/>
      <w:i/>
      <w:iCs/>
      <w:sz w:val="18"/>
      <w:szCs w:val="18"/>
    </w:rPr>
  </w:style>
  <w:style w:type="paragraph" w:customStyle="1" w:styleId="paragraph">
    <w:name w:val="paragraph"/>
    <w:basedOn w:val="Normal"/>
    <w:rsid w:val="00506549"/>
    <w:pPr>
      <w:spacing w:before="100" w:beforeAutospacing="1" w:after="100" w:afterAutospacing="1" w:line="240" w:lineRule="auto"/>
    </w:pPr>
    <w:rPr>
      <w:rFonts w:ascii="Times New Roman" w:hAnsi="Times New Roman"/>
      <w:sz w:val="24"/>
      <w:szCs w:val="24"/>
      <w:lang w:val="en-NZ" w:eastAsia="en-NZ"/>
    </w:rPr>
  </w:style>
  <w:style w:type="character" w:customStyle="1" w:styleId="normaltextrun">
    <w:name w:val="normaltextrun"/>
    <w:basedOn w:val="DefaultParagraphFont"/>
    <w:rsid w:val="00506549"/>
  </w:style>
  <w:style w:type="character" w:customStyle="1" w:styleId="eop">
    <w:name w:val="eop"/>
    <w:basedOn w:val="DefaultParagraphFont"/>
    <w:rsid w:val="00506549"/>
  </w:style>
  <w:style w:type="character" w:customStyle="1" w:styleId="scxw101741514">
    <w:name w:val="scxw101741514"/>
    <w:basedOn w:val="DefaultParagraphFont"/>
    <w:rsid w:val="00506549"/>
  </w:style>
  <w:style w:type="paragraph" w:styleId="TableofFigures">
    <w:name w:val="table of figures"/>
    <w:basedOn w:val="Normal"/>
    <w:next w:val="Normal"/>
    <w:uiPriority w:val="99"/>
    <w:rsid w:val="00DE7860"/>
    <w:pPr>
      <w:spacing w:after="0" w:line="288" w:lineRule="auto"/>
    </w:pPr>
    <w:rPr>
      <w:rFonts w:ascii="Verdana" w:eastAsia="Calibri" w:hAnsi="Verdana" w:cs="Arial"/>
      <w:kern w:val="28"/>
      <w:lang w:val="en-NZ" w:eastAsia="en-US"/>
    </w:rPr>
  </w:style>
  <w:style w:type="paragraph" w:styleId="TOCHeading">
    <w:name w:val="TOC Heading"/>
    <w:basedOn w:val="Heading1"/>
    <w:next w:val="Normal"/>
    <w:uiPriority w:val="39"/>
    <w:unhideWhenUsed/>
    <w:qFormat/>
    <w:rsid w:val="00DE7860"/>
    <w:pPr>
      <w:keepNext/>
      <w:keepLines/>
      <w:spacing w:before="240" w:after="0" w:line="259" w:lineRule="auto"/>
      <w:outlineLvl w:val="9"/>
    </w:pPr>
    <w:rPr>
      <w:rFonts w:asciiTheme="majorHAnsi" w:eastAsiaTheme="majorEastAsia" w:hAnsiTheme="majorHAnsi" w:cstheme="majorBidi"/>
      <w:b w:val="0"/>
      <w:color w:val="2E74B5" w:themeColor="accent1" w:themeShade="BF"/>
      <w:spacing w:val="0"/>
      <w:w w:val="100"/>
      <w:sz w:val="32"/>
      <w:szCs w:val="32"/>
      <w:lang w:val="en-US" w:eastAsia="en-US"/>
    </w:rPr>
  </w:style>
  <w:style w:type="table" w:customStyle="1" w:styleId="TableGrid1">
    <w:name w:val="Table Grid1"/>
    <w:basedOn w:val="TableNormal"/>
    <w:next w:val="TableGrid"/>
    <w:uiPriority w:val="59"/>
    <w:rsid w:val="004B536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6D5D75"/>
    <w:pPr>
      <w:spacing w:before="100" w:beforeAutospacing="1" w:after="100" w:afterAutospacing="1" w:line="240" w:lineRule="auto"/>
      <w:ind w:left="300"/>
    </w:pPr>
    <w:rPr>
      <w:rFonts w:ascii="Times New Roman" w:hAnsi="Times New Roman"/>
      <w:sz w:val="24"/>
      <w:szCs w:val="24"/>
      <w:lang w:val="en-NZ" w:eastAsia="en-NZ"/>
    </w:rPr>
  </w:style>
  <w:style w:type="paragraph" w:styleId="TOC4">
    <w:name w:val="toc 4"/>
    <w:basedOn w:val="Normal"/>
    <w:next w:val="Normal"/>
    <w:autoRedefine/>
    <w:uiPriority w:val="39"/>
    <w:unhideWhenUsed/>
    <w:rsid w:val="009C1E42"/>
    <w:pPr>
      <w:spacing w:after="0"/>
      <w:ind w:left="440"/>
    </w:pPr>
    <w:rPr>
      <w:rFonts w:asciiTheme="minorHAnsi" w:hAnsiTheme="minorHAnsi" w:cstheme="minorHAnsi"/>
      <w:sz w:val="20"/>
    </w:rPr>
  </w:style>
  <w:style w:type="paragraph" w:styleId="TOC5">
    <w:name w:val="toc 5"/>
    <w:basedOn w:val="Normal"/>
    <w:next w:val="Normal"/>
    <w:autoRedefine/>
    <w:uiPriority w:val="39"/>
    <w:unhideWhenUsed/>
    <w:rsid w:val="009C1E42"/>
    <w:pPr>
      <w:spacing w:after="0"/>
      <w:ind w:left="660"/>
    </w:pPr>
    <w:rPr>
      <w:rFonts w:asciiTheme="minorHAnsi" w:hAnsiTheme="minorHAnsi" w:cstheme="minorHAnsi"/>
      <w:sz w:val="20"/>
    </w:rPr>
  </w:style>
  <w:style w:type="paragraph" w:styleId="TOC6">
    <w:name w:val="toc 6"/>
    <w:basedOn w:val="Normal"/>
    <w:next w:val="Normal"/>
    <w:autoRedefine/>
    <w:uiPriority w:val="39"/>
    <w:unhideWhenUsed/>
    <w:rsid w:val="009C1E42"/>
    <w:pPr>
      <w:spacing w:after="0"/>
      <w:ind w:left="880"/>
    </w:pPr>
    <w:rPr>
      <w:rFonts w:asciiTheme="minorHAnsi" w:hAnsiTheme="minorHAnsi" w:cstheme="minorHAnsi"/>
      <w:sz w:val="20"/>
    </w:rPr>
  </w:style>
  <w:style w:type="paragraph" w:styleId="TOC7">
    <w:name w:val="toc 7"/>
    <w:basedOn w:val="Normal"/>
    <w:next w:val="Normal"/>
    <w:autoRedefine/>
    <w:uiPriority w:val="39"/>
    <w:unhideWhenUsed/>
    <w:rsid w:val="009C1E42"/>
    <w:pPr>
      <w:spacing w:after="0"/>
      <w:ind w:left="1100"/>
    </w:pPr>
    <w:rPr>
      <w:rFonts w:asciiTheme="minorHAnsi" w:hAnsiTheme="minorHAnsi" w:cstheme="minorHAnsi"/>
      <w:sz w:val="20"/>
    </w:rPr>
  </w:style>
  <w:style w:type="paragraph" w:styleId="TOC8">
    <w:name w:val="toc 8"/>
    <w:basedOn w:val="Normal"/>
    <w:next w:val="Normal"/>
    <w:autoRedefine/>
    <w:uiPriority w:val="39"/>
    <w:unhideWhenUsed/>
    <w:rsid w:val="009C1E42"/>
    <w:pPr>
      <w:spacing w:after="0"/>
      <w:ind w:left="1320"/>
    </w:pPr>
    <w:rPr>
      <w:rFonts w:asciiTheme="minorHAnsi" w:hAnsiTheme="minorHAnsi" w:cstheme="minorHAnsi"/>
      <w:sz w:val="20"/>
    </w:rPr>
  </w:style>
  <w:style w:type="paragraph" w:styleId="TOC9">
    <w:name w:val="toc 9"/>
    <w:basedOn w:val="Normal"/>
    <w:next w:val="Normal"/>
    <w:autoRedefine/>
    <w:uiPriority w:val="39"/>
    <w:unhideWhenUsed/>
    <w:rsid w:val="009C1E42"/>
    <w:pPr>
      <w:spacing w:after="0"/>
      <w:ind w:left="154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0275">
      <w:bodyDiv w:val="1"/>
      <w:marLeft w:val="0"/>
      <w:marRight w:val="0"/>
      <w:marTop w:val="0"/>
      <w:marBottom w:val="0"/>
      <w:divBdr>
        <w:top w:val="none" w:sz="0" w:space="0" w:color="auto"/>
        <w:left w:val="none" w:sz="0" w:space="0" w:color="auto"/>
        <w:bottom w:val="none" w:sz="0" w:space="0" w:color="auto"/>
        <w:right w:val="none" w:sz="0" w:space="0" w:color="auto"/>
      </w:divBdr>
    </w:div>
    <w:div w:id="144052455">
      <w:bodyDiv w:val="1"/>
      <w:marLeft w:val="0"/>
      <w:marRight w:val="0"/>
      <w:marTop w:val="0"/>
      <w:marBottom w:val="0"/>
      <w:divBdr>
        <w:top w:val="none" w:sz="0" w:space="0" w:color="auto"/>
        <w:left w:val="none" w:sz="0" w:space="0" w:color="auto"/>
        <w:bottom w:val="none" w:sz="0" w:space="0" w:color="auto"/>
        <w:right w:val="none" w:sz="0" w:space="0" w:color="auto"/>
      </w:divBdr>
      <w:divsChild>
        <w:div w:id="304159943">
          <w:marLeft w:val="0"/>
          <w:marRight w:val="0"/>
          <w:marTop w:val="0"/>
          <w:marBottom w:val="0"/>
          <w:divBdr>
            <w:top w:val="none" w:sz="0" w:space="0" w:color="auto"/>
            <w:left w:val="none" w:sz="0" w:space="0" w:color="auto"/>
            <w:bottom w:val="none" w:sz="0" w:space="0" w:color="auto"/>
            <w:right w:val="none" w:sz="0" w:space="0" w:color="auto"/>
          </w:divBdr>
          <w:divsChild>
            <w:div w:id="580262863">
              <w:marLeft w:val="0"/>
              <w:marRight w:val="0"/>
              <w:marTop w:val="0"/>
              <w:marBottom w:val="0"/>
              <w:divBdr>
                <w:top w:val="none" w:sz="0" w:space="0" w:color="auto"/>
                <w:left w:val="none" w:sz="0" w:space="0" w:color="auto"/>
                <w:bottom w:val="none" w:sz="0" w:space="0" w:color="auto"/>
                <w:right w:val="none" w:sz="0" w:space="0" w:color="auto"/>
              </w:divBdr>
            </w:div>
            <w:div w:id="762338618">
              <w:marLeft w:val="0"/>
              <w:marRight w:val="0"/>
              <w:marTop w:val="0"/>
              <w:marBottom w:val="0"/>
              <w:divBdr>
                <w:top w:val="none" w:sz="0" w:space="0" w:color="auto"/>
                <w:left w:val="none" w:sz="0" w:space="0" w:color="auto"/>
                <w:bottom w:val="none" w:sz="0" w:space="0" w:color="auto"/>
                <w:right w:val="none" w:sz="0" w:space="0" w:color="auto"/>
              </w:divBdr>
            </w:div>
            <w:div w:id="841966268">
              <w:marLeft w:val="0"/>
              <w:marRight w:val="0"/>
              <w:marTop w:val="0"/>
              <w:marBottom w:val="0"/>
              <w:divBdr>
                <w:top w:val="none" w:sz="0" w:space="0" w:color="auto"/>
                <w:left w:val="none" w:sz="0" w:space="0" w:color="auto"/>
                <w:bottom w:val="none" w:sz="0" w:space="0" w:color="auto"/>
                <w:right w:val="none" w:sz="0" w:space="0" w:color="auto"/>
              </w:divBdr>
            </w:div>
            <w:div w:id="879048360">
              <w:marLeft w:val="0"/>
              <w:marRight w:val="0"/>
              <w:marTop w:val="0"/>
              <w:marBottom w:val="0"/>
              <w:divBdr>
                <w:top w:val="none" w:sz="0" w:space="0" w:color="auto"/>
                <w:left w:val="none" w:sz="0" w:space="0" w:color="auto"/>
                <w:bottom w:val="none" w:sz="0" w:space="0" w:color="auto"/>
                <w:right w:val="none" w:sz="0" w:space="0" w:color="auto"/>
              </w:divBdr>
            </w:div>
            <w:div w:id="1221556914">
              <w:marLeft w:val="0"/>
              <w:marRight w:val="0"/>
              <w:marTop w:val="0"/>
              <w:marBottom w:val="0"/>
              <w:divBdr>
                <w:top w:val="none" w:sz="0" w:space="0" w:color="auto"/>
                <w:left w:val="none" w:sz="0" w:space="0" w:color="auto"/>
                <w:bottom w:val="none" w:sz="0" w:space="0" w:color="auto"/>
                <w:right w:val="none" w:sz="0" w:space="0" w:color="auto"/>
              </w:divBdr>
            </w:div>
            <w:div w:id="1401640353">
              <w:marLeft w:val="0"/>
              <w:marRight w:val="0"/>
              <w:marTop w:val="0"/>
              <w:marBottom w:val="0"/>
              <w:divBdr>
                <w:top w:val="none" w:sz="0" w:space="0" w:color="auto"/>
                <w:left w:val="none" w:sz="0" w:space="0" w:color="auto"/>
                <w:bottom w:val="none" w:sz="0" w:space="0" w:color="auto"/>
                <w:right w:val="none" w:sz="0" w:space="0" w:color="auto"/>
              </w:divBdr>
            </w:div>
            <w:div w:id="1826169502">
              <w:marLeft w:val="0"/>
              <w:marRight w:val="0"/>
              <w:marTop w:val="0"/>
              <w:marBottom w:val="0"/>
              <w:divBdr>
                <w:top w:val="none" w:sz="0" w:space="0" w:color="auto"/>
                <w:left w:val="none" w:sz="0" w:space="0" w:color="auto"/>
                <w:bottom w:val="none" w:sz="0" w:space="0" w:color="auto"/>
                <w:right w:val="none" w:sz="0" w:space="0" w:color="auto"/>
              </w:divBdr>
            </w:div>
            <w:div w:id="1860241435">
              <w:marLeft w:val="0"/>
              <w:marRight w:val="0"/>
              <w:marTop w:val="0"/>
              <w:marBottom w:val="0"/>
              <w:divBdr>
                <w:top w:val="none" w:sz="0" w:space="0" w:color="auto"/>
                <w:left w:val="none" w:sz="0" w:space="0" w:color="auto"/>
                <w:bottom w:val="none" w:sz="0" w:space="0" w:color="auto"/>
                <w:right w:val="none" w:sz="0" w:space="0" w:color="auto"/>
              </w:divBdr>
            </w:div>
            <w:div w:id="1870096421">
              <w:marLeft w:val="0"/>
              <w:marRight w:val="0"/>
              <w:marTop w:val="0"/>
              <w:marBottom w:val="0"/>
              <w:divBdr>
                <w:top w:val="none" w:sz="0" w:space="0" w:color="auto"/>
                <w:left w:val="none" w:sz="0" w:space="0" w:color="auto"/>
                <w:bottom w:val="none" w:sz="0" w:space="0" w:color="auto"/>
                <w:right w:val="none" w:sz="0" w:space="0" w:color="auto"/>
              </w:divBdr>
            </w:div>
            <w:div w:id="1952006028">
              <w:marLeft w:val="0"/>
              <w:marRight w:val="0"/>
              <w:marTop w:val="0"/>
              <w:marBottom w:val="0"/>
              <w:divBdr>
                <w:top w:val="none" w:sz="0" w:space="0" w:color="auto"/>
                <w:left w:val="none" w:sz="0" w:space="0" w:color="auto"/>
                <w:bottom w:val="none" w:sz="0" w:space="0" w:color="auto"/>
                <w:right w:val="none" w:sz="0" w:space="0" w:color="auto"/>
              </w:divBdr>
            </w:div>
            <w:div w:id="1984045703">
              <w:marLeft w:val="0"/>
              <w:marRight w:val="0"/>
              <w:marTop w:val="0"/>
              <w:marBottom w:val="0"/>
              <w:divBdr>
                <w:top w:val="none" w:sz="0" w:space="0" w:color="auto"/>
                <w:left w:val="none" w:sz="0" w:space="0" w:color="auto"/>
                <w:bottom w:val="none" w:sz="0" w:space="0" w:color="auto"/>
                <w:right w:val="none" w:sz="0" w:space="0" w:color="auto"/>
              </w:divBdr>
            </w:div>
          </w:divsChild>
        </w:div>
        <w:div w:id="510996456">
          <w:marLeft w:val="0"/>
          <w:marRight w:val="0"/>
          <w:marTop w:val="0"/>
          <w:marBottom w:val="0"/>
          <w:divBdr>
            <w:top w:val="none" w:sz="0" w:space="0" w:color="auto"/>
            <w:left w:val="none" w:sz="0" w:space="0" w:color="auto"/>
            <w:bottom w:val="none" w:sz="0" w:space="0" w:color="auto"/>
            <w:right w:val="none" w:sz="0" w:space="0" w:color="auto"/>
          </w:divBdr>
          <w:divsChild>
            <w:div w:id="294528011">
              <w:marLeft w:val="0"/>
              <w:marRight w:val="0"/>
              <w:marTop w:val="0"/>
              <w:marBottom w:val="0"/>
              <w:divBdr>
                <w:top w:val="none" w:sz="0" w:space="0" w:color="auto"/>
                <w:left w:val="none" w:sz="0" w:space="0" w:color="auto"/>
                <w:bottom w:val="none" w:sz="0" w:space="0" w:color="auto"/>
                <w:right w:val="none" w:sz="0" w:space="0" w:color="auto"/>
              </w:divBdr>
            </w:div>
            <w:div w:id="603460454">
              <w:marLeft w:val="0"/>
              <w:marRight w:val="0"/>
              <w:marTop w:val="0"/>
              <w:marBottom w:val="0"/>
              <w:divBdr>
                <w:top w:val="none" w:sz="0" w:space="0" w:color="auto"/>
                <w:left w:val="none" w:sz="0" w:space="0" w:color="auto"/>
                <w:bottom w:val="none" w:sz="0" w:space="0" w:color="auto"/>
                <w:right w:val="none" w:sz="0" w:space="0" w:color="auto"/>
              </w:divBdr>
            </w:div>
            <w:div w:id="709261248">
              <w:marLeft w:val="0"/>
              <w:marRight w:val="0"/>
              <w:marTop w:val="0"/>
              <w:marBottom w:val="0"/>
              <w:divBdr>
                <w:top w:val="none" w:sz="0" w:space="0" w:color="auto"/>
                <w:left w:val="none" w:sz="0" w:space="0" w:color="auto"/>
                <w:bottom w:val="none" w:sz="0" w:space="0" w:color="auto"/>
                <w:right w:val="none" w:sz="0" w:space="0" w:color="auto"/>
              </w:divBdr>
            </w:div>
            <w:div w:id="946738879">
              <w:marLeft w:val="0"/>
              <w:marRight w:val="0"/>
              <w:marTop w:val="0"/>
              <w:marBottom w:val="0"/>
              <w:divBdr>
                <w:top w:val="none" w:sz="0" w:space="0" w:color="auto"/>
                <w:left w:val="none" w:sz="0" w:space="0" w:color="auto"/>
                <w:bottom w:val="none" w:sz="0" w:space="0" w:color="auto"/>
                <w:right w:val="none" w:sz="0" w:space="0" w:color="auto"/>
              </w:divBdr>
            </w:div>
            <w:div w:id="1053577956">
              <w:marLeft w:val="0"/>
              <w:marRight w:val="0"/>
              <w:marTop w:val="0"/>
              <w:marBottom w:val="0"/>
              <w:divBdr>
                <w:top w:val="none" w:sz="0" w:space="0" w:color="auto"/>
                <w:left w:val="none" w:sz="0" w:space="0" w:color="auto"/>
                <w:bottom w:val="none" w:sz="0" w:space="0" w:color="auto"/>
                <w:right w:val="none" w:sz="0" w:space="0" w:color="auto"/>
              </w:divBdr>
            </w:div>
            <w:div w:id="1186017153">
              <w:marLeft w:val="0"/>
              <w:marRight w:val="0"/>
              <w:marTop w:val="0"/>
              <w:marBottom w:val="0"/>
              <w:divBdr>
                <w:top w:val="none" w:sz="0" w:space="0" w:color="auto"/>
                <w:left w:val="none" w:sz="0" w:space="0" w:color="auto"/>
                <w:bottom w:val="none" w:sz="0" w:space="0" w:color="auto"/>
                <w:right w:val="none" w:sz="0" w:space="0" w:color="auto"/>
              </w:divBdr>
            </w:div>
            <w:div w:id="1218857107">
              <w:marLeft w:val="0"/>
              <w:marRight w:val="0"/>
              <w:marTop w:val="0"/>
              <w:marBottom w:val="0"/>
              <w:divBdr>
                <w:top w:val="none" w:sz="0" w:space="0" w:color="auto"/>
                <w:left w:val="none" w:sz="0" w:space="0" w:color="auto"/>
                <w:bottom w:val="none" w:sz="0" w:space="0" w:color="auto"/>
                <w:right w:val="none" w:sz="0" w:space="0" w:color="auto"/>
              </w:divBdr>
            </w:div>
            <w:div w:id="1354263435">
              <w:marLeft w:val="0"/>
              <w:marRight w:val="0"/>
              <w:marTop w:val="0"/>
              <w:marBottom w:val="0"/>
              <w:divBdr>
                <w:top w:val="none" w:sz="0" w:space="0" w:color="auto"/>
                <w:left w:val="none" w:sz="0" w:space="0" w:color="auto"/>
                <w:bottom w:val="none" w:sz="0" w:space="0" w:color="auto"/>
                <w:right w:val="none" w:sz="0" w:space="0" w:color="auto"/>
              </w:divBdr>
            </w:div>
            <w:div w:id="1401249887">
              <w:marLeft w:val="0"/>
              <w:marRight w:val="0"/>
              <w:marTop w:val="0"/>
              <w:marBottom w:val="0"/>
              <w:divBdr>
                <w:top w:val="none" w:sz="0" w:space="0" w:color="auto"/>
                <w:left w:val="none" w:sz="0" w:space="0" w:color="auto"/>
                <w:bottom w:val="none" w:sz="0" w:space="0" w:color="auto"/>
                <w:right w:val="none" w:sz="0" w:space="0" w:color="auto"/>
              </w:divBdr>
            </w:div>
            <w:div w:id="1753233385">
              <w:marLeft w:val="0"/>
              <w:marRight w:val="0"/>
              <w:marTop w:val="0"/>
              <w:marBottom w:val="0"/>
              <w:divBdr>
                <w:top w:val="none" w:sz="0" w:space="0" w:color="auto"/>
                <w:left w:val="none" w:sz="0" w:space="0" w:color="auto"/>
                <w:bottom w:val="none" w:sz="0" w:space="0" w:color="auto"/>
                <w:right w:val="none" w:sz="0" w:space="0" w:color="auto"/>
              </w:divBdr>
            </w:div>
            <w:div w:id="1856110988">
              <w:marLeft w:val="0"/>
              <w:marRight w:val="0"/>
              <w:marTop w:val="0"/>
              <w:marBottom w:val="0"/>
              <w:divBdr>
                <w:top w:val="none" w:sz="0" w:space="0" w:color="auto"/>
                <w:left w:val="none" w:sz="0" w:space="0" w:color="auto"/>
                <w:bottom w:val="none" w:sz="0" w:space="0" w:color="auto"/>
                <w:right w:val="none" w:sz="0" w:space="0" w:color="auto"/>
              </w:divBdr>
            </w:div>
            <w:div w:id="21379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763">
      <w:bodyDiv w:val="1"/>
      <w:marLeft w:val="0"/>
      <w:marRight w:val="0"/>
      <w:marTop w:val="0"/>
      <w:marBottom w:val="0"/>
      <w:divBdr>
        <w:top w:val="none" w:sz="0" w:space="0" w:color="auto"/>
        <w:left w:val="none" w:sz="0" w:space="0" w:color="auto"/>
        <w:bottom w:val="none" w:sz="0" w:space="0" w:color="auto"/>
        <w:right w:val="none" w:sz="0" w:space="0" w:color="auto"/>
      </w:divBdr>
    </w:div>
    <w:div w:id="487140401">
      <w:bodyDiv w:val="1"/>
      <w:marLeft w:val="0"/>
      <w:marRight w:val="0"/>
      <w:marTop w:val="0"/>
      <w:marBottom w:val="0"/>
      <w:divBdr>
        <w:top w:val="none" w:sz="0" w:space="0" w:color="auto"/>
        <w:left w:val="none" w:sz="0" w:space="0" w:color="auto"/>
        <w:bottom w:val="none" w:sz="0" w:space="0" w:color="auto"/>
        <w:right w:val="none" w:sz="0" w:space="0" w:color="auto"/>
      </w:divBdr>
      <w:divsChild>
        <w:div w:id="58211019">
          <w:marLeft w:val="0"/>
          <w:marRight w:val="0"/>
          <w:marTop w:val="0"/>
          <w:marBottom w:val="0"/>
          <w:divBdr>
            <w:top w:val="none" w:sz="0" w:space="0" w:color="auto"/>
            <w:left w:val="none" w:sz="0" w:space="0" w:color="auto"/>
            <w:bottom w:val="none" w:sz="0" w:space="0" w:color="auto"/>
            <w:right w:val="none" w:sz="0" w:space="0" w:color="auto"/>
          </w:divBdr>
          <w:divsChild>
            <w:div w:id="14120923">
              <w:marLeft w:val="0"/>
              <w:marRight w:val="0"/>
              <w:marTop w:val="0"/>
              <w:marBottom w:val="0"/>
              <w:divBdr>
                <w:top w:val="none" w:sz="0" w:space="0" w:color="auto"/>
                <w:left w:val="none" w:sz="0" w:space="0" w:color="auto"/>
                <w:bottom w:val="none" w:sz="0" w:space="0" w:color="auto"/>
                <w:right w:val="none" w:sz="0" w:space="0" w:color="auto"/>
              </w:divBdr>
            </w:div>
            <w:div w:id="43608426">
              <w:marLeft w:val="0"/>
              <w:marRight w:val="0"/>
              <w:marTop w:val="0"/>
              <w:marBottom w:val="0"/>
              <w:divBdr>
                <w:top w:val="none" w:sz="0" w:space="0" w:color="auto"/>
                <w:left w:val="none" w:sz="0" w:space="0" w:color="auto"/>
                <w:bottom w:val="none" w:sz="0" w:space="0" w:color="auto"/>
                <w:right w:val="none" w:sz="0" w:space="0" w:color="auto"/>
              </w:divBdr>
            </w:div>
            <w:div w:id="160239625">
              <w:marLeft w:val="0"/>
              <w:marRight w:val="0"/>
              <w:marTop w:val="0"/>
              <w:marBottom w:val="0"/>
              <w:divBdr>
                <w:top w:val="none" w:sz="0" w:space="0" w:color="auto"/>
                <w:left w:val="none" w:sz="0" w:space="0" w:color="auto"/>
                <w:bottom w:val="none" w:sz="0" w:space="0" w:color="auto"/>
                <w:right w:val="none" w:sz="0" w:space="0" w:color="auto"/>
              </w:divBdr>
            </w:div>
            <w:div w:id="324823558">
              <w:marLeft w:val="0"/>
              <w:marRight w:val="0"/>
              <w:marTop w:val="0"/>
              <w:marBottom w:val="0"/>
              <w:divBdr>
                <w:top w:val="none" w:sz="0" w:space="0" w:color="auto"/>
                <w:left w:val="none" w:sz="0" w:space="0" w:color="auto"/>
                <w:bottom w:val="none" w:sz="0" w:space="0" w:color="auto"/>
                <w:right w:val="none" w:sz="0" w:space="0" w:color="auto"/>
              </w:divBdr>
            </w:div>
            <w:div w:id="347174998">
              <w:marLeft w:val="0"/>
              <w:marRight w:val="0"/>
              <w:marTop w:val="0"/>
              <w:marBottom w:val="0"/>
              <w:divBdr>
                <w:top w:val="none" w:sz="0" w:space="0" w:color="auto"/>
                <w:left w:val="none" w:sz="0" w:space="0" w:color="auto"/>
                <w:bottom w:val="none" w:sz="0" w:space="0" w:color="auto"/>
                <w:right w:val="none" w:sz="0" w:space="0" w:color="auto"/>
              </w:divBdr>
            </w:div>
            <w:div w:id="367991690">
              <w:marLeft w:val="0"/>
              <w:marRight w:val="0"/>
              <w:marTop w:val="0"/>
              <w:marBottom w:val="0"/>
              <w:divBdr>
                <w:top w:val="none" w:sz="0" w:space="0" w:color="auto"/>
                <w:left w:val="none" w:sz="0" w:space="0" w:color="auto"/>
                <w:bottom w:val="none" w:sz="0" w:space="0" w:color="auto"/>
                <w:right w:val="none" w:sz="0" w:space="0" w:color="auto"/>
              </w:divBdr>
            </w:div>
            <w:div w:id="879247496">
              <w:marLeft w:val="0"/>
              <w:marRight w:val="0"/>
              <w:marTop w:val="0"/>
              <w:marBottom w:val="0"/>
              <w:divBdr>
                <w:top w:val="none" w:sz="0" w:space="0" w:color="auto"/>
                <w:left w:val="none" w:sz="0" w:space="0" w:color="auto"/>
                <w:bottom w:val="none" w:sz="0" w:space="0" w:color="auto"/>
                <w:right w:val="none" w:sz="0" w:space="0" w:color="auto"/>
              </w:divBdr>
            </w:div>
            <w:div w:id="922375021">
              <w:marLeft w:val="0"/>
              <w:marRight w:val="0"/>
              <w:marTop w:val="0"/>
              <w:marBottom w:val="0"/>
              <w:divBdr>
                <w:top w:val="none" w:sz="0" w:space="0" w:color="auto"/>
                <w:left w:val="none" w:sz="0" w:space="0" w:color="auto"/>
                <w:bottom w:val="none" w:sz="0" w:space="0" w:color="auto"/>
                <w:right w:val="none" w:sz="0" w:space="0" w:color="auto"/>
              </w:divBdr>
            </w:div>
            <w:div w:id="986545765">
              <w:marLeft w:val="0"/>
              <w:marRight w:val="0"/>
              <w:marTop w:val="0"/>
              <w:marBottom w:val="0"/>
              <w:divBdr>
                <w:top w:val="none" w:sz="0" w:space="0" w:color="auto"/>
                <w:left w:val="none" w:sz="0" w:space="0" w:color="auto"/>
                <w:bottom w:val="none" w:sz="0" w:space="0" w:color="auto"/>
                <w:right w:val="none" w:sz="0" w:space="0" w:color="auto"/>
              </w:divBdr>
            </w:div>
            <w:div w:id="1328750601">
              <w:marLeft w:val="0"/>
              <w:marRight w:val="0"/>
              <w:marTop w:val="0"/>
              <w:marBottom w:val="0"/>
              <w:divBdr>
                <w:top w:val="none" w:sz="0" w:space="0" w:color="auto"/>
                <w:left w:val="none" w:sz="0" w:space="0" w:color="auto"/>
                <w:bottom w:val="none" w:sz="0" w:space="0" w:color="auto"/>
                <w:right w:val="none" w:sz="0" w:space="0" w:color="auto"/>
              </w:divBdr>
            </w:div>
            <w:div w:id="1805654218">
              <w:marLeft w:val="0"/>
              <w:marRight w:val="0"/>
              <w:marTop w:val="0"/>
              <w:marBottom w:val="0"/>
              <w:divBdr>
                <w:top w:val="none" w:sz="0" w:space="0" w:color="auto"/>
                <w:left w:val="none" w:sz="0" w:space="0" w:color="auto"/>
                <w:bottom w:val="none" w:sz="0" w:space="0" w:color="auto"/>
                <w:right w:val="none" w:sz="0" w:space="0" w:color="auto"/>
              </w:divBdr>
            </w:div>
          </w:divsChild>
        </w:div>
        <w:div w:id="2061710384">
          <w:marLeft w:val="0"/>
          <w:marRight w:val="0"/>
          <w:marTop w:val="0"/>
          <w:marBottom w:val="0"/>
          <w:divBdr>
            <w:top w:val="none" w:sz="0" w:space="0" w:color="auto"/>
            <w:left w:val="none" w:sz="0" w:space="0" w:color="auto"/>
            <w:bottom w:val="none" w:sz="0" w:space="0" w:color="auto"/>
            <w:right w:val="none" w:sz="0" w:space="0" w:color="auto"/>
          </w:divBdr>
          <w:divsChild>
            <w:div w:id="20132643">
              <w:marLeft w:val="0"/>
              <w:marRight w:val="0"/>
              <w:marTop w:val="0"/>
              <w:marBottom w:val="0"/>
              <w:divBdr>
                <w:top w:val="none" w:sz="0" w:space="0" w:color="auto"/>
                <w:left w:val="none" w:sz="0" w:space="0" w:color="auto"/>
                <w:bottom w:val="none" w:sz="0" w:space="0" w:color="auto"/>
                <w:right w:val="none" w:sz="0" w:space="0" w:color="auto"/>
              </w:divBdr>
            </w:div>
            <w:div w:id="40441751">
              <w:marLeft w:val="0"/>
              <w:marRight w:val="0"/>
              <w:marTop w:val="0"/>
              <w:marBottom w:val="0"/>
              <w:divBdr>
                <w:top w:val="none" w:sz="0" w:space="0" w:color="auto"/>
                <w:left w:val="none" w:sz="0" w:space="0" w:color="auto"/>
                <w:bottom w:val="none" w:sz="0" w:space="0" w:color="auto"/>
                <w:right w:val="none" w:sz="0" w:space="0" w:color="auto"/>
              </w:divBdr>
            </w:div>
            <w:div w:id="323169511">
              <w:marLeft w:val="0"/>
              <w:marRight w:val="0"/>
              <w:marTop w:val="0"/>
              <w:marBottom w:val="0"/>
              <w:divBdr>
                <w:top w:val="none" w:sz="0" w:space="0" w:color="auto"/>
                <w:left w:val="none" w:sz="0" w:space="0" w:color="auto"/>
                <w:bottom w:val="none" w:sz="0" w:space="0" w:color="auto"/>
                <w:right w:val="none" w:sz="0" w:space="0" w:color="auto"/>
              </w:divBdr>
            </w:div>
            <w:div w:id="762915759">
              <w:marLeft w:val="0"/>
              <w:marRight w:val="0"/>
              <w:marTop w:val="0"/>
              <w:marBottom w:val="0"/>
              <w:divBdr>
                <w:top w:val="none" w:sz="0" w:space="0" w:color="auto"/>
                <w:left w:val="none" w:sz="0" w:space="0" w:color="auto"/>
                <w:bottom w:val="none" w:sz="0" w:space="0" w:color="auto"/>
                <w:right w:val="none" w:sz="0" w:space="0" w:color="auto"/>
              </w:divBdr>
            </w:div>
            <w:div w:id="924876734">
              <w:marLeft w:val="0"/>
              <w:marRight w:val="0"/>
              <w:marTop w:val="0"/>
              <w:marBottom w:val="0"/>
              <w:divBdr>
                <w:top w:val="none" w:sz="0" w:space="0" w:color="auto"/>
                <w:left w:val="none" w:sz="0" w:space="0" w:color="auto"/>
                <w:bottom w:val="none" w:sz="0" w:space="0" w:color="auto"/>
                <w:right w:val="none" w:sz="0" w:space="0" w:color="auto"/>
              </w:divBdr>
            </w:div>
            <w:div w:id="1114400121">
              <w:marLeft w:val="0"/>
              <w:marRight w:val="0"/>
              <w:marTop w:val="0"/>
              <w:marBottom w:val="0"/>
              <w:divBdr>
                <w:top w:val="none" w:sz="0" w:space="0" w:color="auto"/>
                <w:left w:val="none" w:sz="0" w:space="0" w:color="auto"/>
                <w:bottom w:val="none" w:sz="0" w:space="0" w:color="auto"/>
                <w:right w:val="none" w:sz="0" w:space="0" w:color="auto"/>
              </w:divBdr>
            </w:div>
            <w:div w:id="1126044589">
              <w:marLeft w:val="0"/>
              <w:marRight w:val="0"/>
              <w:marTop w:val="0"/>
              <w:marBottom w:val="0"/>
              <w:divBdr>
                <w:top w:val="none" w:sz="0" w:space="0" w:color="auto"/>
                <w:left w:val="none" w:sz="0" w:space="0" w:color="auto"/>
                <w:bottom w:val="none" w:sz="0" w:space="0" w:color="auto"/>
                <w:right w:val="none" w:sz="0" w:space="0" w:color="auto"/>
              </w:divBdr>
            </w:div>
            <w:div w:id="1291940139">
              <w:marLeft w:val="0"/>
              <w:marRight w:val="0"/>
              <w:marTop w:val="0"/>
              <w:marBottom w:val="0"/>
              <w:divBdr>
                <w:top w:val="none" w:sz="0" w:space="0" w:color="auto"/>
                <w:left w:val="none" w:sz="0" w:space="0" w:color="auto"/>
                <w:bottom w:val="none" w:sz="0" w:space="0" w:color="auto"/>
                <w:right w:val="none" w:sz="0" w:space="0" w:color="auto"/>
              </w:divBdr>
            </w:div>
            <w:div w:id="1516917449">
              <w:marLeft w:val="0"/>
              <w:marRight w:val="0"/>
              <w:marTop w:val="0"/>
              <w:marBottom w:val="0"/>
              <w:divBdr>
                <w:top w:val="none" w:sz="0" w:space="0" w:color="auto"/>
                <w:left w:val="none" w:sz="0" w:space="0" w:color="auto"/>
                <w:bottom w:val="none" w:sz="0" w:space="0" w:color="auto"/>
                <w:right w:val="none" w:sz="0" w:space="0" w:color="auto"/>
              </w:divBdr>
            </w:div>
            <w:div w:id="1645232107">
              <w:marLeft w:val="0"/>
              <w:marRight w:val="0"/>
              <w:marTop w:val="0"/>
              <w:marBottom w:val="0"/>
              <w:divBdr>
                <w:top w:val="none" w:sz="0" w:space="0" w:color="auto"/>
                <w:left w:val="none" w:sz="0" w:space="0" w:color="auto"/>
                <w:bottom w:val="none" w:sz="0" w:space="0" w:color="auto"/>
                <w:right w:val="none" w:sz="0" w:space="0" w:color="auto"/>
              </w:divBdr>
            </w:div>
            <w:div w:id="1780951347">
              <w:marLeft w:val="0"/>
              <w:marRight w:val="0"/>
              <w:marTop w:val="0"/>
              <w:marBottom w:val="0"/>
              <w:divBdr>
                <w:top w:val="none" w:sz="0" w:space="0" w:color="auto"/>
                <w:left w:val="none" w:sz="0" w:space="0" w:color="auto"/>
                <w:bottom w:val="none" w:sz="0" w:space="0" w:color="auto"/>
                <w:right w:val="none" w:sz="0" w:space="0" w:color="auto"/>
              </w:divBdr>
            </w:div>
            <w:div w:id="19109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6208">
      <w:bodyDiv w:val="1"/>
      <w:marLeft w:val="0"/>
      <w:marRight w:val="0"/>
      <w:marTop w:val="0"/>
      <w:marBottom w:val="0"/>
      <w:divBdr>
        <w:top w:val="none" w:sz="0" w:space="0" w:color="auto"/>
        <w:left w:val="none" w:sz="0" w:space="0" w:color="auto"/>
        <w:bottom w:val="none" w:sz="0" w:space="0" w:color="auto"/>
        <w:right w:val="none" w:sz="0" w:space="0" w:color="auto"/>
      </w:divBdr>
    </w:div>
    <w:div w:id="557128503">
      <w:bodyDiv w:val="1"/>
      <w:marLeft w:val="0"/>
      <w:marRight w:val="0"/>
      <w:marTop w:val="0"/>
      <w:marBottom w:val="0"/>
      <w:divBdr>
        <w:top w:val="none" w:sz="0" w:space="0" w:color="auto"/>
        <w:left w:val="none" w:sz="0" w:space="0" w:color="auto"/>
        <w:bottom w:val="none" w:sz="0" w:space="0" w:color="auto"/>
        <w:right w:val="none" w:sz="0" w:space="0" w:color="auto"/>
      </w:divBdr>
      <w:divsChild>
        <w:div w:id="188298907">
          <w:marLeft w:val="0"/>
          <w:marRight w:val="0"/>
          <w:marTop w:val="0"/>
          <w:marBottom w:val="0"/>
          <w:divBdr>
            <w:top w:val="none" w:sz="0" w:space="0" w:color="auto"/>
            <w:left w:val="none" w:sz="0" w:space="0" w:color="auto"/>
            <w:bottom w:val="none" w:sz="0" w:space="0" w:color="auto"/>
            <w:right w:val="none" w:sz="0" w:space="0" w:color="auto"/>
          </w:divBdr>
          <w:divsChild>
            <w:div w:id="124196988">
              <w:marLeft w:val="0"/>
              <w:marRight w:val="0"/>
              <w:marTop w:val="0"/>
              <w:marBottom w:val="0"/>
              <w:divBdr>
                <w:top w:val="none" w:sz="0" w:space="0" w:color="auto"/>
                <w:left w:val="none" w:sz="0" w:space="0" w:color="auto"/>
                <w:bottom w:val="none" w:sz="0" w:space="0" w:color="auto"/>
                <w:right w:val="none" w:sz="0" w:space="0" w:color="auto"/>
              </w:divBdr>
            </w:div>
            <w:div w:id="569003797">
              <w:marLeft w:val="0"/>
              <w:marRight w:val="0"/>
              <w:marTop w:val="0"/>
              <w:marBottom w:val="0"/>
              <w:divBdr>
                <w:top w:val="none" w:sz="0" w:space="0" w:color="auto"/>
                <w:left w:val="none" w:sz="0" w:space="0" w:color="auto"/>
                <w:bottom w:val="none" w:sz="0" w:space="0" w:color="auto"/>
                <w:right w:val="none" w:sz="0" w:space="0" w:color="auto"/>
              </w:divBdr>
            </w:div>
            <w:div w:id="1026519220">
              <w:marLeft w:val="0"/>
              <w:marRight w:val="0"/>
              <w:marTop w:val="0"/>
              <w:marBottom w:val="0"/>
              <w:divBdr>
                <w:top w:val="none" w:sz="0" w:space="0" w:color="auto"/>
                <w:left w:val="none" w:sz="0" w:space="0" w:color="auto"/>
                <w:bottom w:val="none" w:sz="0" w:space="0" w:color="auto"/>
                <w:right w:val="none" w:sz="0" w:space="0" w:color="auto"/>
              </w:divBdr>
            </w:div>
            <w:div w:id="1327705182">
              <w:marLeft w:val="0"/>
              <w:marRight w:val="0"/>
              <w:marTop w:val="0"/>
              <w:marBottom w:val="0"/>
              <w:divBdr>
                <w:top w:val="none" w:sz="0" w:space="0" w:color="auto"/>
                <w:left w:val="none" w:sz="0" w:space="0" w:color="auto"/>
                <w:bottom w:val="none" w:sz="0" w:space="0" w:color="auto"/>
                <w:right w:val="none" w:sz="0" w:space="0" w:color="auto"/>
              </w:divBdr>
            </w:div>
            <w:div w:id="1820878337">
              <w:marLeft w:val="0"/>
              <w:marRight w:val="0"/>
              <w:marTop w:val="0"/>
              <w:marBottom w:val="0"/>
              <w:divBdr>
                <w:top w:val="none" w:sz="0" w:space="0" w:color="auto"/>
                <w:left w:val="none" w:sz="0" w:space="0" w:color="auto"/>
                <w:bottom w:val="none" w:sz="0" w:space="0" w:color="auto"/>
                <w:right w:val="none" w:sz="0" w:space="0" w:color="auto"/>
              </w:divBdr>
            </w:div>
            <w:div w:id="1943142817">
              <w:marLeft w:val="0"/>
              <w:marRight w:val="0"/>
              <w:marTop w:val="0"/>
              <w:marBottom w:val="0"/>
              <w:divBdr>
                <w:top w:val="none" w:sz="0" w:space="0" w:color="auto"/>
                <w:left w:val="none" w:sz="0" w:space="0" w:color="auto"/>
                <w:bottom w:val="none" w:sz="0" w:space="0" w:color="auto"/>
                <w:right w:val="none" w:sz="0" w:space="0" w:color="auto"/>
              </w:divBdr>
            </w:div>
            <w:div w:id="2039819794">
              <w:marLeft w:val="0"/>
              <w:marRight w:val="0"/>
              <w:marTop w:val="0"/>
              <w:marBottom w:val="0"/>
              <w:divBdr>
                <w:top w:val="none" w:sz="0" w:space="0" w:color="auto"/>
                <w:left w:val="none" w:sz="0" w:space="0" w:color="auto"/>
                <w:bottom w:val="none" w:sz="0" w:space="0" w:color="auto"/>
                <w:right w:val="none" w:sz="0" w:space="0" w:color="auto"/>
              </w:divBdr>
            </w:div>
          </w:divsChild>
        </w:div>
        <w:div w:id="328951072">
          <w:marLeft w:val="0"/>
          <w:marRight w:val="0"/>
          <w:marTop w:val="0"/>
          <w:marBottom w:val="0"/>
          <w:divBdr>
            <w:top w:val="none" w:sz="0" w:space="0" w:color="auto"/>
            <w:left w:val="none" w:sz="0" w:space="0" w:color="auto"/>
            <w:bottom w:val="none" w:sz="0" w:space="0" w:color="auto"/>
            <w:right w:val="none" w:sz="0" w:space="0" w:color="auto"/>
          </w:divBdr>
          <w:divsChild>
            <w:div w:id="1575704733">
              <w:marLeft w:val="0"/>
              <w:marRight w:val="0"/>
              <w:marTop w:val="0"/>
              <w:marBottom w:val="0"/>
              <w:divBdr>
                <w:top w:val="none" w:sz="0" w:space="0" w:color="auto"/>
                <w:left w:val="none" w:sz="0" w:space="0" w:color="auto"/>
                <w:bottom w:val="none" w:sz="0" w:space="0" w:color="auto"/>
                <w:right w:val="none" w:sz="0" w:space="0" w:color="auto"/>
              </w:divBdr>
            </w:div>
          </w:divsChild>
        </w:div>
        <w:div w:id="801190466">
          <w:marLeft w:val="0"/>
          <w:marRight w:val="0"/>
          <w:marTop w:val="0"/>
          <w:marBottom w:val="0"/>
          <w:divBdr>
            <w:top w:val="none" w:sz="0" w:space="0" w:color="auto"/>
            <w:left w:val="none" w:sz="0" w:space="0" w:color="auto"/>
            <w:bottom w:val="none" w:sz="0" w:space="0" w:color="auto"/>
            <w:right w:val="none" w:sz="0" w:space="0" w:color="auto"/>
          </w:divBdr>
          <w:divsChild>
            <w:div w:id="529144682">
              <w:marLeft w:val="0"/>
              <w:marRight w:val="0"/>
              <w:marTop w:val="0"/>
              <w:marBottom w:val="0"/>
              <w:divBdr>
                <w:top w:val="none" w:sz="0" w:space="0" w:color="auto"/>
                <w:left w:val="none" w:sz="0" w:space="0" w:color="auto"/>
                <w:bottom w:val="none" w:sz="0" w:space="0" w:color="auto"/>
                <w:right w:val="none" w:sz="0" w:space="0" w:color="auto"/>
              </w:divBdr>
            </w:div>
          </w:divsChild>
        </w:div>
        <w:div w:id="1239366060">
          <w:marLeft w:val="0"/>
          <w:marRight w:val="0"/>
          <w:marTop w:val="0"/>
          <w:marBottom w:val="0"/>
          <w:divBdr>
            <w:top w:val="none" w:sz="0" w:space="0" w:color="auto"/>
            <w:left w:val="none" w:sz="0" w:space="0" w:color="auto"/>
            <w:bottom w:val="none" w:sz="0" w:space="0" w:color="auto"/>
            <w:right w:val="none" w:sz="0" w:space="0" w:color="auto"/>
          </w:divBdr>
          <w:divsChild>
            <w:div w:id="378360433">
              <w:marLeft w:val="0"/>
              <w:marRight w:val="0"/>
              <w:marTop w:val="0"/>
              <w:marBottom w:val="0"/>
              <w:divBdr>
                <w:top w:val="none" w:sz="0" w:space="0" w:color="auto"/>
                <w:left w:val="none" w:sz="0" w:space="0" w:color="auto"/>
                <w:bottom w:val="none" w:sz="0" w:space="0" w:color="auto"/>
                <w:right w:val="none" w:sz="0" w:space="0" w:color="auto"/>
              </w:divBdr>
            </w:div>
          </w:divsChild>
        </w:div>
        <w:div w:id="1343894513">
          <w:marLeft w:val="0"/>
          <w:marRight w:val="0"/>
          <w:marTop w:val="0"/>
          <w:marBottom w:val="0"/>
          <w:divBdr>
            <w:top w:val="none" w:sz="0" w:space="0" w:color="auto"/>
            <w:left w:val="none" w:sz="0" w:space="0" w:color="auto"/>
            <w:bottom w:val="none" w:sz="0" w:space="0" w:color="auto"/>
            <w:right w:val="none" w:sz="0" w:space="0" w:color="auto"/>
          </w:divBdr>
          <w:divsChild>
            <w:div w:id="21246700">
              <w:marLeft w:val="0"/>
              <w:marRight w:val="0"/>
              <w:marTop w:val="0"/>
              <w:marBottom w:val="0"/>
              <w:divBdr>
                <w:top w:val="none" w:sz="0" w:space="0" w:color="auto"/>
                <w:left w:val="none" w:sz="0" w:space="0" w:color="auto"/>
                <w:bottom w:val="none" w:sz="0" w:space="0" w:color="auto"/>
                <w:right w:val="none" w:sz="0" w:space="0" w:color="auto"/>
              </w:divBdr>
            </w:div>
            <w:div w:id="429156294">
              <w:marLeft w:val="0"/>
              <w:marRight w:val="0"/>
              <w:marTop w:val="0"/>
              <w:marBottom w:val="0"/>
              <w:divBdr>
                <w:top w:val="none" w:sz="0" w:space="0" w:color="auto"/>
                <w:left w:val="none" w:sz="0" w:space="0" w:color="auto"/>
                <w:bottom w:val="none" w:sz="0" w:space="0" w:color="auto"/>
                <w:right w:val="none" w:sz="0" w:space="0" w:color="auto"/>
              </w:divBdr>
            </w:div>
            <w:div w:id="503204342">
              <w:marLeft w:val="0"/>
              <w:marRight w:val="0"/>
              <w:marTop w:val="0"/>
              <w:marBottom w:val="0"/>
              <w:divBdr>
                <w:top w:val="none" w:sz="0" w:space="0" w:color="auto"/>
                <w:left w:val="none" w:sz="0" w:space="0" w:color="auto"/>
                <w:bottom w:val="none" w:sz="0" w:space="0" w:color="auto"/>
                <w:right w:val="none" w:sz="0" w:space="0" w:color="auto"/>
              </w:divBdr>
            </w:div>
            <w:div w:id="712078815">
              <w:marLeft w:val="0"/>
              <w:marRight w:val="0"/>
              <w:marTop w:val="0"/>
              <w:marBottom w:val="0"/>
              <w:divBdr>
                <w:top w:val="none" w:sz="0" w:space="0" w:color="auto"/>
                <w:left w:val="none" w:sz="0" w:space="0" w:color="auto"/>
                <w:bottom w:val="none" w:sz="0" w:space="0" w:color="auto"/>
                <w:right w:val="none" w:sz="0" w:space="0" w:color="auto"/>
              </w:divBdr>
            </w:div>
            <w:div w:id="738526552">
              <w:marLeft w:val="0"/>
              <w:marRight w:val="0"/>
              <w:marTop w:val="0"/>
              <w:marBottom w:val="0"/>
              <w:divBdr>
                <w:top w:val="none" w:sz="0" w:space="0" w:color="auto"/>
                <w:left w:val="none" w:sz="0" w:space="0" w:color="auto"/>
                <w:bottom w:val="none" w:sz="0" w:space="0" w:color="auto"/>
                <w:right w:val="none" w:sz="0" w:space="0" w:color="auto"/>
              </w:divBdr>
            </w:div>
            <w:div w:id="911503616">
              <w:marLeft w:val="0"/>
              <w:marRight w:val="0"/>
              <w:marTop w:val="0"/>
              <w:marBottom w:val="0"/>
              <w:divBdr>
                <w:top w:val="none" w:sz="0" w:space="0" w:color="auto"/>
                <w:left w:val="none" w:sz="0" w:space="0" w:color="auto"/>
                <w:bottom w:val="none" w:sz="0" w:space="0" w:color="auto"/>
                <w:right w:val="none" w:sz="0" w:space="0" w:color="auto"/>
              </w:divBdr>
            </w:div>
            <w:div w:id="1150711169">
              <w:marLeft w:val="0"/>
              <w:marRight w:val="0"/>
              <w:marTop w:val="0"/>
              <w:marBottom w:val="0"/>
              <w:divBdr>
                <w:top w:val="none" w:sz="0" w:space="0" w:color="auto"/>
                <w:left w:val="none" w:sz="0" w:space="0" w:color="auto"/>
                <w:bottom w:val="none" w:sz="0" w:space="0" w:color="auto"/>
                <w:right w:val="none" w:sz="0" w:space="0" w:color="auto"/>
              </w:divBdr>
            </w:div>
            <w:div w:id="1251280005">
              <w:marLeft w:val="0"/>
              <w:marRight w:val="0"/>
              <w:marTop w:val="0"/>
              <w:marBottom w:val="0"/>
              <w:divBdr>
                <w:top w:val="none" w:sz="0" w:space="0" w:color="auto"/>
                <w:left w:val="none" w:sz="0" w:space="0" w:color="auto"/>
                <w:bottom w:val="none" w:sz="0" w:space="0" w:color="auto"/>
                <w:right w:val="none" w:sz="0" w:space="0" w:color="auto"/>
              </w:divBdr>
            </w:div>
            <w:div w:id="1484466466">
              <w:marLeft w:val="0"/>
              <w:marRight w:val="0"/>
              <w:marTop w:val="0"/>
              <w:marBottom w:val="0"/>
              <w:divBdr>
                <w:top w:val="none" w:sz="0" w:space="0" w:color="auto"/>
                <w:left w:val="none" w:sz="0" w:space="0" w:color="auto"/>
                <w:bottom w:val="none" w:sz="0" w:space="0" w:color="auto"/>
                <w:right w:val="none" w:sz="0" w:space="0" w:color="auto"/>
              </w:divBdr>
            </w:div>
            <w:div w:id="1527475396">
              <w:marLeft w:val="0"/>
              <w:marRight w:val="0"/>
              <w:marTop w:val="0"/>
              <w:marBottom w:val="0"/>
              <w:divBdr>
                <w:top w:val="none" w:sz="0" w:space="0" w:color="auto"/>
                <w:left w:val="none" w:sz="0" w:space="0" w:color="auto"/>
                <w:bottom w:val="none" w:sz="0" w:space="0" w:color="auto"/>
                <w:right w:val="none" w:sz="0" w:space="0" w:color="auto"/>
              </w:divBdr>
            </w:div>
            <w:div w:id="1574513285">
              <w:marLeft w:val="0"/>
              <w:marRight w:val="0"/>
              <w:marTop w:val="0"/>
              <w:marBottom w:val="0"/>
              <w:divBdr>
                <w:top w:val="none" w:sz="0" w:space="0" w:color="auto"/>
                <w:left w:val="none" w:sz="0" w:space="0" w:color="auto"/>
                <w:bottom w:val="none" w:sz="0" w:space="0" w:color="auto"/>
                <w:right w:val="none" w:sz="0" w:space="0" w:color="auto"/>
              </w:divBdr>
            </w:div>
            <w:div w:id="1689795773">
              <w:marLeft w:val="0"/>
              <w:marRight w:val="0"/>
              <w:marTop w:val="0"/>
              <w:marBottom w:val="0"/>
              <w:divBdr>
                <w:top w:val="none" w:sz="0" w:space="0" w:color="auto"/>
                <w:left w:val="none" w:sz="0" w:space="0" w:color="auto"/>
                <w:bottom w:val="none" w:sz="0" w:space="0" w:color="auto"/>
                <w:right w:val="none" w:sz="0" w:space="0" w:color="auto"/>
              </w:divBdr>
            </w:div>
            <w:div w:id="1919902903">
              <w:marLeft w:val="0"/>
              <w:marRight w:val="0"/>
              <w:marTop w:val="0"/>
              <w:marBottom w:val="0"/>
              <w:divBdr>
                <w:top w:val="none" w:sz="0" w:space="0" w:color="auto"/>
                <w:left w:val="none" w:sz="0" w:space="0" w:color="auto"/>
                <w:bottom w:val="none" w:sz="0" w:space="0" w:color="auto"/>
                <w:right w:val="none" w:sz="0" w:space="0" w:color="auto"/>
              </w:divBdr>
            </w:div>
            <w:div w:id="1932155322">
              <w:marLeft w:val="0"/>
              <w:marRight w:val="0"/>
              <w:marTop w:val="0"/>
              <w:marBottom w:val="0"/>
              <w:divBdr>
                <w:top w:val="none" w:sz="0" w:space="0" w:color="auto"/>
                <w:left w:val="none" w:sz="0" w:space="0" w:color="auto"/>
                <w:bottom w:val="none" w:sz="0" w:space="0" w:color="auto"/>
                <w:right w:val="none" w:sz="0" w:space="0" w:color="auto"/>
              </w:divBdr>
            </w:div>
            <w:div w:id="1977487173">
              <w:marLeft w:val="0"/>
              <w:marRight w:val="0"/>
              <w:marTop w:val="0"/>
              <w:marBottom w:val="0"/>
              <w:divBdr>
                <w:top w:val="none" w:sz="0" w:space="0" w:color="auto"/>
                <w:left w:val="none" w:sz="0" w:space="0" w:color="auto"/>
                <w:bottom w:val="none" w:sz="0" w:space="0" w:color="auto"/>
                <w:right w:val="none" w:sz="0" w:space="0" w:color="auto"/>
              </w:divBdr>
            </w:div>
            <w:div w:id="2009360138">
              <w:marLeft w:val="0"/>
              <w:marRight w:val="0"/>
              <w:marTop w:val="0"/>
              <w:marBottom w:val="0"/>
              <w:divBdr>
                <w:top w:val="none" w:sz="0" w:space="0" w:color="auto"/>
                <w:left w:val="none" w:sz="0" w:space="0" w:color="auto"/>
                <w:bottom w:val="none" w:sz="0" w:space="0" w:color="auto"/>
                <w:right w:val="none" w:sz="0" w:space="0" w:color="auto"/>
              </w:divBdr>
            </w:div>
            <w:div w:id="2114978176">
              <w:marLeft w:val="0"/>
              <w:marRight w:val="0"/>
              <w:marTop w:val="0"/>
              <w:marBottom w:val="0"/>
              <w:divBdr>
                <w:top w:val="none" w:sz="0" w:space="0" w:color="auto"/>
                <w:left w:val="none" w:sz="0" w:space="0" w:color="auto"/>
                <w:bottom w:val="none" w:sz="0" w:space="0" w:color="auto"/>
                <w:right w:val="none" w:sz="0" w:space="0" w:color="auto"/>
              </w:divBdr>
            </w:div>
          </w:divsChild>
        </w:div>
        <w:div w:id="1395928366">
          <w:marLeft w:val="0"/>
          <w:marRight w:val="0"/>
          <w:marTop w:val="0"/>
          <w:marBottom w:val="0"/>
          <w:divBdr>
            <w:top w:val="none" w:sz="0" w:space="0" w:color="auto"/>
            <w:left w:val="none" w:sz="0" w:space="0" w:color="auto"/>
            <w:bottom w:val="none" w:sz="0" w:space="0" w:color="auto"/>
            <w:right w:val="none" w:sz="0" w:space="0" w:color="auto"/>
          </w:divBdr>
          <w:divsChild>
            <w:div w:id="108822191">
              <w:marLeft w:val="0"/>
              <w:marRight w:val="0"/>
              <w:marTop w:val="0"/>
              <w:marBottom w:val="0"/>
              <w:divBdr>
                <w:top w:val="none" w:sz="0" w:space="0" w:color="auto"/>
                <w:left w:val="none" w:sz="0" w:space="0" w:color="auto"/>
                <w:bottom w:val="none" w:sz="0" w:space="0" w:color="auto"/>
                <w:right w:val="none" w:sz="0" w:space="0" w:color="auto"/>
              </w:divBdr>
            </w:div>
            <w:div w:id="130754995">
              <w:marLeft w:val="0"/>
              <w:marRight w:val="0"/>
              <w:marTop w:val="0"/>
              <w:marBottom w:val="0"/>
              <w:divBdr>
                <w:top w:val="none" w:sz="0" w:space="0" w:color="auto"/>
                <w:left w:val="none" w:sz="0" w:space="0" w:color="auto"/>
                <w:bottom w:val="none" w:sz="0" w:space="0" w:color="auto"/>
                <w:right w:val="none" w:sz="0" w:space="0" w:color="auto"/>
              </w:divBdr>
            </w:div>
            <w:div w:id="146674731">
              <w:marLeft w:val="0"/>
              <w:marRight w:val="0"/>
              <w:marTop w:val="0"/>
              <w:marBottom w:val="0"/>
              <w:divBdr>
                <w:top w:val="none" w:sz="0" w:space="0" w:color="auto"/>
                <w:left w:val="none" w:sz="0" w:space="0" w:color="auto"/>
                <w:bottom w:val="none" w:sz="0" w:space="0" w:color="auto"/>
                <w:right w:val="none" w:sz="0" w:space="0" w:color="auto"/>
              </w:divBdr>
            </w:div>
            <w:div w:id="161167537">
              <w:marLeft w:val="0"/>
              <w:marRight w:val="0"/>
              <w:marTop w:val="0"/>
              <w:marBottom w:val="0"/>
              <w:divBdr>
                <w:top w:val="none" w:sz="0" w:space="0" w:color="auto"/>
                <w:left w:val="none" w:sz="0" w:space="0" w:color="auto"/>
                <w:bottom w:val="none" w:sz="0" w:space="0" w:color="auto"/>
                <w:right w:val="none" w:sz="0" w:space="0" w:color="auto"/>
              </w:divBdr>
            </w:div>
            <w:div w:id="471366326">
              <w:marLeft w:val="0"/>
              <w:marRight w:val="0"/>
              <w:marTop w:val="0"/>
              <w:marBottom w:val="0"/>
              <w:divBdr>
                <w:top w:val="none" w:sz="0" w:space="0" w:color="auto"/>
                <w:left w:val="none" w:sz="0" w:space="0" w:color="auto"/>
                <w:bottom w:val="none" w:sz="0" w:space="0" w:color="auto"/>
                <w:right w:val="none" w:sz="0" w:space="0" w:color="auto"/>
              </w:divBdr>
            </w:div>
            <w:div w:id="511998011">
              <w:marLeft w:val="0"/>
              <w:marRight w:val="0"/>
              <w:marTop w:val="0"/>
              <w:marBottom w:val="0"/>
              <w:divBdr>
                <w:top w:val="none" w:sz="0" w:space="0" w:color="auto"/>
                <w:left w:val="none" w:sz="0" w:space="0" w:color="auto"/>
                <w:bottom w:val="none" w:sz="0" w:space="0" w:color="auto"/>
                <w:right w:val="none" w:sz="0" w:space="0" w:color="auto"/>
              </w:divBdr>
            </w:div>
            <w:div w:id="736168873">
              <w:marLeft w:val="0"/>
              <w:marRight w:val="0"/>
              <w:marTop w:val="0"/>
              <w:marBottom w:val="0"/>
              <w:divBdr>
                <w:top w:val="none" w:sz="0" w:space="0" w:color="auto"/>
                <w:left w:val="none" w:sz="0" w:space="0" w:color="auto"/>
                <w:bottom w:val="none" w:sz="0" w:space="0" w:color="auto"/>
                <w:right w:val="none" w:sz="0" w:space="0" w:color="auto"/>
              </w:divBdr>
            </w:div>
            <w:div w:id="936213551">
              <w:marLeft w:val="0"/>
              <w:marRight w:val="0"/>
              <w:marTop w:val="0"/>
              <w:marBottom w:val="0"/>
              <w:divBdr>
                <w:top w:val="none" w:sz="0" w:space="0" w:color="auto"/>
                <w:left w:val="none" w:sz="0" w:space="0" w:color="auto"/>
                <w:bottom w:val="none" w:sz="0" w:space="0" w:color="auto"/>
                <w:right w:val="none" w:sz="0" w:space="0" w:color="auto"/>
              </w:divBdr>
            </w:div>
            <w:div w:id="1154029166">
              <w:marLeft w:val="0"/>
              <w:marRight w:val="0"/>
              <w:marTop w:val="0"/>
              <w:marBottom w:val="0"/>
              <w:divBdr>
                <w:top w:val="none" w:sz="0" w:space="0" w:color="auto"/>
                <w:left w:val="none" w:sz="0" w:space="0" w:color="auto"/>
                <w:bottom w:val="none" w:sz="0" w:space="0" w:color="auto"/>
                <w:right w:val="none" w:sz="0" w:space="0" w:color="auto"/>
              </w:divBdr>
            </w:div>
            <w:div w:id="1484152619">
              <w:marLeft w:val="0"/>
              <w:marRight w:val="0"/>
              <w:marTop w:val="0"/>
              <w:marBottom w:val="0"/>
              <w:divBdr>
                <w:top w:val="none" w:sz="0" w:space="0" w:color="auto"/>
                <w:left w:val="none" w:sz="0" w:space="0" w:color="auto"/>
                <w:bottom w:val="none" w:sz="0" w:space="0" w:color="auto"/>
                <w:right w:val="none" w:sz="0" w:space="0" w:color="auto"/>
              </w:divBdr>
            </w:div>
            <w:div w:id="1719350981">
              <w:marLeft w:val="0"/>
              <w:marRight w:val="0"/>
              <w:marTop w:val="0"/>
              <w:marBottom w:val="0"/>
              <w:divBdr>
                <w:top w:val="none" w:sz="0" w:space="0" w:color="auto"/>
                <w:left w:val="none" w:sz="0" w:space="0" w:color="auto"/>
                <w:bottom w:val="none" w:sz="0" w:space="0" w:color="auto"/>
                <w:right w:val="none" w:sz="0" w:space="0" w:color="auto"/>
              </w:divBdr>
            </w:div>
            <w:div w:id="1979337191">
              <w:marLeft w:val="0"/>
              <w:marRight w:val="0"/>
              <w:marTop w:val="0"/>
              <w:marBottom w:val="0"/>
              <w:divBdr>
                <w:top w:val="none" w:sz="0" w:space="0" w:color="auto"/>
                <w:left w:val="none" w:sz="0" w:space="0" w:color="auto"/>
                <w:bottom w:val="none" w:sz="0" w:space="0" w:color="auto"/>
                <w:right w:val="none" w:sz="0" w:space="0" w:color="auto"/>
              </w:divBdr>
            </w:div>
          </w:divsChild>
        </w:div>
        <w:div w:id="1559785895">
          <w:marLeft w:val="0"/>
          <w:marRight w:val="0"/>
          <w:marTop w:val="0"/>
          <w:marBottom w:val="0"/>
          <w:divBdr>
            <w:top w:val="none" w:sz="0" w:space="0" w:color="auto"/>
            <w:left w:val="none" w:sz="0" w:space="0" w:color="auto"/>
            <w:bottom w:val="none" w:sz="0" w:space="0" w:color="auto"/>
            <w:right w:val="none" w:sz="0" w:space="0" w:color="auto"/>
          </w:divBdr>
          <w:divsChild>
            <w:div w:id="312180614">
              <w:marLeft w:val="0"/>
              <w:marRight w:val="0"/>
              <w:marTop w:val="0"/>
              <w:marBottom w:val="0"/>
              <w:divBdr>
                <w:top w:val="none" w:sz="0" w:space="0" w:color="auto"/>
                <w:left w:val="none" w:sz="0" w:space="0" w:color="auto"/>
                <w:bottom w:val="none" w:sz="0" w:space="0" w:color="auto"/>
                <w:right w:val="none" w:sz="0" w:space="0" w:color="auto"/>
              </w:divBdr>
            </w:div>
          </w:divsChild>
        </w:div>
        <w:div w:id="1750073587">
          <w:marLeft w:val="0"/>
          <w:marRight w:val="0"/>
          <w:marTop w:val="0"/>
          <w:marBottom w:val="0"/>
          <w:divBdr>
            <w:top w:val="none" w:sz="0" w:space="0" w:color="auto"/>
            <w:left w:val="none" w:sz="0" w:space="0" w:color="auto"/>
            <w:bottom w:val="none" w:sz="0" w:space="0" w:color="auto"/>
            <w:right w:val="none" w:sz="0" w:space="0" w:color="auto"/>
          </w:divBdr>
          <w:divsChild>
            <w:div w:id="12076263">
              <w:marLeft w:val="0"/>
              <w:marRight w:val="0"/>
              <w:marTop w:val="0"/>
              <w:marBottom w:val="0"/>
              <w:divBdr>
                <w:top w:val="none" w:sz="0" w:space="0" w:color="auto"/>
                <w:left w:val="none" w:sz="0" w:space="0" w:color="auto"/>
                <w:bottom w:val="none" w:sz="0" w:space="0" w:color="auto"/>
                <w:right w:val="none" w:sz="0" w:space="0" w:color="auto"/>
              </w:divBdr>
            </w:div>
            <w:div w:id="73404019">
              <w:marLeft w:val="0"/>
              <w:marRight w:val="0"/>
              <w:marTop w:val="0"/>
              <w:marBottom w:val="0"/>
              <w:divBdr>
                <w:top w:val="none" w:sz="0" w:space="0" w:color="auto"/>
                <w:left w:val="none" w:sz="0" w:space="0" w:color="auto"/>
                <w:bottom w:val="none" w:sz="0" w:space="0" w:color="auto"/>
                <w:right w:val="none" w:sz="0" w:space="0" w:color="auto"/>
              </w:divBdr>
            </w:div>
            <w:div w:id="259796419">
              <w:marLeft w:val="0"/>
              <w:marRight w:val="0"/>
              <w:marTop w:val="0"/>
              <w:marBottom w:val="0"/>
              <w:divBdr>
                <w:top w:val="none" w:sz="0" w:space="0" w:color="auto"/>
                <w:left w:val="none" w:sz="0" w:space="0" w:color="auto"/>
                <w:bottom w:val="none" w:sz="0" w:space="0" w:color="auto"/>
                <w:right w:val="none" w:sz="0" w:space="0" w:color="auto"/>
              </w:divBdr>
            </w:div>
            <w:div w:id="299389299">
              <w:marLeft w:val="0"/>
              <w:marRight w:val="0"/>
              <w:marTop w:val="0"/>
              <w:marBottom w:val="0"/>
              <w:divBdr>
                <w:top w:val="none" w:sz="0" w:space="0" w:color="auto"/>
                <w:left w:val="none" w:sz="0" w:space="0" w:color="auto"/>
                <w:bottom w:val="none" w:sz="0" w:space="0" w:color="auto"/>
                <w:right w:val="none" w:sz="0" w:space="0" w:color="auto"/>
              </w:divBdr>
            </w:div>
            <w:div w:id="357435538">
              <w:marLeft w:val="0"/>
              <w:marRight w:val="0"/>
              <w:marTop w:val="0"/>
              <w:marBottom w:val="0"/>
              <w:divBdr>
                <w:top w:val="none" w:sz="0" w:space="0" w:color="auto"/>
                <w:left w:val="none" w:sz="0" w:space="0" w:color="auto"/>
                <w:bottom w:val="none" w:sz="0" w:space="0" w:color="auto"/>
                <w:right w:val="none" w:sz="0" w:space="0" w:color="auto"/>
              </w:divBdr>
            </w:div>
            <w:div w:id="364722962">
              <w:marLeft w:val="0"/>
              <w:marRight w:val="0"/>
              <w:marTop w:val="0"/>
              <w:marBottom w:val="0"/>
              <w:divBdr>
                <w:top w:val="none" w:sz="0" w:space="0" w:color="auto"/>
                <w:left w:val="none" w:sz="0" w:space="0" w:color="auto"/>
                <w:bottom w:val="none" w:sz="0" w:space="0" w:color="auto"/>
                <w:right w:val="none" w:sz="0" w:space="0" w:color="auto"/>
              </w:divBdr>
            </w:div>
            <w:div w:id="369382666">
              <w:marLeft w:val="0"/>
              <w:marRight w:val="0"/>
              <w:marTop w:val="0"/>
              <w:marBottom w:val="0"/>
              <w:divBdr>
                <w:top w:val="none" w:sz="0" w:space="0" w:color="auto"/>
                <w:left w:val="none" w:sz="0" w:space="0" w:color="auto"/>
                <w:bottom w:val="none" w:sz="0" w:space="0" w:color="auto"/>
                <w:right w:val="none" w:sz="0" w:space="0" w:color="auto"/>
              </w:divBdr>
            </w:div>
            <w:div w:id="433550001">
              <w:marLeft w:val="0"/>
              <w:marRight w:val="0"/>
              <w:marTop w:val="0"/>
              <w:marBottom w:val="0"/>
              <w:divBdr>
                <w:top w:val="none" w:sz="0" w:space="0" w:color="auto"/>
                <w:left w:val="none" w:sz="0" w:space="0" w:color="auto"/>
                <w:bottom w:val="none" w:sz="0" w:space="0" w:color="auto"/>
                <w:right w:val="none" w:sz="0" w:space="0" w:color="auto"/>
              </w:divBdr>
            </w:div>
            <w:div w:id="500782875">
              <w:marLeft w:val="0"/>
              <w:marRight w:val="0"/>
              <w:marTop w:val="0"/>
              <w:marBottom w:val="0"/>
              <w:divBdr>
                <w:top w:val="none" w:sz="0" w:space="0" w:color="auto"/>
                <w:left w:val="none" w:sz="0" w:space="0" w:color="auto"/>
                <w:bottom w:val="none" w:sz="0" w:space="0" w:color="auto"/>
                <w:right w:val="none" w:sz="0" w:space="0" w:color="auto"/>
              </w:divBdr>
            </w:div>
            <w:div w:id="507404898">
              <w:marLeft w:val="0"/>
              <w:marRight w:val="0"/>
              <w:marTop w:val="0"/>
              <w:marBottom w:val="0"/>
              <w:divBdr>
                <w:top w:val="none" w:sz="0" w:space="0" w:color="auto"/>
                <w:left w:val="none" w:sz="0" w:space="0" w:color="auto"/>
                <w:bottom w:val="none" w:sz="0" w:space="0" w:color="auto"/>
                <w:right w:val="none" w:sz="0" w:space="0" w:color="auto"/>
              </w:divBdr>
            </w:div>
            <w:div w:id="510342175">
              <w:marLeft w:val="0"/>
              <w:marRight w:val="0"/>
              <w:marTop w:val="0"/>
              <w:marBottom w:val="0"/>
              <w:divBdr>
                <w:top w:val="none" w:sz="0" w:space="0" w:color="auto"/>
                <w:left w:val="none" w:sz="0" w:space="0" w:color="auto"/>
                <w:bottom w:val="none" w:sz="0" w:space="0" w:color="auto"/>
                <w:right w:val="none" w:sz="0" w:space="0" w:color="auto"/>
              </w:divBdr>
            </w:div>
            <w:div w:id="651450455">
              <w:marLeft w:val="0"/>
              <w:marRight w:val="0"/>
              <w:marTop w:val="0"/>
              <w:marBottom w:val="0"/>
              <w:divBdr>
                <w:top w:val="none" w:sz="0" w:space="0" w:color="auto"/>
                <w:left w:val="none" w:sz="0" w:space="0" w:color="auto"/>
                <w:bottom w:val="none" w:sz="0" w:space="0" w:color="auto"/>
                <w:right w:val="none" w:sz="0" w:space="0" w:color="auto"/>
              </w:divBdr>
            </w:div>
            <w:div w:id="702174787">
              <w:marLeft w:val="0"/>
              <w:marRight w:val="0"/>
              <w:marTop w:val="0"/>
              <w:marBottom w:val="0"/>
              <w:divBdr>
                <w:top w:val="none" w:sz="0" w:space="0" w:color="auto"/>
                <w:left w:val="none" w:sz="0" w:space="0" w:color="auto"/>
                <w:bottom w:val="none" w:sz="0" w:space="0" w:color="auto"/>
                <w:right w:val="none" w:sz="0" w:space="0" w:color="auto"/>
              </w:divBdr>
            </w:div>
            <w:div w:id="745303941">
              <w:marLeft w:val="0"/>
              <w:marRight w:val="0"/>
              <w:marTop w:val="0"/>
              <w:marBottom w:val="0"/>
              <w:divBdr>
                <w:top w:val="none" w:sz="0" w:space="0" w:color="auto"/>
                <w:left w:val="none" w:sz="0" w:space="0" w:color="auto"/>
                <w:bottom w:val="none" w:sz="0" w:space="0" w:color="auto"/>
                <w:right w:val="none" w:sz="0" w:space="0" w:color="auto"/>
              </w:divBdr>
            </w:div>
            <w:div w:id="767048369">
              <w:marLeft w:val="0"/>
              <w:marRight w:val="0"/>
              <w:marTop w:val="0"/>
              <w:marBottom w:val="0"/>
              <w:divBdr>
                <w:top w:val="none" w:sz="0" w:space="0" w:color="auto"/>
                <w:left w:val="none" w:sz="0" w:space="0" w:color="auto"/>
                <w:bottom w:val="none" w:sz="0" w:space="0" w:color="auto"/>
                <w:right w:val="none" w:sz="0" w:space="0" w:color="auto"/>
              </w:divBdr>
            </w:div>
            <w:div w:id="789054180">
              <w:marLeft w:val="0"/>
              <w:marRight w:val="0"/>
              <w:marTop w:val="0"/>
              <w:marBottom w:val="0"/>
              <w:divBdr>
                <w:top w:val="none" w:sz="0" w:space="0" w:color="auto"/>
                <w:left w:val="none" w:sz="0" w:space="0" w:color="auto"/>
                <w:bottom w:val="none" w:sz="0" w:space="0" w:color="auto"/>
                <w:right w:val="none" w:sz="0" w:space="0" w:color="auto"/>
              </w:divBdr>
            </w:div>
            <w:div w:id="809588637">
              <w:marLeft w:val="0"/>
              <w:marRight w:val="0"/>
              <w:marTop w:val="0"/>
              <w:marBottom w:val="0"/>
              <w:divBdr>
                <w:top w:val="none" w:sz="0" w:space="0" w:color="auto"/>
                <w:left w:val="none" w:sz="0" w:space="0" w:color="auto"/>
                <w:bottom w:val="none" w:sz="0" w:space="0" w:color="auto"/>
                <w:right w:val="none" w:sz="0" w:space="0" w:color="auto"/>
              </w:divBdr>
            </w:div>
            <w:div w:id="825978842">
              <w:marLeft w:val="0"/>
              <w:marRight w:val="0"/>
              <w:marTop w:val="0"/>
              <w:marBottom w:val="0"/>
              <w:divBdr>
                <w:top w:val="none" w:sz="0" w:space="0" w:color="auto"/>
                <w:left w:val="none" w:sz="0" w:space="0" w:color="auto"/>
                <w:bottom w:val="none" w:sz="0" w:space="0" w:color="auto"/>
                <w:right w:val="none" w:sz="0" w:space="0" w:color="auto"/>
              </w:divBdr>
            </w:div>
            <w:div w:id="923955569">
              <w:marLeft w:val="0"/>
              <w:marRight w:val="0"/>
              <w:marTop w:val="0"/>
              <w:marBottom w:val="0"/>
              <w:divBdr>
                <w:top w:val="none" w:sz="0" w:space="0" w:color="auto"/>
                <w:left w:val="none" w:sz="0" w:space="0" w:color="auto"/>
                <w:bottom w:val="none" w:sz="0" w:space="0" w:color="auto"/>
                <w:right w:val="none" w:sz="0" w:space="0" w:color="auto"/>
              </w:divBdr>
            </w:div>
            <w:div w:id="956836684">
              <w:marLeft w:val="0"/>
              <w:marRight w:val="0"/>
              <w:marTop w:val="0"/>
              <w:marBottom w:val="0"/>
              <w:divBdr>
                <w:top w:val="none" w:sz="0" w:space="0" w:color="auto"/>
                <w:left w:val="none" w:sz="0" w:space="0" w:color="auto"/>
                <w:bottom w:val="none" w:sz="0" w:space="0" w:color="auto"/>
                <w:right w:val="none" w:sz="0" w:space="0" w:color="auto"/>
              </w:divBdr>
            </w:div>
            <w:div w:id="1041437434">
              <w:marLeft w:val="0"/>
              <w:marRight w:val="0"/>
              <w:marTop w:val="0"/>
              <w:marBottom w:val="0"/>
              <w:divBdr>
                <w:top w:val="none" w:sz="0" w:space="0" w:color="auto"/>
                <w:left w:val="none" w:sz="0" w:space="0" w:color="auto"/>
                <w:bottom w:val="none" w:sz="0" w:space="0" w:color="auto"/>
                <w:right w:val="none" w:sz="0" w:space="0" w:color="auto"/>
              </w:divBdr>
            </w:div>
            <w:div w:id="1288316022">
              <w:marLeft w:val="0"/>
              <w:marRight w:val="0"/>
              <w:marTop w:val="0"/>
              <w:marBottom w:val="0"/>
              <w:divBdr>
                <w:top w:val="none" w:sz="0" w:space="0" w:color="auto"/>
                <w:left w:val="none" w:sz="0" w:space="0" w:color="auto"/>
                <w:bottom w:val="none" w:sz="0" w:space="0" w:color="auto"/>
                <w:right w:val="none" w:sz="0" w:space="0" w:color="auto"/>
              </w:divBdr>
            </w:div>
            <w:div w:id="1490440706">
              <w:marLeft w:val="0"/>
              <w:marRight w:val="0"/>
              <w:marTop w:val="0"/>
              <w:marBottom w:val="0"/>
              <w:divBdr>
                <w:top w:val="none" w:sz="0" w:space="0" w:color="auto"/>
                <w:left w:val="none" w:sz="0" w:space="0" w:color="auto"/>
                <w:bottom w:val="none" w:sz="0" w:space="0" w:color="auto"/>
                <w:right w:val="none" w:sz="0" w:space="0" w:color="auto"/>
              </w:divBdr>
            </w:div>
            <w:div w:id="1491094049">
              <w:marLeft w:val="0"/>
              <w:marRight w:val="0"/>
              <w:marTop w:val="0"/>
              <w:marBottom w:val="0"/>
              <w:divBdr>
                <w:top w:val="none" w:sz="0" w:space="0" w:color="auto"/>
                <w:left w:val="none" w:sz="0" w:space="0" w:color="auto"/>
                <w:bottom w:val="none" w:sz="0" w:space="0" w:color="auto"/>
                <w:right w:val="none" w:sz="0" w:space="0" w:color="auto"/>
              </w:divBdr>
            </w:div>
            <w:div w:id="1675524941">
              <w:marLeft w:val="0"/>
              <w:marRight w:val="0"/>
              <w:marTop w:val="0"/>
              <w:marBottom w:val="0"/>
              <w:divBdr>
                <w:top w:val="none" w:sz="0" w:space="0" w:color="auto"/>
                <w:left w:val="none" w:sz="0" w:space="0" w:color="auto"/>
                <w:bottom w:val="none" w:sz="0" w:space="0" w:color="auto"/>
                <w:right w:val="none" w:sz="0" w:space="0" w:color="auto"/>
              </w:divBdr>
            </w:div>
            <w:div w:id="1805732270">
              <w:marLeft w:val="0"/>
              <w:marRight w:val="0"/>
              <w:marTop w:val="0"/>
              <w:marBottom w:val="0"/>
              <w:divBdr>
                <w:top w:val="none" w:sz="0" w:space="0" w:color="auto"/>
                <w:left w:val="none" w:sz="0" w:space="0" w:color="auto"/>
                <w:bottom w:val="none" w:sz="0" w:space="0" w:color="auto"/>
                <w:right w:val="none" w:sz="0" w:space="0" w:color="auto"/>
              </w:divBdr>
            </w:div>
            <w:div w:id="1968269139">
              <w:marLeft w:val="0"/>
              <w:marRight w:val="0"/>
              <w:marTop w:val="0"/>
              <w:marBottom w:val="0"/>
              <w:divBdr>
                <w:top w:val="none" w:sz="0" w:space="0" w:color="auto"/>
                <w:left w:val="none" w:sz="0" w:space="0" w:color="auto"/>
                <w:bottom w:val="none" w:sz="0" w:space="0" w:color="auto"/>
                <w:right w:val="none" w:sz="0" w:space="0" w:color="auto"/>
              </w:divBdr>
            </w:div>
            <w:div w:id="2080445930">
              <w:marLeft w:val="0"/>
              <w:marRight w:val="0"/>
              <w:marTop w:val="0"/>
              <w:marBottom w:val="0"/>
              <w:divBdr>
                <w:top w:val="none" w:sz="0" w:space="0" w:color="auto"/>
                <w:left w:val="none" w:sz="0" w:space="0" w:color="auto"/>
                <w:bottom w:val="none" w:sz="0" w:space="0" w:color="auto"/>
                <w:right w:val="none" w:sz="0" w:space="0" w:color="auto"/>
              </w:divBdr>
            </w:div>
          </w:divsChild>
        </w:div>
        <w:div w:id="1896119368">
          <w:marLeft w:val="0"/>
          <w:marRight w:val="0"/>
          <w:marTop w:val="0"/>
          <w:marBottom w:val="0"/>
          <w:divBdr>
            <w:top w:val="none" w:sz="0" w:space="0" w:color="auto"/>
            <w:left w:val="none" w:sz="0" w:space="0" w:color="auto"/>
            <w:bottom w:val="none" w:sz="0" w:space="0" w:color="auto"/>
            <w:right w:val="none" w:sz="0" w:space="0" w:color="auto"/>
          </w:divBdr>
          <w:divsChild>
            <w:div w:id="19996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5141">
      <w:bodyDiv w:val="1"/>
      <w:marLeft w:val="0"/>
      <w:marRight w:val="0"/>
      <w:marTop w:val="0"/>
      <w:marBottom w:val="0"/>
      <w:divBdr>
        <w:top w:val="none" w:sz="0" w:space="0" w:color="auto"/>
        <w:left w:val="none" w:sz="0" w:space="0" w:color="auto"/>
        <w:bottom w:val="none" w:sz="0" w:space="0" w:color="auto"/>
        <w:right w:val="none" w:sz="0" w:space="0" w:color="auto"/>
      </w:divBdr>
    </w:div>
    <w:div w:id="690180293">
      <w:bodyDiv w:val="1"/>
      <w:marLeft w:val="0"/>
      <w:marRight w:val="0"/>
      <w:marTop w:val="0"/>
      <w:marBottom w:val="0"/>
      <w:divBdr>
        <w:top w:val="none" w:sz="0" w:space="0" w:color="auto"/>
        <w:left w:val="none" w:sz="0" w:space="0" w:color="auto"/>
        <w:bottom w:val="none" w:sz="0" w:space="0" w:color="auto"/>
        <w:right w:val="none" w:sz="0" w:space="0" w:color="auto"/>
      </w:divBdr>
    </w:div>
    <w:div w:id="697202366">
      <w:bodyDiv w:val="1"/>
      <w:marLeft w:val="0"/>
      <w:marRight w:val="0"/>
      <w:marTop w:val="0"/>
      <w:marBottom w:val="0"/>
      <w:divBdr>
        <w:top w:val="none" w:sz="0" w:space="0" w:color="auto"/>
        <w:left w:val="none" w:sz="0" w:space="0" w:color="auto"/>
        <w:bottom w:val="none" w:sz="0" w:space="0" w:color="auto"/>
        <w:right w:val="none" w:sz="0" w:space="0" w:color="auto"/>
      </w:divBdr>
    </w:div>
    <w:div w:id="988554909">
      <w:bodyDiv w:val="1"/>
      <w:marLeft w:val="0"/>
      <w:marRight w:val="0"/>
      <w:marTop w:val="0"/>
      <w:marBottom w:val="0"/>
      <w:divBdr>
        <w:top w:val="none" w:sz="0" w:space="0" w:color="auto"/>
        <w:left w:val="none" w:sz="0" w:space="0" w:color="auto"/>
        <w:bottom w:val="none" w:sz="0" w:space="0" w:color="auto"/>
        <w:right w:val="none" w:sz="0" w:space="0" w:color="auto"/>
      </w:divBdr>
      <w:divsChild>
        <w:div w:id="225915247">
          <w:marLeft w:val="0"/>
          <w:marRight w:val="0"/>
          <w:marTop w:val="0"/>
          <w:marBottom w:val="0"/>
          <w:divBdr>
            <w:top w:val="none" w:sz="0" w:space="0" w:color="auto"/>
            <w:left w:val="none" w:sz="0" w:space="0" w:color="auto"/>
            <w:bottom w:val="none" w:sz="0" w:space="0" w:color="auto"/>
            <w:right w:val="none" w:sz="0" w:space="0" w:color="auto"/>
          </w:divBdr>
          <w:divsChild>
            <w:div w:id="1731539538">
              <w:marLeft w:val="0"/>
              <w:marRight w:val="0"/>
              <w:marTop w:val="0"/>
              <w:marBottom w:val="0"/>
              <w:divBdr>
                <w:top w:val="none" w:sz="0" w:space="0" w:color="auto"/>
                <w:left w:val="none" w:sz="0" w:space="0" w:color="auto"/>
                <w:bottom w:val="none" w:sz="0" w:space="0" w:color="auto"/>
                <w:right w:val="none" w:sz="0" w:space="0" w:color="auto"/>
              </w:divBdr>
            </w:div>
          </w:divsChild>
        </w:div>
        <w:div w:id="1407536910">
          <w:marLeft w:val="0"/>
          <w:marRight w:val="0"/>
          <w:marTop w:val="0"/>
          <w:marBottom w:val="0"/>
          <w:divBdr>
            <w:top w:val="none" w:sz="0" w:space="0" w:color="auto"/>
            <w:left w:val="none" w:sz="0" w:space="0" w:color="auto"/>
            <w:bottom w:val="none" w:sz="0" w:space="0" w:color="auto"/>
            <w:right w:val="none" w:sz="0" w:space="0" w:color="auto"/>
          </w:divBdr>
          <w:divsChild>
            <w:div w:id="816647871">
              <w:marLeft w:val="0"/>
              <w:marRight w:val="0"/>
              <w:marTop w:val="0"/>
              <w:marBottom w:val="0"/>
              <w:divBdr>
                <w:top w:val="none" w:sz="0" w:space="0" w:color="auto"/>
                <w:left w:val="none" w:sz="0" w:space="0" w:color="auto"/>
                <w:bottom w:val="none" w:sz="0" w:space="0" w:color="auto"/>
                <w:right w:val="none" w:sz="0" w:space="0" w:color="auto"/>
              </w:divBdr>
            </w:div>
            <w:div w:id="1297881781">
              <w:marLeft w:val="0"/>
              <w:marRight w:val="0"/>
              <w:marTop w:val="0"/>
              <w:marBottom w:val="0"/>
              <w:divBdr>
                <w:top w:val="none" w:sz="0" w:space="0" w:color="auto"/>
                <w:left w:val="none" w:sz="0" w:space="0" w:color="auto"/>
                <w:bottom w:val="none" w:sz="0" w:space="0" w:color="auto"/>
                <w:right w:val="none" w:sz="0" w:space="0" w:color="auto"/>
              </w:divBdr>
            </w:div>
            <w:div w:id="1333409138">
              <w:marLeft w:val="0"/>
              <w:marRight w:val="0"/>
              <w:marTop w:val="0"/>
              <w:marBottom w:val="0"/>
              <w:divBdr>
                <w:top w:val="none" w:sz="0" w:space="0" w:color="auto"/>
                <w:left w:val="none" w:sz="0" w:space="0" w:color="auto"/>
                <w:bottom w:val="none" w:sz="0" w:space="0" w:color="auto"/>
                <w:right w:val="none" w:sz="0" w:space="0" w:color="auto"/>
              </w:divBdr>
            </w:div>
            <w:div w:id="1403523564">
              <w:marLeft w:val="0"/>
              <w:marRight w:val="0"/>
              <w:marTop w:val="0"/>
              <w:marBottom w:val="0"/>
              <w:divBdr>
                <w:top w:val="none" w:sz="0" w:space="0" w:color="auto"/>
                <w:left w:val="none" w:sz="0" w:space="0" w:color="auto"/>
                <w:bottom w:val="none" w:sz="0" w:space="0" w:color="auto"/>
                <w:right w:val="none" w:sz="0" w:space="0" w:color="auto"/>
              </w:divBdr>
            </w:div>
            <w:div w:id="1583830596">
              <w:marLeft w:val="0"/>
              <w:marRight w:val="0"/>
              <w:marTop w:val="0"/>
              <w:marBottom w:val="0"/>
              <w:divBdr>
                <w:top w:val="none" w:sz="0" w:space="0" w:color="auto"/>
                <w:left w:val="none" w:sz="0" w:space="0" w:color="auto"/>
                <w:bottom w:val="none" w:sz="0" w:space="0" w:color="auto"/>
                <w:right w:val="none" w:sz="0" w:space="0" w:color="auto"/>
              </w:divBdr>
            </w:div>
            <w:div w:id="1658607146">
              <w:marLeft w:val="0"/>
              <w:marRight w:val="0"/>
              <w:marTop w:val="0"/>
              <w:marBottom w:val="0"/>
              <w:divBdr>
                <w:top w:val="none" w:sz="0" w:space="0" w:color="auto"/>
                <w:left w:val="none" w:sz="0" w:space="0" w:color="auto"/>
                <w:bottom w:val="none" w:sz="0" w:space="0" w:color="auto"/>
                <w:right w:val="none" w:sz="0" w:space="0" w:color="auto"/>
              </w:divBdr>
            </w:div>
            <w:div w:id="1809930979">
              <w:marLeft w:val="0"/>
              <w:marRight w:val="0"/>
              <w:marTop w:val="0"/>
              <w:marBottom w:val="0"/>
              <w:divBdr>
                <w:top w:val="none" w:sz="0" w:space="0" w:color="auto"/>
                <w:left w:val="none" w:sz="0" w:space="0" w:color="auto"/>
                <w:bottom w:val="none" w:sz="0" w:space="0" w:color="auto"/>
                <w:right w:val="none" w:sz="0" w:space="0" w:color="auto"/>
              </w:divBdr>
            </w:div>
          </w:divsChild>
        </w:div>
        <w:div w:id="1821651627">
          <w:marLeft w:val="0"/>
          <w:marRight w:val="0"/>
          <w:marTop w:val="0"/>
          <w:marBottom w:val="0"/>
          <w:divBdr>
            <w:top w:val="none" w:sz="0" w:space="0" w:color="auto"/>
            <w:left w:val="none" w:sz="0" w:space="0" w:color="auto"/>
            <w:bottom w:val="none" w:sz="0" w:space="0" w:color="auto"/>
            <w:right w:val="none" w:sz="0" w:space="0" w:color="auto"/>
          </w:divBdr>
          <w:divsChild>
            <w:div w:id="479230967">
              <w:marLeft w:val="0"/>
              <w:marRight w:val="0"/>
              <w:marTop w:val="0"/>
              <w:marBottom w:val="0"/>
              <w:divBdr>
                <w:top w:val="none" w:sz="0" w:space="0" w:color="auto"/>
                <w:left w:val="none" w:sz="0" w:space="0" w:color="auto"/>
                <w:bottom w:val="none" w:sz="0" w:space="0" w:color="auto"/>
                <w:right w:val="none" w:sz="0" w:space="0" w:color="auto"/>
              </w:divBdr>
            </w:div>
          </w:divsChild>
        </w:div>
        <w:div w:id="1846676204">
          <w:marLeft w:val="0"/>
          <w:marRight w:val="0"/>
          <w:marTop w:val="0"/>
          <w:marBottom w:val="0"/>
          <w:divBdr>
            <w:top w:val="none" w:sz="0" w:space="0" w:color="auto"/>
            <w:left w:val="none" w:sz="0" w:space="0" w:color="auto"/>
            <w:bottom w:val="none" w:sz="0" w:space="0" w:color="auto"/>
            <w:right w:val="none" w:sz="0" w:space="0" w:color="auto"/>
          </w:divBdr>
          <w:divsChild>
            <w:div w:id="574047563">
              <w:marLeft w:val="0"/>
              <w:marRight w:val="0"/>
              <w:marTop w:val="0"/>
              <w:marBottom w:val="0"/>
              <w:divBdr>
                <w:top w:val="none" w:sz="0" w:space="0" w:color="auto"/>
                <w:left w:val="none" w:sz="0" w:space="0" w:color="auto"/>
                <w:bottom w:val="none" w:sz="0" w:space="0" w:color="auto"/>
                <w:right w:val="none" w:sz="0" w:space="0" w:color="auto"/>
              </w:divBdr>
            </w:div>
            <w:div w:id="669019081">
              <w:marLeft w:val="0"/>
              <w:marRight w:val="0"/>
              <w:marTop w:val="0"/>
              <w:marBottom w:val="0"/>
              <w:divBdr>
                <w:top w:val="none" w:sz="0" w:space="0" w:color="auto"/>
                <w:left w:val="none" w:sz="0" w:space="0" w:color="auto"/>
                <w:bottom w:val="none" w:sz="0" w:space="0" w:color="auto"/>
                <w:right w:val="none" w:sz="0" w:space="0" w:color="auto"/>
              </w:divBdr>
            </w:div>
            <w:div w:id="703142919">
              <w:marLeft w:val="0"/>
              <w:marRight w:val="0"/>
              <w:marTop w:val="0"/>
              <w:marBottom w:val="0"/>
              <w:divBdr>
                <w:top w:val="none" w:sz="0" w:space="0" w:color="auto"/>
                <w:left w:val="none" w:sz="0" w:space="0" w:color="auto"/>
                <w:bottom w:val="none" w:sz="0" w:space="0" w:color="auto"/>
                <w:right w:val="none" w:sz="0" w:space="0" w:color="auto"/>
              </w:divBdr>
            </w:div>
            <w:div w:id="937250754">
              <w:marLeft w:val="0"/>
              <w:marRight w:val="0"/>
              <w:marTop w:val="0"/>
              <w:marBottom w:val="0"/>
              <w:divBdr>
                <w:top w:val="none" w:sz="0" w:space="0" w:color="auto"/>
                <w:left w:val="none" w:sz="0" w:space="0" w:color="auto"/>
                <w:bottom w:val="none" w:sz="0" w:space="0" w:color="auto"/>
                <w:right w:val="none" w:sz="0" w:space="0" w:color="auto"/>
              </w:divBdr>
            </w:div>
            <w:div w:id="1113012817">
              <w:marLeft w:val="0"/>
              <w:marRight w:val="0"/>
              <w:marTop w:val="0"/>
              <w:marBottom w:val="0"/>
              <w:divBdr>
                <w:top w:val="none" w:sz="0" w:space="0" w:color="auto"/>
                <w:left w:val="none" w:sz="0" w:space="0" w:color="auto"/>
                <w:bottom w:val="none" w:sz="0" w:space="0" w:color="auto"/>
                <w:right w:val="none" w:sz="0" w:space="0" w:color="auto"/>
              </w:divBdr>
            </w:div>
            <w:div w:id="1217349456">
              <w:marLeft w:val="0"/>
              <w:marRight w:val="0"/>
              <w:marTop w:val="0"/>
              <w:marBottom w:val="0"/>
              <w:divBdr>
                <w:top w:val="none" w:sz="0" w:space="0" w:color="auto"/>
                <w:left w:val="none" w:sz="0" w:space="0" w:color="auto"/>
                <w:bottom w:val="none" w:sz="0" w:space="0" w:color="auto"/>
                <w:right w:val="none" w:sz="0" w:space="0" w:color="auto"/>
              </w:divBdr>
            </w:div>
            <w:div w:id="1227498134">
              <w:marLeft w:val="0"/>
              <w:marRight w:val="0"/>
              <w:marTop w:val="0"/>
              <w:marBottom w:val="0"/>
              <w:divBdr>
                <w:top w:val="none" w:sz="0" w:space="0" w:color="auto"/>
                <w:left w:val="none" w:sz="0" w:space="0" w:color="auto"/>
                <w:bottom w:val="none" w:sz="0" w:space="0" w:color="auto"/>
                <w:right w:val="none" w:sz="0" w:space="0" w:color="auto"/>
              </w:divBdr>
            </w:div>
            <w:div w:id="1369795988">
              <w:marLeft w:val="0"/>
              <w:marRight w:val="0"/>
              <w:marTop w:val="0"/>
              <w:marBottom w:val="0"/>
              <w:divBdr>
                <w:top w:val="none" w:sz="0" w:space="0" w:color="auto"/>
                <w:left w:val="none" w:sz="0" w:space="0" w:color="auto"/>
                <w:bottom w:val="none" w:sz="0" w:space="0" w:color="auto"/>
                <w:right w:val="none" w:sz="0" w:space="0" w:color="auto"/>
              </w:divBdr>
            </w:div>
            <w:div w:id="1433090855">
              <w:marLeft w:val="0"/>
              <w:marRight w:val="0"/>
              <w:marTop w:val="0"/>
              <w:marBottom w:val="0"/>
              <w:divBdr>
                <w:top w:val="none" w:sz="0" w:space="0" w:color="auto"/>
                <w:left w:val="none" w:sz="0" w:space="0" w:color="auto"/>
                <w:bottom w:val="none" w:sz="0" w:space="0" w:color="auto"/>
                <w:right w:val="none" w:sz="0" w:space="0" w:color="auto"/>
              </w:divBdr>
            </w:div>
            <w:div w:id="1687899180">
              <w:marLeft w:val="0"/>
              <w:marRight w:val="0"/>
              <w:marTop w:val="0"/>
              <w:marBottom w:val="0"/>
              <w:divBdr>
                <w:top w:val="none" w:sz="0" w:space="0" w:color="auto"/>
                <w:left w:val="none" w:sz="0" w:space="0" w:color="auto"/>
                <w:bottom w:val="none" w:sz="0" w:space="0" w:color="auto"/>
                <w:right w:val="none" w:sz="0" w:space="0" w:color="auto"/>
              </w:divBdr>
            </w:div>
            <w:div w:id="1930498521">
              <w:marLeft w:val="0"/>
              <w:marRight w:val="0"/>
              <w:marTop w:val="0"/>
              <w:marBottom w:val="0"/>
              <w:divBdr>
                <w:top w:val="none" w:sz="0" w:space="0" w:color="auto"/>
                <w:left w:val="none" w:sz="0" w:space="0" w:color="auto"/>
                <w:bottom w:val="none" w:sz="0" w:space="0" w:color="auto"/>
                <w:right w:val="none" w:sz="0" w:space="0" w:color="auto"/>
              </w:divBdr>
            </w:div>
          </w:divsChild>
        </w:div>
        <w:div w:id="1902406315">
          <w:marLeft w:val="0"/>
          <w:marRight w:val="0"/>
          <w:marTop w:val="0"/>
          <w:marBottom w:val="0"/>
          <w:divBdr>
            <w:top w:val="none" w:sz="0" w:space="0" w:color="auto"/>
            <w:left w:val="none" w:sz="0" w:space="0" w:color="auto"/>
            <w:bottom w:val="none" w:sz="0" w:space="0" w:color="auto"/>
            <w:right w:val="none" w:sz="0" w:space="0" w:color="auto"/>
          </w:divBdr>
          <w:divsChild>
            <w:div w:id="3173590">
              <w:marLeft w:val="0"/>
              <w:marRight w:val="0"/>
              <w:marTop w:val="0"/>
              <w:marBottom w:val="0"/>
              <w:divBdr>
                <w:top w:val="none" w:sz="0" w:space="0" w:color="auto"/>
                <w:left w:val="none" w:sz="0" w:space="0" w:color="auto"/>
                <w:bottom w:val="none" w:sz="0" w:space="0" w:color="auto"/>
                <w:right w:val="none" w:sz="0" w:space="0" w:color="auto"/>
              </w:divBdr>
            </w:div>
            <w:div w:id="111479007">
              <w:marLeft w:val="0"/>
              <w:marRight w:val="0"/>
              <w:marTop w:val="0"/>
              <w:marBottom w:val="0"/>
              <w:divBdr>
                <w:top w:val="none" w:sz="0" w:space="0" w:color="auto"/>
                <w:left w:val="none" w:sz="0" w:space="0" w:color="auto"/>
                <w:bottom w:val="none" w:sz="0" w:space="0" w:color="auto"/>
                <w:right w:val="none" w:sz="0" w:space="0" w:color="auto"/>
              </w:divBdr>
            </w:div>
            <w:div w:id="155731319">
              <w:marLeft w:val="0"/>
              <w:marRight w:val="0"/>
              <w:marTop w:val="0"/>
              <w:marBottom w:val="0"/>
              <w:divBdr>
                <w:top w:val="none" w:sz="0" w:space="0" w:color="auto"/>
                <w:left w:val="none" w:sz="0" w:space="0" w:color="auto"/>
                <w:bottom w:val="none" w:sz="0" w:space="0" w:color="auto"/>
                <w:right w:val="none" w:sz="0" w:space="0" w:color="auto"/>
              </w:divBdr>
            </w:div>
            <w:div w:id="222716745">
              <w:marLeft w:val="0"/>
              <w:marRight w:val="0"/>
              <w:marTop w:val="0"/>
              <w:marBottom w:val="0"/>
              <w:divBdr>
                <w:top w:val="none" w:sz="0" w:space="0" w:color="auto"/>
                <w:left w:val="none" w:sz="0" w:space="0" w:color="auto"/>
                <w:bottom w:val="none" w:sz="0" w:space="0" w:color="auto"/>
                <w:right w:val="none" w:sz="0" w:space="0" w:color="auto"/>
              </w:divBdr>
            </w:div>
            <w:div w:id="255677014">
              <w:marLeft w:val="0"/>
              <w:marRight w:val="0"/>
              <w:marTop w:val="0"/>
              <w:marBottom w:val="0"/>
              <w:divBdr>
                <w:top w:val="none" w:sz="0" w:space="0" w:color="auto"/>
                <w:left w:val="none" w:sz="0" w:space="0" w:color="auto"/>
                <w:bottom w:val="none" w:sz="0" w:space="0" w:color="auto"/>
                <w:right w:val="none" w:sz="0" w:space="0" w:color="auto"/>
              </w:divBdr>
            </w:div>
            <w:div w:id="872763738">
              <w:marLeft w:val="0"/>
              <w:marRight w:val="0"/>
              <w:marTop w:val="0"/>
              <w:marBottom w:val="0"/>
              <w:divBdr>
                <w:top w:val="none" w:sz="0" w:space="0" w:color="auto"/>
                <w:left w:val="none" w:sz="0" w:space="0" w:color="auto"/>
                <w:bottom w:val="none" w:sz="0" w:space="0" w:color="auto"/>
                <w:right w:val="none" w:sz="0" w:space="0" w:color="auto"/>
              </w:divBdr>
            </w:div>
            <w:div w:id="920603230">
              <w:marLeft w:val="0"/>
              <w:marRight w:val="0"/>
              <w:marTop w:val="0"/>
              <w:marBottom w:val="0"/>
              <w:divBdr>
                <w:top w:val="none" w:sz="0" w:space="0" w:color="auto"/>
                <w:left w:val="none" w:sz="0" w:space="0" w:color="auto"/>
                <w:bottom w:val="none" w:sz="0" w:space="0" w:color="auto"/>
                <w:right w:val="none" w:sz="0" w:space="0" w:color="auto"/>
              </w:divBdr>
            </w:div>
            <w:div w:id="934090025">
              <w:marLeft w:val="0"/>
              <w:marRight w:val="0"/>
              <w:marTop w:val="0"/>
              <w:marBottom w:val="0"/>
              <w:divBdr>
                <w:top w:val="none" w:sz="0" w:space="0" w:color="auto"/>
                <w:left w:val="none" w:sz="0" w:space="0" w:color="auto"/>
                <w:bottom w:val="none" w:sz="0" w:space="0" w:color="auto"/>
                <w:right w:val="none" w:sz="0" w:space="0" w:color="auto"/>
              </w:divBdr>
            </w:div>
            <w:div w:id="935138898">
              <w:marLeft w:val="0"/>
              <w:marRight w:val="0"/>
              <w:marTop w:val="0"/>
              <w:marBottom w:val="0"/>
              <w:divBdr>
                <w:top w:val="none" w:sz="0" w:space="0" w:color="auto"/>
                <w:left w:val="none" w:sz="0" w:space="0" w:color="auto"/>
                <w:bottom w:val="none" w:sz="0" w:space="0" w:color="auto"/>
                <w:right w:val="none" w:sz="0" w:space="0" w:color="auto"/>
              </w:divBdr>
            </w:div>
            <w:div w:id="939920387">
              <w:marLeft w:val="0"/>
              <w:marRight w:val="0"/>
              <w:marTop w:val="0"/>
              <w:marBottom w:val="0"/>
              <w:divBdr>
                <w:top w:val="none" w:sz="0" w:space="0" w:color="auto"/>
                <w:left w:val="none" w:sz="0" w:space="0" w:color="auto"/>
                <w:bottom w:val="none" w:sz="0" w:space="0" w:color="auto"/>
                <w:right w:val="none" w:sz="0" w:space="0" w:color="auto"/>
              </w:divBdr>
            </w:div>
            <w:div w:id="1202206683">
              <w:marLeft w:val="0"/>
              <w:marRight w:val="0"/>
              <w:marTop w:val="0"/>
              <w:marBottom w:val="0"/>
              <w:divBdr>
                <w:top w:val="none" w:sz="0" w:space="0" w:color="auto"/>
                <w:left w:val="none" w:sz="0" w:space="0" w:color="auto"/>
                <w:bottom w:val="none" w:sz="0" w:space="0" w:color="auto"/>
                <w:right w:val="none" w:sz="0" w:space="0" w:color="auto"/>
              </w:divBdr>
            </w:div>
            <w:div w:id="1263294300">
              <w:marLeft w:val="0"/>
              <w:marRight w:val="0"/>
              <w:marTop w:val="0"/>
              <w:marBottom w:val="0"/>
              <w:divBdr>
                <w:top w:val="none" w:sz="0" w:space="0" w:color="auto"/>
                <w:left w:val="none" w:sz="0" w:space="0" w:color="auto"/>
                <w:bottom w:val="none" w:sz="0" w:space="0" w:color="auto"/>
                <w:right w:val="none" w:sz="0" w:space="0" w:color="auto"/>
              </w:divBdr>
            </w:div>
            <w:div w:id="1481456493">
              <w:marLeft w:val="0"/>
              <w:marRight w:val="0"/>
              <w:marTop w:val="0"/>
              <w:marBottom w:val="0"/>
              <w:divBdr>
                <w:top w:val="none" w:sz="0" w:space="0" w:color="auto"/>
                <w:left w:val="none" w:sz="0" w:space="0" w:color="auto"/>
                <w:bottom w:val="none" w:sz="0" w:space="0" w:color="auto"/>
                <w:right w:val="none" w:sz="0" w:space="0" w:color="auto"/>
              </w:divBdr>
            </w:div>
            <w:div w:id="1606156669">
              <w:marLeft w:val="0"/>
              <w:marRight w:val="0"/>
              <w:marTop w:val="0"/>
              <w:marBottom w:val="0"/>
              <w:divBdr>
                <w:top w:val="none" w:sz="0" w:space="0" w:color="auto"/>
                <w:left w:val="none" w:sz="0" w:space="0" w:color="auto"/>
                <w:bottom w:val="none" w:sz="0" w:space="0" w:color="auto"/>
                <w:right w:val="none" w:sz="0" w:space="0" w:color="auto"/>
              </w:divBdr>
            </w:div>
            <w:div w:id="1635062977">
              <w:marLeft w:val="0"/>
              <w:marRight w:val="0"/>
              <w:marTop w:val="0"/>
              <w:marBottom w:val="0"/>
              <w:divBdr>
                <w:top w:val="none" w:sz="0" w:space="0" w:color="auto"/>
                <w:left w:val="none" w:sz="0" w:space="0" w:color="auto"/>
                <w:bottom w:val="none" w:sz="0" w:space="0" w:color="auto"/>
                <w:right w:val="none" w:sz="0" w:space="0" w:color="auto"/>
              </w:divBdr>
            </w:div>
            <w:div w:id="1662924456">
              <w:marLeft w:val="0"/>
              <w:marRight w:val="0"/>
              <w:marTop w:val="0"/>
              <w:marBottom w:val="0"/>
              <w:divBdr>
                <w:top w:val="none" w:sz="0" w:space="0" w:color="auto"/>
                <w:left w:val="none" w:sz="0" w:space="0" w:color="auto"/>
                <w:bottom w:val="none" w:sz="0" w:space="0" w:color="auto"/>
                <w:right w:val="none" w:sz="0" w:space="0" w:color="auto"/>
              </w:divBdr>
            </w:div>
            <w:div w:id="1709800238">
              <w:marLeft w:val="0"/>
              <w:marRight w:val="0"/>
              <w:marTop w:val="0"/>
              <w:marBottom w:val="0"/>
              <w:divBdr>
                <w:top w:val="none" w:sz="0" w:space="0" w:color="auto"/>
                <w:left w:val="none" w:sz="0" w:space="0" w:color="auto"/>
                <w:bottom w:val="none" w:sz="0" w:space="0" w:color="auto"/>
                <w:right w:val="none" w:sz="0" w:space="0" w:color="auto"/>
              </w:divBdr>
            </w:div>
            <w:div w:id="1745027736">
              <w:marLeft w:val="0"/>
              <w:marRight w:val="0"/>
              <w:marTop w:val="0"/>
              <w:marBottom w:val="0"/>
              <w:divBdr>
                <w:top w:val="none" w:sz="0" w:space="0" w:color="auto"/>
                <w:left w:val="none" w:sz="0" w:space="0" w:color="auto"/>
                <w:bottom w:val="none" w:sz="0" w:space="0" w:color="auto"/>
                <w:right w:val="none" w:sz="0" w:space="0" w:color="auto"/>
              </w:divBdr>
            </w:div>
            <w:div w:id="1771273541">
              <w:marLeft w:val="0"/>
              <w:marRight w:val="0"/>
              <w:marTop w:val="0"/>
              <w:marBottom w:val="0"/>
              <w:divBdr>
                <w:top w:val="none" w:sz="0" w:space="0" w:color="auto"/>
                <w:left w:val="none" w:sz="0" w:space="0" w:color="auto"/>
                <w:bottom w:val="none" w:sz="0" w:space="0" w:color="auto"/>
                <w:right w:val="none" w:sz="0" w:space="0" w:color="auto"/>
              </w:divBdr>
            </w:div>
            <w:div w:id="1806652947">
              <w:marLeft w:val="0"/>
              <w:marRight w:val="0"/>
              <w:marTop w:val="0"/>
              <w:marBottom w:val="0"/>
              <w:divBdr>
                <w:top w:val="none" w:sz="0" w:space="0" w:color="auto"/>
                <w:left w:val="none" w:sz="0" w:space="0" w:color="auto"/>
                <w:bottom w:val="none" w:sz="0" w:space="0" w:color="auto"/>
                <w:right w:val="none" w:sz="0" w:space="0" w:color="auto"/>
              </w:divBdr>
            </w:div>
            <w:div w:id="1840847004">
              <w:marLeft w:val="0"/>
              <w:marRight w:val="0"/>
              <w:marTop w:val="0"/>
              <w:marBottom w:val="0"/>
              <w:divBdr>
                <w:top w:val="none" w:sz="0" w:space="0" w:color="auto"/>
                <w:left w:val="none" w:sz="0" w:space="0" w:color="auto"/>
                <w:bottom w:val="none" w:sz="0" w:space="0" w:color="auto"/>
                <w:right w:val="none" w:sz="0" w:space="0" w:color="auto"/>
              </w:divBdr>
            </w:div>
            <w:div w:id="1935505305">
              <w:marLeft w:val="0"/>
              <w:marRight w:val="0"/>
              <w:marTop w:val="0"/>
              <w:marBottom w:val="0"/>
              <w:divBdr>
                <w:top w:val="none" w:sz="0" w:space="0" w:color="auto"/>
                <w:left w:val="none" w:sz="0" w:space="0" w:color="auto"/>
                <w:bottom w:val="none" w:sz="0" w:space="0" w:color="auto"/>
                <w:right w:val="none" w:sz="0" w:space="0" w:color="auto"/>
              </w:divBdr>
            </w:div>
            <w:div w:id="1964845894">
              <w:marLeft w:val="0"/>
              <w:marRight w:val="0"/>
              <w:marTop w:val="0"/>
              <w:marBottom w:val="0"/>
              <w:divBdr>
                <w:top w:val="none" w:sz="0" w:space="0" w:color="auto"/>
                <w:left w:val="none" w:sz="0" w:space="0" w:color="auto"/>
                <w:bottom w:val="none" w:sz="0" w:space="0" w:color="auto"/>
                <w:right w:val="none" w:sz="0" w:space="0" w:color="auto"/>
              </w:divBdr>
            </w:div>
            <w:div w:id="1986084843">
              <w:marLeft w:val="0"/>
              <w:marRight w:val="0"/>
              <w:marTop w:val="0"/>
              <w:marBottom w:val="0"/>
              <w:divBdr>
                <w:top w:val="none" w:sz="0" w:space="0" w:color="auto"/>
                <w:left w:val="none" w:sz="0" w:space="0" w:color="auto"/>
                <w:bottom w:val="none" w:sz="0" w:space="0" w:color="auto"/>
                <w:right w:val="none" w:sz="0" w:space="0" w:color="auto"/>
              </w:divBdr>
            </w:div>
            <w:div w:id="2017610323">
              <w:marLeft w:val="0"/>
              <w:marRight w:val="0"/>
              <w:marTop w:val="0"/>
              <w:marBottom w:val="0"/>
              <w:divBdr>
                <w:top w:val="none" w:sz="0" w:space="0" w:color="auto"/>
                <w:left w:val="none" w:sz="0" w:space="0" w:color="auto"/>
                <w:bottom w:val="none" w:sz="0" w:space="0" w:color="auto"/>
                <w:right w:val="none" w:sz="0" w:space="0" w:color="auto"/>
              </w:divBdr>
            </w:div>
            <w:div w:id="2102606916">
              <w:marLeft w:val="0"/>
              <w:marRight w:val="0"/>
              <w:marTop w:val="0"/>
              <w:marBottom w:val="0"/>
              <w:divBdr>
                <w:top w:val="none" w:sz="0" w:space="0" w:color="auto"/>
                <w:left w:val="none" w:sz="0" w:space="0" w:color="auto"/>
                <w:bottom w:val="none" w:sz="0" w:space="0" w:color="auto"/>
                <w:right w:val="none" w:sz="0" w:space="0" w:color="auto"/>
              </w:divBdr>
            </w:div>
            <w:div w:id="2112236834">
              <w:marLeft w:val="0"/>
              <w:marRight w:val="0"/>
              <w:marTop w:val="0"/>
              <w:marBottom w:val="0"/>
              <w:divBdr>
                <w:top w:val="none" w:sz="0" w:space="0" w:color="auto"/>
                <w:left w:val="none" w:sz="0" w:space="0" w:color="auto"/>
                <w:bottom w:val="none" w:sz="0" w:space="0" w:color="auto"/>
                <w:right w:val="none" w:sz="0" w:space="0" w:color="auto"/>
              </w:divBdr>
            </w:div>
            <w:div w:id="2134715453">
              <w:marLeft w:val="0"/>
              <w:marRight w:val="0"/>
              <w:marTop w:val="0"/>
              <w:marBottom w:val="0"/>
              <w:divBdr>
                <w:top w:val="none" w:sz="0" w:space="0" w:color="auto"/>
                <w:left w:val="none" w:sz="0" w:space="0" w:color="auto"/>
                <w:bottom w:val="none" w:sz="0" w:space="0" w:color="auto"/>
                <w:right w:val="none" w:sz="0" w:space="0" w:color="auto"/>
              </w:divBdr>
            </w:div>
          </w:divsChild>
        </w:div>
        <w:div w:id="1905942743">
          <w:marLeft w:val="0"/>
          <w:marRight w:val="0"/>
          <w:marTop w:val="0"/>
          <w:marBottom w:val="0"/>
          <w:divBdr>
            <w:top w:val="none" w:sz="0" w:space="0" w:color="auto"/>
            <w:left w:val="none" w:sz="0" w:space="0" w:color="auto"/>
            <w:bottom w:val="none" w:sz="0" w:space="0" w:color="auto"/>
            <w:right w:val="none" w:sz="0" w:space="0" w:color="auto"/>
          </w:divBdr>
          <w:divsChild>
            <w:div w:id="430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9341">
      <w:bodyDiv w:val="1"/>
      <w:marLeft w:val="0"/>
      <w:marRight w:val="0"/>
      <w:marTop w:val="0"/>
      <w:marBottom w:val="0"/>
      <w:divBdr>
        <w:top w:val="none" w:sz="0" w:space="0" w:color="auto"/>
        <w:left w:val="none" w:sz="0" w:space="0" w:color="auto"/>
        <w:bottom w:val="none" w:sz="0" w:space="0" w:color="auto"/>
        <w:right w:val="none" w:sz="0" w:space="0" w:color="auto"/>
      </w:divBdr>
    </w:div>
    <w:div w:id="1232036928">
      <w:bodyDiv w:val="1"/>
      <w:marLeft w:val="0"/>
      <w:marRight w:val="0"/>
      <w:marTop w:val="0"/>
      <w:marBottom w:val="0"/>
      <w:divBdr>
        <w:top w:val="none" w:sz="0" w:space="0" w:color="auto"/>
        <w:left w:val="none" w:sz="0" w:space="0" w:color="auto"/>
        <w:bottom w:val="none" w:sz="0" w:space="0" w:color="auto"/>
        <w:right w:val="none" w:sz="0" w:space="0" w:color="auto"/>
      </w:divBdr>
    </w:div>
    <w:div w:id="1479297791">
      <w:bodyDiv w:val="1"/>
      <w:marLeft w:val="0"/>
      <w:marRight w:val="0"/>
      <w:marTop w:val="0"/>
      <w:marBottom w:val="0"/>
      <w:divBdr>
        <w:top w:val="none" w:sz="0" w:space="0" w:color="auto"/>
        <w:left w:val="none" w:sz="0" w:space="0" w:color="auto"/>
        <w:bottom w:val="none" w:sz="0" w:space="0" w:color="auto"/>
        <w:right w:val="none" w:sz="0" w:space="0" w:color="auto"/>
      </w:divBdr>
    </w:div>
    <w:div w:id="1630360514">
      <w:bodyDiv w:val="1"/>
      <w:marLeft w:val="0"/>
      <w:marRight w:val="0"/>
      <w:marTop w:val="0"/>
      <w:marBottom w:val="0"/>
      <w:divBdr>
        <w:top w:val="none" w:sz="0" w:space="0" w:color="auto"/>
        <w:left w:val="none" w:sz="0" w:space="0" w:color="auto"/>
        <w:bottom w:val="none" w:sz="0" w:space="0" w:color="auto"/>
        <w:right w:val="none" w:sz="0" w:space="0" w:color="auto"/>
      </w:divBdr>
    </w:div>
    <w:div w:id="1690371469">
      <w:bodyDiv w:val="1"/>
      <w:marLeft w:val="0"/>
      <w:marRight w:val="0"/>
      <w:marTop w:val="0"/>
      <w:marBottom w:val="0"/>
      <w:divBdr>
        <w:top w:val="none" w:sz="0" w:space="0" w:color="auto"/>
        <w:left w:val="none" w:sz="0" w:space="0" w:color="auto"/>
        <w:bottom w:val="none" w:sz="0" w:space="0" w:color="auto"/>
        <w:right w:val="none" w:sz="0" w:space="0" w:color="auto"/>
      </w:divBdr>
    </w:div>
    <w:div w:id="1701081625">
      <w:bodyDiv w:val="1"/>
      <w:marLeft w:val="0"/>
      <w:marRight w:val="0"/>
      <w:marTop w:val="0"/>
      <w:marBottom w:val="0"/>
      <w:divBdr>
        <w:top w:val="none" w:sz="0" w:space="0" w:color="auto"/>
        <w:left w:val="none" w:sz="0" w:space="0" w:color="auto"/>
        <w:bottom w:val="none" w:sz="0" w:space="0" w:color="auto"/>
        <w:right w:val="none" w:sz="0" w:space="0" w:color="auto"/>
      </w:divBdr>
    </w:div>
    <w:div w:id="190094133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tats.govt.nz/information-releases/maori-population-estimates-at-30-june-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a377853-8153-4c46-a577-66ce5902da7f">INFO-386405526-1910</_dlc_DocId>
    <_dlc_DocIdUrl xmlns="1a377853-8153-4c46-a577-66ce5902da7f">
      <Url>https://msdgovtnz.sharepoint.com/sites/ORG-POL-Housing/_layouts/15/DocIdRedir.aspx?ID=INFO-386405526-1910</Url>
      <Description>INFO-386405526-1910</Description>
    </_dlc_DocIdUrl>
    <PIData xmlns="1a377853-8153-4c46-a577-66ce5902da7f">No</PIData>
    <f4567d5dce024772a1561c52d60a4e8b xmlns="1a377853-8153-4c46-a577-66ce5902da7f">
      <Terms xmlns="http://schemas.microsoft.com/office/infopath/2007/PartnerControls"/>
    </f4567d5dce024772a1561c52d60a4e8b>
    <_ip_UnifiedCompliancePolicyUIAction xmlns="http://schemas.microsoft.com/sharepoint/v3" xsi:nil="true"/>
    <lcf76f155ced4ddcb4097134ff3c332f xmlns="799729c6-4922-483b-a8fd-f9e7227c5ed9">
      <Terms xmlns="http://schemas.microsoft.com/office/infopath/2007/PartnerControls"/>
    </lcf76f155ced4ddcb4097134ff3c332f>
    <FinancialYear xmlns="1a377853-8153-4c46-a577-66ce5902da7f">2020 - 2021</FinancialYear>
    <TaxCatchAll xmlns="1a377853-8153-4c46-a577-66ce5902da7f" xsi:nil="true"/>
    <MaoriData xmlns="1a377853-8153-4c46-a577-66ce5902da7f">No</MaoriData>
    <DocumentType xmlns="1a377853-8153-4c46-a577-66ce5902da7f" xsi:nil="true"/>
    <_ip_UnifiedCompliancePolicyProperties xmlns="http://schemas.microsoft.com/sharepoint/v3" xsi:nil="true"/>
    <c9765e257b364bd1b87dd717c56a3e85 xmlns="1a377853-8153-4c46-a577-66ce5902da7f">
      <Terms xmlns="http://schemas.microsoft.com/office/infopath/2007/PartnerControls"/>
    </c9765e257b364bd1b87dd717c56a3e85>
    <BusinessActivity xmlns="1a377853-8153-4c46-a577-66ce5902da7f" xsi:nil="true"/>
    <ee32f99473e7429798f217b36b019bf0 xmlns="1a377853-8153-4c46-a577-66ce5902da7f">
      <Terms xmlns="http://schemas.microsoft.com/office/infopath/2007/PartnerControls"/>
    </ee32f99473e7429798f217b36b019bf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ollaboration document" ma:contentTypeID="0x01010033772608A0E13E47AD6CE8BEBF9763BD00A8D16269AD87AD4A9333CF6F30DE7D9C" ma:contentTypeVersion="27" ma:contentTypeDescription="Site content types specific to this template" ma:contentTypeScope="" ma:versionID="91180754e0f9da4df1f098d5de3d34a6">
  <xsd:schema xmlns:xsd="http://www.w3.org/2001/XMLSchema" xmlns:xs="http://www.w3.org/2001/XMLSchema" xmlns:p="http://schemas.microsoft.com/office/2006/metadata/properties" xmlns:ns1="http://schemas.microsoft.com/sharepoint/v3" xmlns:ns2="1a377853-8153-4c46-a577-66ce5902da7f" xmlns:ns3="799729c6-4922-483b-a8fd-f9e7227c5ed9" targetNamespace="http://schemas.microsoft.com/office/2006/metadata/properties" ma:root="true" ma:fieldsID="068906e95fb8a30843662ab2c7578d2e" ns1:_="" ns2:_="" ns3:_="">
    <xsd:import namespace="http://schemas.microsoft.com/sharepoint/v3"/>
    <xsd:import namespace="1a377853-8153-4c46-a577-66ce5902da7f"/>
    <xsd:import namespace="799729c6-4922-483b-a8fd-f9e7227c5ed9"/>
    <xsd:element name="properties">
      <xsd:complexType>
        <xsd:sequence>
          <xsd:element name="documentManagement">
            <xsd:complexType>
              <xsd:all>
                <xsd:element ref="ns2:_dlc_DocId" minOccurs="0"/>
                <xsd:element ref="ns2:_dlc_DocIdUrl" minOccurs="0"/>
                <xsd:element ref="ns2:_dlc_DocIdPersistId" minOccurs="0"/>
                <xsd:element ref="ns2:BusinessActivity" minOccurs="0"/>
                <xsd:element ref="ns2:c9765e257b364bd1b87dd717c56a3e85" minOccurs="0"/>
                <xsd:element ref="ns2:TaxCatchAll" minOccurs="0"/>
                <xsd:element ref="ns2:TaxCatchAllLabel" minOccurs="0"/>
                <xsd:element ref="ns2:DocumentType" minOccurs="0"/>
                <xsd:element ref="ns2:ee32f99473e7429798f217b36b019bf0" minOccurs="0"/>
                <xsd:element ref="ns2:f4567d5dce024772a1561c52d60a4e8b" minOccurs="0"/>
                <xsd:element ref="ns2:FinancialYear" minOccurs="0"/>
                <xsd:element ref="ns2:MaoriData" minOccurs="0"/>
                <xsd:element ref="ns2:PIData"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77853-8153-4c46-a577-66ce5902da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usinessActivity" ma:index="11" nillable="true" ma:displayName="Business Activity" ma:description="MSD IM metadata site columns" ma:internalName="BusinessActivity">
      <xsd:simpleType>
        <xsd:restriction base="dms:Text">
          <xsd:maxLength value="255"/>
        </xsd:restriction>
      </xsd:simpleType>
    </xsd:element>
    <xsd:element name="c9765e257b364bd1b87dd717c56a3e85" ma:index="12" nillable="true" ma:taxonomy="true" ma:internalName="c9765e257b364bd1b87dd717c56a3e85" ma:taxonomyFieldName="BusinessFunction" ma:displayName="Business Function" ma:default="" ma:fieldId="{c9765e25-7b36-4bd1-b87d-d717c56a3e85}" ma:sspId="a5349594-bd3e-4347-a84f-2427756b12f8" ma:termSetId="282ff82e-14d9-4710-b0ee-dc0750fd5dc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a159f63-5fdd-4055-a827-5a8e6f39e682}" ma:internalName="TaxCatchAll" ma:showField="CatchAllData" ma:web="1a377853-8153-4c46-a577-66ce5902da7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6a159f63-5fdd-4055-a827-5a8e6f39e682}" ma:internalName="TaxCatchAllLabel" ma:readOnly="true" ma:showField="CatchAllDataLabel" ma:web="1a377853-8153-4c46-a577-66ce5902da7f">
      <xsd:complexType>
        <xsd:complexContent>
          <xsd:extension base="dms:MultiChoiceLookup">
            <xsd:sequence>
              <xsd:element name="Value" type="dms:Lookup" maxOccurs="unbounded" minOccurs="0" nillable="true"/>
            </xsd:sequence>
          </xsd:extension>
        </xsd:complexContent>
      </xsd:complexType>
    </xsd:element>
    <xsd:element name="DocumentType" ma:index="16" nillable="true" ma:displayName="Document Type" ma:description="List of standard document type for optional labeling and use on site" ma:format="Dropdown" ma:internalName="DocumentType">
      <xsd:simpleType>
        <xsd:restriction base="dms:Choice">
          <xsd:enumeration value="Diagram"/>
          <xsd:enumeration value="Form"/>
          <xsd:enumeration value="Guidance"/>
          <xsd:enumeration value="Policy"/>
          <xsd:enumeration value="Procedure"/>
          <xsd:enumeration value="Report"/>
          <xsd:enumeration value="Template"/>
          <xsd:enumeration value="Schedule"/>
        </xsd:restriction>
      </xsd:simpleType>
    </xsd:element>
    <xsd:element name="ee32f99473e7429798f217b36b019bf0" ma:index="17" nillable="true" ma:taxonomy="true" ma:internalName="ee32f99473e7429798f217b36b019bf0" ma:taxonomyFieldName="OrganisationGroup" ma:displayName="Organisation Group" ma:readOnly="false" ma:default="" ma:fieldId="{ee32f994-73e7-4297-98f2-17b36b019bf0}" ma:sspId="a5349594-bd3e-4347-a84f-2427756b12f8" ma:termSetId="553aa11f-8756-4f1e-9d40-8b9c462e3455" ma:anchorId="00000000-0000-0000-0000-000000000000" ma:open="false" ma:isKeyword="false">
      <xsd:complexType>
        <xsd:sequence>
          <xsd:element ref="pc:Terms" minOccurs="0" maxOccurs="1"/>
        </xsd:sequence>
      </xsd:complexType>
    </xsd:element>
    <xsd:element name="f4567d5dce024772a1561c52d60a4e8b" ma:index="19" nillable="true" ma:taxonomy="true" ma:internalName="f4567d5dce024772a1561c52d60a4e8b" ma:taxonomyFieldName="PartnerOrganisation" ma:displayName="Partner Organisation" ma:readOnly="false" ma:default="" ma:fieldId="{f4567d5d-ce02-4772-a156-1c52d60a4e8b}" ma:sspId="a5349594-bd3e-4347-a84f-2427756b12f8" ma:termSetId="184b28f6-55f3-46e0-92e6-ce9f5dd7b981" ma:anchorId="00000000-0000-0000-0000-000000000000" ma:open="false" ma:isKeyword="false">
      <xsd:complexType>
        <xsd:sequence>
          <xsd:element ref="pc:Terms" minOccurs="0" maxOccurs="1"/>
        </xsd:sequence>
      </xsd:complexType>
    </xsd:element>
    <xsd:element name="FinancialYear" ma:index="21" nillable="true" ma:displayName="Financial Year" ma:default="2020 - 2021" ma:description="MSD ministry financial year attributes" ma:format="Dropdown" ma:internalName="FinancialYear">
      <xsd:simpleType>
        <xsd:restriction base="dms:Choice">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restriction>
      </xsd:simpleType>
    </xsd:element>
    <xsd:element name="MaoriData" ma:index="22" nillable="true" ma:displayName="MÄori Data" ma:default="No" ma:description="Is this item specific to MÄori data interests?" ma:format="RadioButtons" ma:hidden="true" ma:internalName="MaoriData" ma:readOnly="false">
      <xsd:simpleType>
        <xsd:restriction base="dms:Choice">
          <xsd:enumeration value="No"/>
          <xsd:enumeration value="Yes"/>
        </xsd:restriction>
      </xsd:simpleType>
    </xsd:element>
    <xsd:element name="PIData" ma:index="23" nillable="true" ma:displayName="PI Data" ma:default="No" ma:description="Does this contain personally identified information e.g. client data, staff data or supplier information?" ma:format="Dropdown" ma:internalName="PIData">
      <xsd:simpleType>
        <xsd:restriction base="dms:Choice">
          <xsd:enumeration value="Yes"/>
          <xsd:enumeration value="No"/>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9729c6-4922-483b-a8fd-f9e7227c5ed9"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79DC6-208C-402F-AD6E-7AF217351432}">
  <ds:schemaRefs>
    <ds:schemaRef ds:uri="http://schemas.microsoft.com/sharepoint/v3/contenttype/forms"/>
  </ds:schemaRefs>
</ds:datastoreItem>
</file>

<file path=customXml/itemProps2.xml><?xml version="1.0" encoding="utf-8"?>
<ds:datastoreItem xmlns:ds="http://schemas.openxmlformats.org/officeDocument/2006/customXml" ds:itemID="{CB9C71A4-5596-4107-A9CA-F2DA17D45CE6}">
  <ds:schemaRefs>
    <ds:schemaRef ds:uri="http://schemas.microsoft.com/sharepoint/events"/>
  </ds:schemaRefs>
</ds:datastoreItem>
</file>

<file path=customXml/itemProps3.xml><?xml version="1.0" encoding="utf-8"?>
<ds:datastoreItem xmlns:ds="http://schemas.openxmlformats.org/officeDocument/2006/customXml" ds:itemID="{2E15279C-BE95-44C9-B22A-CA22D26E67B3}">
  <ds:schemaRefs>
    <ds:schemaRef ds:uri="http://purl.org/dc/terms/"/>
    <ds:schemaRef ds:uri="1a377853-8153-4c46-a577-66ce5902da7f"/>
    <ds:schemaRef ds:uri="http://schemas.openxmlformats.org/package/2006/metadata/core-properties"/>
    <ds:schemaRef ds:uri="http://schemas.microsoft.com/office/2006/documentManagement/types"/>
    <ds:schemaRef ds:uri="http://schemas.microsoft.com/office/infopath/2007/PartnerControls"/>
    <ds:schemaRef ds:uri="799729c6-4922-483b-a8fd-f9e7227c5ed9"/>
    <ds:schemaRef ds:uri="http://purl.org/dc/elements/1.1/"/>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EB7D159-610A-4ACF-92A5-748165938A18}">
  <ds:schemaRefs>
    <ds:schemaRef ds:uri="http://schemas.openxmlformats.org/officeDocument/2006/bibliography"/>
  </ds:schemaRefs>
</ds:datastoreItem>
</file>

<file path=customXml/itemProps5.xml><?xml version="1.0" encoding="utf-8"?>
<ds:datastoreItem xmlns:ds="http://schemas.openxmlformats.org/officeDocument/2006/customXml" ds:itemID="{84701A2F-C62F-4F31-8E74-FABD5B5BA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377853-8153-4c46-a577-66ce5902da7f"/>
    <ds:schemaRef ds:uri="799729c6-4922-483b-a8fd-f9e7227c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120112-3b8d-44c1-bb35-0efb412dca25}" enabled="1" method="Privileged" siteId="{9e9b3020-3d38-48a6-9064-373bc7b156dc}"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41</Pages>
  <Words>15741</Words>
  <Characters>89725</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Regulatory Impact Statement Template</vt:lpstr>
    </vt:vector>
  </TitlesOfParts>
  <Company>NZ Government</Company>
  <LinksUpToDate>false</LinksUpToDate>
  <CharactersWithSpaces>105256</CharactersWithSpaces>
  <SharedDoc>false</SharedDoc>
  <HLinks>
    <vt:vector size="150" baseType="variant">
      <vt:variant>
        <vt:i4>1835063</vt:i4>
      </vt:variant>
      <vt:variant>
        <vt:i4>140</vt:i4>
      </vt:variant>
      <vt:variant>
        <vt:i4>0</vt:i4>
      </vt:variant>
      <vt:variant>
        <vt:i4>5</vt:i4>
      </vt:variant>
      <vt:variant>
        <vt:lpwstr/>
      </vt:variant>
      <vt:variant>
        <vt:lpwstr>_Toc196390916</vt:lpwstr>
      </vt:variant>
      <vt:variant>
        <vt:i4>1835063</vt:i4>
      </vt:variant>
      <vt:variant>
        <vt:i4>134</vt:i4>
      </vt:variant>
      <vt:variant>
        <vt:i4>0</vt:i4>
      </vt:variant>
      <vt:variant>
        <vt:i4>5</vt:i4>
      </vt:variant>
      <vt:variant>
        <vt:lpwstr/>
      </vt:variant>
      <vt:variant>
        <vt:lpwstr>_Toc196390915</vt:lpwstr>
      </vt:variant>
      <vt:variant>
        <vt:i4>1835063</vt:i4>
      </vt:variant>
      <vt:variant>
        <vt:i4>128</vt:i4>
      </vt:variant>
      <vt:variant>
        <vt:i4>0</vt:i4>
      </vt:variant>
      <vt:variant>
        <vt:i4>5</vt:i4>
      </vt:variant>
      <vt:variant>
        <vt:lpwstr/>
      </vt:variant>
      <vt:variant>
        <vt:lpwstr>_Toc196390914</vt:lpwstr>
      </vt:variant>
      <vt:variant>
        <vt:i4>1835063</vt:i4>
      </vt:variant>
      <vt:variant>
        <vt:i4>122</vt:i4>
      </vt:variant>
      <vt:variant>
        <vt:i4>0</vt:i4>
      </vt:variant>
      <vt:variant>
        <vt:i4>5</vt:i4>
      </vt:variant>
      <vt:variant>
        <vt:lpwstr/>
      </vt:variant>
      <vt:variant>
        <vt:lpwstr>_Toc196390913</vt:lpwstr>
      </vt:variant>
      <vt:variant>
        <vt:i4>1835063</vt:i4>
      </vt:variant>
      <vt:variant>
        <vt:i4>116</vt:i4>
      </vt:variant>
      <vt:variant>
        <vt:i4>0</vt:i4>
      </vt:variant>
      <vt:variant>
        <vt:i4>5</vt:i4>
      </vt:variant>
      <vt:variant>
        <vt:lpwstr/>
      </vt:variant>
      <vt:variant>
        <vt:lpwstr>_Toc196390912</vt:lpwstr>
      </vt:variant>
      <vt:variant>
        <vt:i4>1835063</vt:i4>
      </vt:variant>
      <vt:variant>
        <vt:i4>110</vt:i4>
      </vt:variant>
      <vt:variant>
        <vt:i4>0</vt:i4>
      </vt:variant>
      <vt:variant>
        <vt:i4>5</vt:i4>
      </vt:variant>
      <vt:variant>
        <vt:lpwstr/>
      </vt:variant>
      <vt:variant>
        <vt:lpwstr>_Toc196390911</vt:lpwstr>
      </vt:variant>
      <vt:variant>
        <vt:i4>1835063</vt:i4>
      </vt:variant>
      <vt:variant>
        <vt:i4>104</vt:i4>
      </vt:variant>
      <vt:variant>
        <vt:i4>0</vt:i4>
      </vt:variant>
      <vt:variant>
        <vt:i4>5</vt:i4>
      </vt:variant>
      <vt:variant>
        <vt:lpwstr/>
      </vt:variant>
      <vt:variant>
        <vt:lpwstr>_Toc196390910</vt:lpwstr>
      </vt:variant>
      <vt:variant>
        <vt:i4>1900599</vt:i4>
      </vt:variant>
      <vt:variant>
        <vt:i4>98</vt:i4>
      </vt:variant>
      <vt:variant>
        <vt:i4>0</vt:i4>
      </vt:variant>
      <vt:variant>
        <vt:i4>5</vt:i4>
      </vt:variant>
      <vt:variant>
        <vt:lpwstr/>
      </vt:variant>
      <vt:variant>
        <vt:lpwstr>_Toc196390909</vt:lpwstr>
      </vt:variant>
      <vt:variant>
        <vt:i4>1900599</vt:i4>
      </vt:variant>
      <vt:variant>
        <vt:i4>92</vt:i4>
      </vt:variant>
      <vt:variant>
        <vt:i4>0</vt:i4>
      </vt:variant>
      <vt:variant>
        <vt:i4>5</vt:i4>
      </vt:variant>
      <vt:variant>
        <vt:lpwstr/>
      </vt:variant>
      <vt:variant>
        <vt:lpwstr>_Toc196390908</vt:lpwstr>
      </vt:variant>
      <vt:variant>
        <vt:i4>1900599</vt:i4>
      </vt:variant>
      <vt:variant>
        <vt:i4>86</vt:i4>
      </vt:variant>
      <vt:variant>
        <vt:i4>0</vt:i4>
      </vt:variant>
      <vt:variant>
        <vt:i4>5</vt:i4>
      </vt:variant>
      <vt:variant>
        <vt:lpwstr/>
      </vt:variant>
      <vt:variant>
        <vt:lpwstr>_Toc196390907</vt:lpwstr>
      </vt:variant>
      <vt:variant>
        <vt:i4>1900599</vt:i4>
      </vt:variant>
      <vt:variant>
        <vt:i4>80</vt:i4>
      </vt:variant>
      <vt:variant>
        <vt:i4>0</vt:i4>
      </vt:variant>
      <vt:variant>
        <vt:i4>5</vt:i4>
      </vt:variant>
      <vt:variant>
        <vt:lpwstr/>
      </vt:variant>
      <vt:variant>
        <vt:lpwstr>_Toc196390906</vt:lpwstr>
      </vt:variant>
      <vt:variant>
        <vt:i4>1900599</vt:i4>
      </vt:variant>
      <vt:variant>
        <vt:i4>74</vt:i4>
      </vt:variant>
      <vt:variant>
        <vt:i4>0</vt:i4>
      </vt:variant>
      <vt:variant>
        <vt:i4>5</vt:i4>
      </vt:variant>
      <vt:variant>
        <vt:lpwstr/>
      </vt:variant>
      <vt:variant>
        <vt:lpwstr>_Toc196390905</vt:lpwstr>
      </vt:variant>
      <vt:variant>
        <vt:i4>1900599</vt:i4>
      </vt:variant>
      <vt:variant>
        <vt:i4>68</vt:i4>
      </vt:variant>
      <vt:variant>
        <vt:i4>0</vt:i4>
      </vt:variant>
      <vt:variant>
        <vt:i4>5</vt:i4>
      </vt:variant>
      <vt:variant>
        <vt:lpwstr/>
      </vt:variant>
      <vt:variant>
        <vt:lpwstr>_Toc196390904</vt:lpwstr>
      </vt:variant>
      <vt:variant>
        <vt:i4>1900599</vt:i4>
      </vt:variant>
      <vt:variant>
        <vt:i4>62</vt:i4>
      </vt:variant>
      <vt:variant>
        <vt:i4>0</vt:i4>
      </vt:variant>
      <vt:variant>
        <vt:i4>5</vt:i4>
      </vt:variant>
      <vt:variant>
        <vt:lpwstr/>
      </vt:variant>
      <vt:variant>
        <vt:lpwstr>_Toc196390903</vt:lpwstr>
      </vt:variant>
      <vt:variant>
        <vt:i4>1900599</vt:i4>
      </vt:variant>
      <vt:variant>
        <vt:i4>56</vt:i4>
      </vt:variant>
      <vt:variant>
        <vt:i4>0</vt:i4>
      </vt:variant>
      <vt:variant>
        <vt:i4>5</vt:i4>
      </vt:variant>
      <vt:variant>
        <vt:lpwstr/>
      </vt:variant>
      <vt:variant>
        <vt:lpwstr>_Toc196390902</vt:lpwstr>
      </vt:variant>
      <vt:variant>
        <vt:i4>1900599</vt:i4>
      </vt:variant>
      <vt:variant>
        <vt:i4>50</vt:i4>
      </vt:variant>
      <vt:variant>
        <vt:i4>0</vt:i4>
      </vt:variant>
      <vt:variant>
        <vt:i4>5</vt:i4>
      </vt:variant>
      <vt:variant>
        <vt:lpwstr/>
      </vt:variant>
      <vt:variant>
        <vt:lpwstr>_Toc196390901</vt:lpwstr>
      </vt:variant>
      <vt:variant>
        <vt:i4>1900599</vt:i4>
      </vt:variant>
      <vt:variant>
        <vt:i4>44</vt:i4>
      </vt:variant>
      <vt:variant>
        <vt:i4>0</vt:i4>
      </vt:variant>
      <vt:variant>
        <vt:i4>5</vt:i4>
      </vt:variant>
      <vt:variant>
        <vt:lpwstr/>
      </vt:variant>
      <vt:variant>
        <vt:lpwstr>_Toc196390900</vt:lpwstr>
      </vt:variant>
      <vt:variant>
        <vt:i4>1310774</vt:i4>
      </vt:variant>
      <vt:variant>
        <vt:i4>38</vt:i4>
      </vt:variant>
      <vt:variant>
        <vt:i4>0</vt:i4>
      </vt:variant>
      <vt:variant>
        <vt:i4>5</vt:i4>
      </vt:variant>
      <vt:variant>
        <vt:lpwstr/>
      </vt:variant>
      <vt:variant>
        <vt:lpwstr>_Toc196390899</vt:lpwstr>
      </vt:variant>
      <vt:variant>
        <vt:i4>1310774</vt:i4>
      </vt:variant>
      <vt:variant>
        <vt:i4>32</vt:i4>
      </vt:variant>
      <vt:variant>
        <vt:i4>0</vt:i4>
      </vt:variant>
      <vt:variant>
        <vt:i4>5</vt:i4>
      </vt:variant>
      <vt:variant>
        <vt:lpwstr/>
      </vt:variant>
      <vt:variant>
        <vt:lpwstr>_Toc196390898</vt:lpwstr>
      </vt:variant>
      <vt:variant>
        <vt:i4>1310774</vt:i4>
      </vt:variant>
      <vt:variant>
        <vt:i4>26</vt:i4>
      </vt:variant>
      <vt:variant>
        <vt:i4>0</vt:i4>
      </vt:variant>
      <vt:variant>
        <vt:i4>5</vt:i4>
      </vt:variant>
      <vt:variant>
        <vt:lpwstr/>
      </vt:variant>
      <vt:variant>
        <vt:lpwstr>_Toc196390897</vt:lpwstr>
      </vt:variant>
      <vt:variant>
        <vt:i4>1310774</vt:i4>
      </vt:variant>
      <vt:variant>
        <vt:i4>20</vt:i4>
      </vt:variant>
      <vt:variant>
        <vt:i4>0</vt:i4>
      </vt:variant>
      <vt:variant>
        <vt:i4>5</vt:i4>
      </vt:variant>
      <vt:variant>
        <vt:lpwstr/>
      </vt:variant>
      <vt:variant>
        <vt:lpwstr>_Toc196390896</vt:lpwstr>
      </vt:variant>
      <vt:variant>
        <vt:i4>1310774</vt:i4>
      </vt:variant>
      <vt:variant>
        <vt:i4>14</vt:i4>
      </vt:variant>
      <vt:variant>
        <vt:i4>0</vt:i4>
      </vt:variant>
      <vt:variant>
        <vt:i4>5</vt:i4>
      </vt:variant>
      <vt:variant>
        <vt:lpwstr/>
      </vt:variant>
      <vt:variant>
        <vt:lpwstr>_Toc196390895</vt:lpwstr>
      </vt:variant>
      <vt:variant>
        <vt:i4>1310774</vt:i4>
      </vt:variant>
      <vt:variant>
        <vt:i4>8</vt:i4>
      </vt:variant>
      <vt:variant>
        <vt:i4>0</vt:i4>
      </vt:variant>
      <vt:variant>
        <vt:i4>5</vt:i4>
      </vt:variant>
      <vt:variant>
        <vt:lpwstr/>
      </vt:variant>
      <vt:variant>
        <vt:lpwstr>_Toc196390894</vt:lpwstr>
      </vt:variant>
      <vt:variant>
        <vt:i4>1310774</vt:i4>
      </vt:variant>
      <vt:variant>
        <vt:i4>2</vt:i4>
      </vt:variant>
      <vt:variant>
        <vt:i4>0</vt:i4>
      </vt:variant>
      <vt:variant>
        <vt:i4>5</vt:i4>
      </vt:variant>
      <vt:variant>
        <vt:lpwstr/>
      </vt:variant>
      <vt:variant>
        <vt:lpwstr>_Toc196390893</vt:lpwstr>
      </vt:variant>
      <vt:variant>
        <vt:i4>1376321</vt:i4>
      </vt:variant>
      <vt:variant>
        <vt:i4>0</vt:i4>
      </vt:variant>
      <vt:variant>
        <vt:i4>0</vt:i4>
      </vt:variant>
      <vt:variant>
        <vt:i4>5</vt:i4>
      </vt:variant>
      <vt:variant>
        <vt:lpwstr>https://www.stats.govt.nz/information-releases/maori-population-estimates-at-30-june-2024/</vt:lpwstr>
      </vt:variant>
      <vt:variant>
        <vt:lpwstr>:~:text=New%20Zealand%27s%20estimated%20M%C4%81ori%20ethnic,459%2C200%20females%20identified%20as%20M%C4%81ori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Template</dc:title>
  <dc:subject/>
  <dc:creator>New Zealand Treasury</dc:creator>
  <cp:keywords/>
  <dc:description/>
  <cp:lastModifiedBy>Jacqueline MacKenzie</cp:lastModifiedBy>
  <cp:revision>2</cp:revision>
  <cp:lastPrinted>2025-05-23T21:25:00Z</cp:lastPrinted>
  <dcterms:created xsi:type="dcterms:W3CDTF">2025-05-23T21:28:00Z</dcterms:created>
  <dcterms:modified xsi:type="dcterms:W3CDTF">2025-05-23T21:28:00Z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0x01010033772608A0E13E47AD6CE8BEBF9763BD00A8D16269AD87AD4A9333CF6F30DE7D9C</vt:lpwstr>
  </property>
  <property fmtid="{D5CDD505-2E9C-101B-9397-08002B2CF9AE}" pid="3" name="BusinessFunction">
    <vt:lpwstr/>
  </property>
  <property fmtid="{D5CDD505-2E9C-101B-9397-08002B2CF9AE}" pid="4" name="MediaServiceImageTags">
    <vt:lpwstr/>
  </property>
  <property fmtid="{D5CDD505-2E9C-101B-9397-08002B2CF9AE}" pid="5" name="PartnerOrganisation">
    <vt:lpwstr/>
  </property>
  <property fmtid="{D5CDD505-2E9C-101B-9397-08002B2CF9AE}" pid="6" name="OrganisationGroup">
    <vt:lpwstr/>
  </property>
  <property fmtid="{D5CDD505-2E9C-101B-9397-08002B2CF9AE}" pid="7" name="ClassificationContentMarkingHeaderShapeIds">
    <vt:lpwstr>1,3,c</vt:lpwstr>
  </property>
  <property fmtid="{D5CDD505-2E9C-101B-9397-08002B2CF9AE}" pid="8" name="ClassificationContentMarkingHeaderFontProps">
    <vt:lpwstr>#000000,10,Calibri</vt:lpwstr>
  </property>
  <property fmtid="{D5CDD505-2E9C-101B-9397-08002B2CF9AE}" pid="9" name="ClassificationContentMarkingHeaderText">
    <vt:lpwstr>IN-CONFIDENCE</vt:lpwstr>
  </property>
  <property fmtid="{D5CDD505-2E9C-101B-9397-08002B2CF9AE}" pid="10" name="MSIP_Label_f43e46a9-9901-46e9-bfae-bb6189d4cb66_Enabled">
    <vt:lpwstr>true</vt:lpwstr>
  </property>
  <property fmtid="{D5CDD505-2E9C-101B-9397-08002B2CF9AE}" pid="11" name="MSIP_Label_f43e46a9-9901-46e9-bfae-bb6189d4cb66_SetDate">
    <vt:lpwstr>2024-06-20T20:59:08Z</vt:lpwstr>
  </property>
  <property fmtid="{D5CDD505-2E9C-101B-9397-08002B2CF9AE}" pid="12" name="MSIP_Label_f43e46a9-9901-46e9-bfae-bb6189d4cb66_Method">
    <vt:lpwstr>Standard</vt:lpwstr>
  </property>
  <property fmtid="{D5CDD505-2E9C-101B-9397-08002B2CF9AE}" pid="13" name="MSIP_Label_f43e46a9-9901-46e9-bfae-bb6189d4cb66_Name">
    <vt:lpwstr>In-confidence</vt:lpwstr>
  </property>
  <property fmtid="{D5CDD505-2E9C-101B-9397-08002B2CF9AE}" pid="14" name="MSIP_Label_f43e46a9-9901-46e9-bfae-bb6189d4cb66_SiteId">
    <vt:lpwstr>e40c4f52-99bd-4d4f-bf7e-d001a2ca6556</vt:lpwstr>
  </property>
  <property fmtid="{D5CDD505-2E9C-101B-9397-08002B2CF9AE}" pid="15" name="MSIP_Label_f43e46a9-9901-46e9-bfae-bb6189d4cb66_ActionId">
    <vt:lpwstr>7a0f82fd-9fe4-4868-ad38-fecb44060fc7</vt:lpwstr>
  </property>
  <property fmtid="{D5CDD505-2E9C-101B-9397-08002B2CF9AE}" pid="16" name="MSIP_Label_f43e46a9-9901-46e9-bfae-bb6189d4cb66_ContentBits">
    <vt:lpwstr>1</vt:lpwstr>
  </property>
  <property fmtid="{D5CDD505-2E9C-101B-9397-08002B2CF9AE}" pid="17" name="_dlc_DocIdItemGuid">
    <vt:lpwstr>54cf97ab-95e1-45b5-9db4-4b0e804b82b0</vt:lpwstr>
  </property>
  <property fmtid="{D5CDD505-2E9C-101B-9397-08002B2CF9AE}" pid="18" name="ClassificationContentMarkingFooterShapeIds">
    <vt:lpwstr>3f3c77b5,34685c46,133b90c9,73d1da3,61c23a7f,468065bc</vt:lpwstr>
  </property>
  <property fmtid="{D5CDD505-2E9C-101B-9397-08002B2CF9AE}" pid="19" name="ClassificationContentMarkingFooterFontProps">
    <vt:lpwstr>#000000,10,Calibri</vt:lpwstr>
  </property>
  <property fmtid="{D5CDD505-2E9C-101B-9397-08002B2CF9AE}" pid="20" name="ClassificationContentMarkingFooterText">
    <vt:lpwstr>[UNCLASSIFIED]</vt:lpwstr>
  </property>
</Properties>
</file>