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38574" w14:textId="77777777" w:rsidR="00AE1A1E" w:rsidRDefault="00AE1A1E" w:rsidP="00AE1A1E"/>
    <w:p w14:paraId="6D939A77" w14:textId="77777777" w:rsidR="00AE1A1E" w:rsidRDefault="00AE1A1E" w:rsidP="00AE1A1E"/>
    <w:p w14:paraId="5299B393" w14:textId="77777777" w:rsidR="00AE1A1E" w:rsidRDefault="00AE1A1E" w:rsidP="00AE1A1E"/>
    <w:p w14:paraId="6D8B016A" w14:textId="77777777" w:rsidR="00AE1A1E" w:rsidRDefault="00AE1A1E" w:rsidP="00AE1A1E"/>
    <w:p w14:paraId="08C238BF" w14:textId="77777777" w:rsidR="00AE1A1E" w:rsidRDefault="00AE1A1E" w:rsidP="00AE1A1E"/>
    <w:p w14:paraId="269D38AF" w14:textId="77777777" w:rsidR="00AE1A1E" w:rsidRDefault="00AE1A1E" w:rsidP="00AE1A1E"/>
    <w:p w14:paraId="78945B13" w14:textId="77777777" w:rsidR="00AE1A1E" w:rsidRDefault="00AE1A1E" w:rsidP="00AE1A1E"/>
    <w:p w14:paraId="6E76EF5F" w14:textId="77777777" w:rsidR="00AE1A1E" w:rsidRPr="00AE1A1E" w:rsidRDefault="00AE1A1E" w:rsidP="00AE1A1E">
      <w:pPr>
        <w:rPr>
          <w:color w:val="121F6B"/>
        </w:rPr>
      </w:pPr>
    </w:p>
    <w:p w14:paraId="63C9F8EF" w14:textId="77777777" w:rsidR="00AE1A1E" w:rsidRPr="00AE1A1E" w:rsidRDefault="00AE1A1E" w:rsidP="00AE1A1E">
      <w:pPr>
        <w:rPr>
          <w:color w:val="121F6B"/>
        </w:rPr>
      </w:pPr>
    </w:p>
    <w:p w14:paraId="558A493C" w14:textId="740BD66F" w:rsidR="00AE1A1E" w:rsidRPr="00AE1A1E" w:rsidRDefault="00AE1A1E" w:rsidP="00917201">
      <w:pPr>
        <w:ind w:right="1418"/>
        <w:rPr>
          <w:b/>
          <w:bCs/>
          <w:color w:val="121F6B"/>
          <w:sz w:val="44"/>
          <w:szCs w:val="44"/>
        </w:rPr>
      </w:pPr>
      <w:r>
        <w:rPr>
          <w:b/>
          <w:bCs/>
          <w:color w:val="121F6B"/>
          <w:sz w:val="44"/>
          <w:szCs w:val="44"/>
        </w:rPr>
        <w:t>Curren</w:t>
      </w:r>
      <w:r w:rsidRPr="00AE1A1E">
        <w:rPr>
          <w:b/>
          <w:bCs/>
          <w:color w:val="121F6B"/>
          <w:sz w:val="44"/>
          <w:szCs w:val="44"/>
        </w:rPr>
        <w:t>t and future disadvantage for older New Zealanders</w:t>
      </w:r>
    </w:p>
    <w:p w14:paraId="35285512" w14:textId="77777777" w:rsidR="00AE1A1E" w:rsidRDefault="00AE1A1E" w:rsidP="00AE1A1E">
      <w:pPr>
        <w:rPr>
          <w:b/>
          <w:bCs/>
          <w:color w:val="121F6B"/>
          <w:sz w:val="48"/>
          <w:szCs w:val="48"/>
        </w:rPr>
      </w:pPr>
    </w:p>
    <w:p w14:paraId="1D33006C" w14:textId="77777777" w:rsidR="00F85C0D" w:rsidRDefault="00F85C0D" w:rsidP="00AE1A1E">
      <w:pPr>
        <w:rPr>
          <w:b/>
          <w:bCs/>
          <w:color w:val="121F6B"/>
          <w:sz w:val="48"/>
          <w:szCs w:val="48"/>
        </w:rPr>
      </w:pPr>
    </w:p>
    <w:p w14:paraId="56594274" w14:textId="77777777" w:rsidR="00F85C0D" w:rsidRPr="00AE1A1E" w:rsidRDefault="00F85C0D" w:rsidP="00AE1A1E">
      <w:pPr>
        <w:rPr>
          <w:b/>
          <w:bCs/>
          <w:color w:val="121F6B"/>
          <w:sz w:val="48"/>
          <w:szCs w:val="48"/>
        </w:rPr>
      </w:pPr>
    </w:p>
    <w:p w14:paraId="67546EF3" w14:textId="1268C2EA" w:rsidR="00AE1A1E" w:rsidRPr="003B684E" w:rsidRDefault="00AE1A1E" w:rsidP="00AE1A1E">
      <w:pPr>
        <w:jc w:val="both"/>
        <w:rPr>
          <w:b/>
          <w:bCs/>
          <w:color w:val="121F6B"/>
          <w:sz w:val="32"/>
          <w:szCs w:val="32"/>
        </w:rPr>
      </w:pPr>
      <w:r w:rsidRPr="003B684E">
        <w:rPr>
          <w:b/>
          <w:bCs/>
          <w:color w:val="121F6B"/>
          <w:sz w:val="32"/>
          <w:szCs w:val="32"/>
        </w:rPr>
        <w:t xml:space="preserve">Consultation on the </w:t>
      </w:r>
      <w:r w:rsidR="009E099D">
        <w:rPr>
          <w:b/>
          <w:bCs/>
          <w:color w:val="121F6B"/>
          <w:sz w:val="32"/>
          <w:szCs w:val="32"/>
        </w:rPr>
        <w:t>t</w:t>
      </w:r>
      <w:r w:rsidRPr="003B684E">
        <w:rPr>
          <w:b/>
          <w:bCs/>
          <w:color w:val="121F6B"/>
          <w:sz w:val="32"/>
          <w:szCs w:val="32"/>
        </w:rPr>
        <w:t xml:space="preserve">opic and </w:t>
      </w:r>
      <w:r w:rsidR="009E099D">
        <w:rPr>
          <w:b/>
          <w:bCs/>
          <w:color w:val="121F6B"/>
          <w:sz w:val="32"/>
          <w:szCs w:val="32"/>
        </w:rPr>
        <w:t>s</w:t>
      </w:r>
      <w:r w:rsidRPr="003B684E">
        <w:rPr>
          <w:b/>
          <w:bCs/>
          <w:color w:val="121F6B"/>
          <w:sz w:val="32"/>
          <w:szCs w:val="32"/>
        </w:rPr>
        <w:t xml:space="preserve">cope of the Ministry of Social Development’s Long-term Insights Briefing </w:t>
      </w:r>
    </w:p>
    <w:p w14:paraId="2D315132" w14:textId="77777777" w:rsidR="00AE1A1E" w:rsidRPr="0089382B" w:rsidRDefault="00AE1A1E" w:rsidP="00AE1A1E">
      <w:pPr>
        <w:jc w:val="both"/>
        <w:rPr>
          <w:b/>
          <w:bCs/>
          <w:color w:val="FFFFFF" w:themeColor="background1"/>
          <w:sz w:val="48"/>
          <w:szCs w:val="48"/>
        </w:rPr>
      </w:pPr>
    </w:p>
    <w:p w14:paraId="5804BABD" w14:textId="77777777" w:rsidR="00AE1A1E" w:rsidRDefault="00AE1A1E" w:rsidP="00AE1A1E"/>
    <w:p w14:paraId="487CBAC1" w14:textId="77777777" w:rsidR="00AE1A1E" w:rsidRDefault="00AE1A1E" w:rsidP="00AE1A1E"/>
    <w:p w14:paraId="74154CA3" w14:textId="77777777" w:rsidR="00AE1A1E" w:rsidRDefault="00AE1A1E" w:rsidP="00AE1A1E"/>
    <w:p w14:paraId="7029F0D7" w14:textId="77777777" w:rsidR="00AE1A1E" w:rsidRDefault="00AE1A1E" w:rsidP="00AE1A1E"/>
    <w:p w14:paraId="14094A0A" w14:textId="77777777" w:rsidR="00AE1A1E" w:rsidRDefault="00AE1A1E" w:rsidP="00AE1A1E">
      <w:pPr>
        <w:spacing w:after="0" w:line="240" w:lineRule="auto"/>
        <w:rPr>
          <w:b/>
          <w:bCs/>
          <w:color w:val="121F6B"/>
          <w:sz w:val="32"/>
          <w:szCs w:val="32"/>
        </w:rPr>
      </w:pPr>
      <w:r>
        <w:rPr>
          <w:b/>
          <w:bCs/>
          <w:color w:val="121F6B"/>
          <w:sz w:val="32"/>
          <w:szCs w:val="32"/>
        </w:rPr>
        <w:br w:type="page"/>
      </w:r>
    </w:p>
    <w:p w14:paraId="19B7BCEB" w14:textId="77777777" w:rsidR="00061EAD" w:rsidRDefault="00AE1A1E" w:rsidP="00061EAD">
      <w:pPr>
        <w:spacing w:before="120"/>
        <w:rPr>
          <w:sz w:val="22"/>
        </w:rPr>
      </w:pPr>
      <w:r w:rsidRPr="003B684E">
        <w:rPr>
          <w:b/>
          <w:bCs/>
          <w:color w:val="121F6B"/>
          <w:sz w:val="32"/>
          <w:szCs w:val="32"/>
        </w:rPr>
        <w:lastRenderedPageBreak/>
        <w:t>We are seeking feedback on the proposed topic for our 2025 Long-term Insights Briefing</w:t>
      </w:r>
      <w:r w:rsidRPr="00C13BD0">
        <w:rPr>
          <w:b/>
          <w:bCs/>
          <w:color w:val="121F6B"/>
          <w:sz w:val="32"/>
          <w:szCs w:val="32"/>
        </w:rPr>
        <w:br/>
      </w:r>
    </w:p>
    <w:p w14:paraId="436A24B2" w14:textId="08900FB8" w:rsidR="00AE1A1E" w:rsidRPr="00156773" w:rsidRDefault="00AE1A1E" w:rsidP="00061EAD">
      <w:pPr>
        <w:spacing w:before="120"/>
        <w:rPr>
          <w:sz w:val="22"/>
        </w:rPr>
      </w:pPr>
      <w:r>
        <w:rPr>
          <w:sz w:val="22"/>
        </w:rPr>
        <w:t>The Ministry of Social Development</w:t>
      </w:r>
      <w:r w:rsidRPr="00156773">
        <w:rPr>
          <w:sz w:val="22"/>
        </w:rPr>
        <w:t xml:space="preserve"> is seeking feedback on the proposed topic of our upcoming report, the 2025 Long-term Insights Briefing (or LTIB). LTIBs provide information and analysis about medium and long-term trends, risks, and opportunities that affect New Zealand. </w:t>
      </w:r>
    </w:p>
    <w:p w14:paraId="26F30964" w14:textId="77777777" w:rsidR="009C6918" w:rsidRDefault="00AE1A1E" w:rsidP="00AE1A1E">
      <w:pPr>
        <w:spacing w:after="0" w:line="240" w:lineRule="auto"/>
        <w:rPr>
          <w:sz w:val="22"/>
        </w:rPr>
      </w:pPr>
      <w:bookmarkStart w:id="0" w:name="_Hlk177486885"/>
      <w:bookmarkStart w:id="1" w:name="_Hlk175817551"/>
      <w:r w:rsidRPr="00156773">
        <w:rPr>
          <w:sz w:val="22"/>
        </w:rPr>
        <w:t xml:space="preserve">Our proposed topic is </w:t>
      </w:r>
      <w:r w:rsidRPr="00156773">
        <w:rPr>
          <w:b/>
          <w:bCs/>
          <w:sz w:val="22"/>
        </w:rPr>
        <w:t>current and future disadvantage for older New Zealanders</w:t>
      </w:r>
      <w:r w:rsidRPr="00156773">
        <w:rPr>
          <w:sz w:val="22"/>
        </w:rPr>
        <w:t xml:space="preserve">. </w:t>
      </w:r>
    </w:p>
    <w:p w14:paraId="41FCD6A4" w14:textId="77777777" w:rsidR="009C6918" w:rsidRDefault="009C6918" w:rsidP="00AE1A1E">
      <w:pPr>
        <w:spacing w:after="0" w:line="240" w:lineRule="auto"/>
        <w:rPr>
          <w:sz w:val="22"/>
        </w:rPr>
      </w:pPr>
    </w:p>
    <w:p w14:paraId="5E1620C2" w14:textId="56146B78" w:rsidR="00F76C71" w:rsidRDefault="009C6918" w:rsidP="00F76C71">
      <w:pPr>
        <w:rPr>
          <w:sz w:val="22"/>
        </w:rPr>
      </w:pPr>
      <w:r w:rsidRPr="00652B98">
        <w:rPr>
          <w:sz w:val="22"/>
        </w:rPr>
        <w:t xml:space="preserve">MSD has chosen the topic </w:t>
      </w:r>
      <w:r w:rsidR="009E099D">
        <w:rPr>
          <w:sz w:val="22"/>
        </w:rPr>
        <w:t xml:space="preserve">because </w:t>
      </w:r>
      <w:r>
        <w:rPr>
          <w:sz w:val="22"/>
        </w:rPr>
        <w:t xml:space="preserve">evidence suggests </w:t>
      </w:r>
      <w:r w:rsidRPr="00AE1A1E">
        <w:rPr>
          <w:sz w:val="22"/>
        </w:rPr>
        <w:t>disadvantage for older</w:t>
      </w:r>
      <w:r>
        <w:rPr>
          <w:sz w:val="22"/>
        </w:rPr>
        <w:t xml:space="preserve"> people has the potential to become an issue of increasing significance for New Zealand, due to a </w:t>
      </w:r>
      <w:r w:rsidRPr="009C6918">
        <w:rPr>
          <w:sz w:val="22"/>
        </w:rPr>
        <w:t xml:space="preserve">combination of demographic changes, </w:t>
      </w:r>
      <w:r>
        <w:rPr>
          <w:sz w:val="22"/>
        </w:rPr>
        <w:t>social and economic</w:t>
      </w:r>
      <w:r w:rsidRPr="009C6918">
        <w:rPr>
          <w:sz w:val="22"/>
        </w:rPr>
        <w:t xml:space="preserve"> trends, and public finance constraints</w:t>
      </w:r>
      <w:r>
        <w:rPr>
          <w:sz w:val="22"/>
        </w:rPr>
        <w:t xml:space="preserve">. </w:t>
      </w:r>
    </w:p>
    <w:bookmarkEnd w:id="0"/>
    <w:p w14:paraId="0F78A39E" w14:textId="2C15CD2C" w:rsidR="00F76C71" w:rsidRDefault="005D5FA8" w:rsidP="00F76C71">
      <w:pPr>
        <w:rPr>
          <w:sz w:val="22"/>
        </w:rPr>
      </w:pPr>
      <w:r>
        <w:rPr>
          <w:sz w:val="22"/>
        </w:rPr>
        <w:t>T</w:t>
      </w:r>
      <w:r w:rsidR="00F76C71">
        <w:rPr>
          <w:sz w:val="22"/>
        </w:rPr>
        <w:t xml:space="preserve">he NZ </w:t>
      </w:r>
      <w:r w:rsidR="00F76C71" w:rsidRPr="00F76C71">
        <w:rPr>
          <w:sz w:val="22"/>
        </w:rPr>
        <w:t xml:space="preserve">population </w:t>
      </w:r>
      <w:r w:rsidR="00F76C71">
        <w:rPr>
          <w:sz w:val="22"/>
        </w:rPr>
        <w:t>is rapidly</w:t>
      </w:r>
      <w:r w:rsidR="00F76C71" w:rsidRPr="00F76C71">
        <w:rPr>
          <w:sz w:val="22"/>
        </w:rPr>
        <w:t xml:space="preserve"> ageing</w:t>
      </w:r>
      <w:r w:rsidR="00F76C71">
        <w:rPr>
          <w:sz w:val="22"/>
        </w:rPr>
        <w:t xml:space="preserve">, </w:t>
      </w:r>
      <w:r w:rsidR="00F76C71" w:rsidRPr="00F76C71">
        <w:rPr>
          <w:sz w:val="22"/>
        </w:rPr>
        <w:t>due to life expectancy gains and declines in fertility rates.</w:t>
      </w:r>
      <w:r w:rsidR="00F76C71" w:rsidRPr="00A95ACD">
        <w:rPr>
          <w:sz w:val="22"/>
        </w:rPr>
        <w:t xml:space="preserve"> </w:t>
      </w:r>
      <w:r w:rsidR="00A95ACD" w:rsidRPr="00A95ACD">
        <w:rPr>
          <w:sz w:val="22"/>
        </w:rPr>
        <w:t>T</w:t>
      </w:r>
      <w:r w:rsidR="00F76C71" w:rsidRPr="00A95ACD">
        <w:rPr>
          <w:sz w:val="22"/>
        </w:rPr>
        <w:t xml:space="preserve">he share of the population </w:t>
      </w:r>
      <w:r w:rsidR="009E099D">
        <w:rPr>
          <w:sz w:val="22"/>
        </w:rPr>
        <w:t>aged</w:t>
      </w:r>
      <w:r w:rsidR="00F76C71" w:rsidRPr="00A95ACD">
        <w:rPr>
          <w:sz w:val="22"/>
        </w:rPr>
        <w:t xml:space="preserve"> </w:t>
      </w:r>
      <w:r w:rsidR="00A95ACD" w:rsidRPr="00A95ACD">
        <w:rPr>
          <w:sz w:val="22"/>
        </w:rPr>
        <w:t>65+ is projected to grow from around 17</w:t>
      </w:r>
      <w:r w:rsidR="009E099D">
        <w:rPr>
          <w:sz w:val="22"/>
        </w:rPr>
        <w:t xml:space="preserve"> percent</w:t>
      </w:r>
      <w:r w:rsidR="00A95ACD" w:rsidRPr="00A95ACD">
        <w:rPr>
          <w:sz w:val="22"/>
        </w:rPr>
        <w:t xml:space="preserve"> now </w:t>
      </w:r>
      <w:r w:rsidR="00A95ACD">
        <w:rPr>
          <w:sz w:val="22"/>
        </w:rPr>
        <w:t xml:space="preserve">to </w:t>
      </w:r>
      <w:r w:rsidR="00A95ACD" w:rsidRPr="00A95ACD">
        <w:rPr>
          <w:sz w:val="22"/>
        </w:rPr>
        <w:t>2</w:t>
      </w:r>
      <w:r w:rsidR="00F47C8C">
        <w:rPr>
          <w:sz w:val="22"/>
        </w:rPr>
        <w:t>1</w:t>
      </w:r>
      <w:r w:rsidR="009E099D">
        <w:rPr>
          <w:sz w:val="22"/>
        </w:rPr>
        <w:t xml:space="preserve"> percent</w:t>
      </w:r>
      <w:r w:rsidR="00A95ACD" w:rsidRPr="00A95ACD">
        <w:rPr>
          <w:sz w:val="22"/>
        </w:rPr>
        <w:t xml:space="preserve"> by 20</w:t>
      </w:r>
      <w:r w:rsidR="00A95ACD">
        <w:rPr>
          <w:sz w:val="22"/>
        </w:rPr>
        <w:t>3</w:t>
      </w:r>
      <w:r w:rsidR="00F47C8C">
        <w:rPr>
          <w:sz w:val="22"/>
        </w:rPr>
        <w:t>5</w:t>
      </w:r>
      <w:r w:rsidR="00A95ACD">
        <w:rPr>
          <w:sz w:val="22"/>
        </w:rPr>
        <w:t xml:space="preserve">, and </w:t>
      </w:r>
      <w:r w:rsidR="007956D7">
        <w:rPr>
          <w:sz w:val="22"/>
        </w:rPr>
        <w:t xml:space="preserve">to </w:t>
      </w:r>
      <w:r w:rsidR="00A95ACD">
        <w:rPr>
          <w:sz w:val="22"/>
        </w:rPr>
        <w:t>2</w:t>
      </w:r>
      <w:r w:rsidR="00F47C8C">
        <w:rPr>
          <w:sz w:val="22"/>
        </w:rPr>
        <w:t>4</w:t>
      </w:r>
      <w:r w:rsidR="009E099D">
        <w:rPr>
          <w:sz w:val="22"/>
        </w:rPr>
        <w:t xml:space="preserve"> percent</w:t>
      </w:r>
      <w:r w:rsidR="00A95ACD">
        <w:rPr>
          <w:sz w:val="22"/>
        </w:rPr>
        <w:t xml:space="preserve"> by 205</w:t>
      </w:r>
      <w:r w:rsidR="00F47C8C">
        <w:rPr>
          <w:sz w:val="22"/>
        </w:rPr>
        <w:t>5</w:t>
      </w:r>
      <w:r w:rsidR="007956D7">
        <w:rPr>
          <w:sz w:val="22"/>
        </w:rPr>
        <w:t>. T</w:t>
      </w:r>
      <w:r w:rsidR="00A95ACD">
        <w:rPr>
          <w:sz w:val="22"/>
        </w:rPr>
        <w:t>h</w:t>
      </w:r>
      <w:r w:rsidR="007956D7">
        <w:rPr>
          <w:sz w:val="22"/>
        </w:rPr>
        <w:t>e share</w:t>
      </w:r>
      <w:r w:rsidR="00A95ACD">
        <w:rPr>
          <w:sz w:val="22"/>
        </w:rPr>
        <w:t xml:space="preserve"> </w:t>
      </w:r>
      <w:r w:rsidR="009E099D">
        <w:rPr>
          <w:sz w:val="22"/>
        </w:rPr>
        <w:t>aged</w:t>
      </w:r>
      <w:r w:rsidR="00A95ACD">
        <w:rPr>
          <w:sz w:val="22"/>
        </w:rPr>
        <w:t xml:space="preserve"> 85+</w:t>
      </w:r>
      <w:r w:rsidR="007956D7">
        <w:rPr>
          <w:sz w:val="22"/>
        </w:rPr>
        <w:t xml:space="preserve"> is projected</w:t>
      </w:r>
      <w:r w:rsidR="00A95ACD">
        <w:rPr>
          <w:sz w:val="22"/>
        </w:rPr>
        <w:t xml:space="preserve"> to grow from</w:t>
      </w:r>
      <w:r>
        <w:rPr>
          <w:sz w:val="22"/>
        </w:rPr>
        <w:t xml:space="preserve"> around </w:t>
      </w:r>
      <w:r w:rsidR="00A95ACD">
        <w:rPr>
          <w:sz w:val="22"/>
        </w:rPr>
        <w:t>2</w:t>
      </w:r>
      <w:r w:rsidR="009E099D">
        <w:rPr>
          <w:sz w:val="22"/>
        </w:rPr>
        <w:t xml:space="preserve"> percent</w:t>
      </w:r>
      <w:r w:rsidR="00A95ACD">
        <w:rPr>
          <w:sz w:val="22"/>
        </w:rPr>
        <w:t xml:space="preserve"> to 3</w:t>
      </w:r>
      <w:r w:rsidR="009E099D">
        <w:rPr>
          <w:sz w:val="22"/>
        </w:rPr>
        <w:t xml:space="preserve"> percent</w:t>
      </w:r>
      <w:r w:rsidR="00A95ACD">
        <w:rPr>
          <w:sz w:val="22"/>
        </w:rPr>
        <w:t xml:space="preserve"> by 203</w:t>
      </w:r>
      <w:r w:rsidR="00F47C8C">
        <w:rPr>
          <w:sz w:val="22"/>
        </w:rPr>
        <w:t>5</w:t>
      </w:r>
      <w:r w:rsidR="00A95ACD">
        <w:rPr>
          <w:sz w:val="22"/>
        </w:rPr>
        <w:t xml:space="preserve"> and 5</w:t>
      </w:r>
      <w:r w:rsidR="009E099D">
        <w:rPr>
          <w:sz w:val="22"/>
        </w:rPr>
        <w:t xml:space="preserve"> percent</w:t>
      </w:r>
      <w:r w:rsidR="00A95ACD">
        <w:rPr>
          <w:sz w:val="22"/>
        </w:rPr>
        <w:t xml:space="preserve"> by 205</w:t>
      </w:r>
      <w:r w:rsidR="00F47C8C">
        <w:rPr>
          <w:sz w:val="22"/>
        </w:rPr>
        <w:t>5</w:t>
      </w:r>
      <w:r w:rsidR="00A95ACD">
        <w:rPr>
          <w:sz w:val="22"/>
        </w:rPr>
        <w:t xml:space="preserve">. </w:t>
      </w:r>
      <w:r>
        <w:rPr>
          <w:sz w:val="22"/>
        </w:rPr>
        <w:t>By 2058, the number of people aged 65+ is projected to nearly double, and the number aged 85</w:t>
      </w:r>
      <w:r w:rsidR="009E099D">
        <w:rPr>
          <w:sz w:val="22"/>
        </w:rPr>
        <w:t>+</w:t>
      </w:r>
      <w:r>
        <w:rPr>
          <w:sz w:val="22"/>
        </w:rPr>
        <w:t xml:space="preserve"> is projected to more than triple.</w:t>
      </w:r>
      <w:r w:rsidR="00FD2828">
        <w:rPr>
          <w:rStyle w:val="FootnoteReference"/>
          <w:sz w:val="22"/>
        </w:rPr>
        <w:footnoteReference w:id="1"/>
      </w:r>
      <w:r>
        <w:rPr>
          <w:sz w:val="22"/>
        </w:rPr>
        <w:t xml:space="preserve"> </w:t>
      </w:r>
    </w:p>
    <w:p w14:paraId="71873C78" w14:textId="070B9F8F" w:rsidR="00F76C71" w:rsidRDefault="006F36DF" w:rsidP="00F76C71">
      <w:pPr>
        <w:rPr>
          <w:sz w:val="22"/>
        </w:rPr>
      </w:pPr>
      <w:r>
        <w:rPr>
          <w:sz w:val="22"/>
        </w:rPr>
        <w:t>U</w:t>
      </w:r>
      <w:r w:rsidR="00F76C71" w:rsidRPr="00F76C71">
        <w:rPr>
          <w:sz w:val="22"/>
        </w:rPr>
        <w:t>niversal access to New Zealand Superannuation and the public health system, combined with high home ownership rates, have</w:t>
      </w:r>
      <w:r w:rsidR="007956D7">
        <w:rPr>
          <w:sz w:val="22"/>
        </w:rPr>
        <w:t xml:space="preserve"> </w:t>
      </w:r>
      <w:r w:rsidR="00F76C71" w:rsidRPr="00F76C71">
        <w:rPr>
          <w:sz w:val="22"/>
        </w:rPr>
        <w:t>made New Zealand a good place to grow older</w:t>
      </w:r>
      <w:r>
        <w:rPr>
          <w:sz w:val="22"/>
        </w:rPr>
        <w:t xml:space="preserve"> for most</w:t>
      </w:r>
      <w:r w:rsidR="00274F2D">
        <w:rPr>
          <w:sz w:val="22"/>
        </w:rPr>
        <w:t xml:space="preserve"> people</w:t>
      </w:r>
      <w:r w:rsidR="00F76C71" w:rsidRPr="00F76C71">
        <w:rPr>
          <w:sz w:val="22"/>
        </w:rPr>
        <w:t>. There is evidence, however, that</w:t>
      </w:r>
      <w:r w:rsidR="00F85C0D">
        <w:rPr>
          <w:sz w:val="22"/>
        </w:rPr>
        <w:t xml:space="preserve"> there are</w:t>
      </w:r>
      <w:r w:rsidR="00F76C71" w:rsidRPr="00F76C71">
        <w:rPr>
          <w:sz w:val="22"/>
        </w:rPr>
        <w:t xml:space="preserve"> groups of New Zealanders who </w:t>
      </w:r>
      <w:r w:rsidRPr="00F76C71">
        <w:rPr>
          <w:sz w:val="22"/>
        </w:rPr>
        <w:t>experienc</w:t>
      </w:r>
      <w:r>
        <w:rPr>
          <w:sz w:val="22"/>
        </w:rPr>
        <w:t>e</w:t>
      </w:r>
      <w:r w:rsidRPr="00F76C71">
        <w:rPr>
          <w:sz w:val="22"/>
        </w:rPr>
        <w:t xml:space="preserve"> </w:t>
      </w:r>
      <w:r w:rsidR="00F76C71" w:rsidRPr="00F76C71">
        <w:rPr>
          <w:sz w:val="22"/>
        </w:rPr>
        <w:t xml:space="preserve">hardship </w:t>
      </w:r>
      <w:r w:rsidR="00F76C71">
        <w:rPr>
          <w:sz w:val="22"/>
        </w:rPr>
        <w:t xml:space="preserve">and disadvantage </w:t>
      </w:r>
      <w:r w:rsidR="00F76C71" w:rsidRPr="00F76C71">
        <w:rPr>
          <w:sz w:val="22"/>
        </w:rPr>
        <w:t>as they age</w:t>
      </w:r>
      <w:r>
        <w:rPr>
          <w:sz w:val="22"/>
        </w:rPr>
        <w:t>. This can be due to factors that affect them across the life-course or that are specific to later li</w:t>
      </w:r>
      <w:r w:rsidR="00FD2828">
        <w:rPr>
          <w:sz w:val="22"/>
        </w:rPr>
        <w:t>f</w:t>
      </w:r>
      <w:r>
        <w:rPr>
          <w:sz w:val="22"/>
        </w:rPr>
        <w:t xml:space="preserve">e. </w:t>
      </w:r>
      <w:r w:rsidR="00F76C71" w:rsidRPr="00F76C71">
        <w:rPr>
          <w:sz w:val="22"/>
        </w:rPr>
        <w:t xml:space="preserve"> </w:t>
      </w:r>
    </w:p>
    <w:p w14:paraId="2291FBBD" w14:textId="500FE2CB" w:rsidR="00F76C71" w:rsidRDefault="00F76C71" w:rsidP="00F76C71">
      <w:pPr>
        <w:rPr>
          <w:sz w:val="22"/>
        </w:rPr>
      </w:pPr>
      <w:r w:rsidRPr="00F76C71">
        <w:rPr>
          <w:sz w:val="22"/>
        </w:rPr>
        <w:t xml:space="preserve">This </w:t>
      </w:r>
      <w:r w:rsidR="006F36DF">
        <w:rPr>
          <w:sz w:val="22"/>
        </w:rPr>
        <w:t>group</w:t>
      </w:r>
      <w:r w:rsidR="006F36DF" w:rsidRPr="00F76C71">
        <w:rPr>
          <w:sz w:val="22"/>
        </w:rPr>
        <w:t xml:space="preserve"> </w:t>
      </w:r>
      <w:r w:rsidRPr="00F76C71">
        <w:rPr>
          <w:sz w:val="22"/>
        </w:rPr>
        <w:t>may continue to grow over coming years as the cohort currently in middle-age approach</w:t>
      </w:r>
      <w:r w:rsidR="006F36DF">
        <w:rPr>
          <w:sz w:val="22"/>
        </w:rPr>
        <w:t>es</w:t>
      </w:r>
      <w:r w:rsidRPr="00F76C71">
        <w:rPr>
          <w:sz w:val="22"/>
        </w:rPr>
        <w:t xml:space="preserve"> 65 with fewer assets and more ongoing costs. </w:t>
      </w:r>
      <w:r w:rsidR="00EF27EE">
        <w:rPr>
          <w:sz w:val="22"/>
        </w:rPr>
        <w:t xml:space="preserve">Growth and changes in this age group also suggest greater absolute numbers experiencing disadvantage. </w:t>
      </w:r>
      <w:r w:rsidRPr="00F76C71">
        <w:rPr>
          <w:sz w:val="22"/>
        </w:rPr>
        <w:t>This</w:t>
      </w:r>
      <w:r w:rsidR="00EF27EE">
        <w:rPr>
          <w:sz w:val="22"/>
        </w:rPr>
        <w:t xml:space="preserve"> </w:t>
      </w:r>
      <w:r w:rsidR="007956D7">
        <w:rPr>
          <w:sz w:val="22"/>
        </w:rPr>
        <w:t>c</w:t>
      </w:r>
      <w:r w:rsidRPr="00F76C71">
        <w:rPr>
          <w:sz w:val="22"/>
        </w:rPr>
        <w:t>ould put pressure on services and supports across government, including those provided by MSD.</w:t>
      </w:r>
    </w:p>
    <w:p w14:paraId="5A0E89F1" w14:textId="320B253D" w:rsidR="00AE1A1E" w:rsidRPr="00156773" w:rsidRDefault="00C74CF0" w:rsidP="007956D7">
      <w:pPr>
        <w:rPr>
          <w:sz w:val="22"/>
        </w:rPr>
      </w:pPr>
      <w:bookmarkStart w:id="2" w:name="_Hlk176175038"/>
      <w:r>
        <w:rPr>
          <w:sz w:val="22"/>
        </w:rPr>
        <w:t xml:space="preserve">We </w:t>
      </w:r>
      <w:r w:rsidR="007956D7">
        <w:rPr>
          <w:sz w:val="22"/>
        </w:rPr>
        <w:t>propose to undertake more detailed analysis of patterns of disadvantage for older people now and consider how th</w:t>
      </w:r>
      <w:r w:rsidR="00392449">
        <w:rPr>
          <w:sz w:val="22"/>
        </w:rPr>
        <w:t>ese</w:t>
      </w:r>
      <w:r w:rsidR="007956D7">
        <w:rPr>
          <w:sz w:val="22"/>
        </w:rPr>
        <w:t xml:space="preserve"> might change in the future</w:t>
      </w:r>
      <w:bookmarkEnd w:id="2"/>
      <w:r w:rsidR="007956D7">
        <w:rPr>
          <w:sz w:val="22"/>
        </w:rPr>
        <w:t xml:space="preserve">. </w:t>
      </w:r>
      <w:r w:rsidR="00AE1A1E" w:rsidRPr="00156773">
        <w:rPr>
          <w:sz w:val="22"/>
        </w:rPr>
        <w:t>We propose to do this by:</w:t>
      </w:r>
    </w:p>
    <w:p w14:paraId="6546BD2E" w14:textId="03A811FE" w:rsidR="00883BCC" w:rsidRDefault="007956D7" w:rsidP="00AE1A1E">
      <w:pPr>
        <w:pStyle w:val="ListParagraph"/>
        <w:numPr>
          <w:ilvl w:val="0"/>
          <w:numId w:val="35"/>
        </w:numPr>
        <w:contextualSpacing w:val="0"/>
        <w:rPr>
          <w:sz w:val="22"/>
        </w:rPr>
      </w:pPr>
      <w:r>
        <w:rPr>
          <w:sz w:val="22"/>
        </w:rPr>
        <w:t xml:space="preserve">describing </w:t>
      </w:r>
      <w:r w:rsidR="00883BCC" w:rsidRPr="00883BCC">
        <w:rPr>
          <w:sz w:val="22"/>
        </w:rPr>
        <w:t xml:space="preserve">the current landscape for older people, including </w:t>
      </w:r>
      <w:r>
        <w:rPr>
          <w:sz w:val="22"/>
        </w:rPr>
        <w:t xml:space="preserve">summarising </w:t>
      </w:r>
      <w:r w:rsidR="00883BCC" w:rsidRPr="00883BCC">
        <w:rPr>
          <w:sz w:val="22"/>
        </w:rPr>
        <w:t>different views and expectations about ageing and retirement,</w:t>
      </w:r>
      <w:r w:rsidR="00752359">
        <w:rPr>
          <w:sz w:val="22"/>
        </w:rPr>
        <w:t xml:space="preserve"> and</w:t>
      </w:r>
      <w:r w:rsidR="00883BCC" w:rsidRPr="00883BCC">
        <w:rPr>
          <w:sz w:val="22"/>
        </w:rPr>
        <w:t xml:space="preserve"> </w:t>
      </w:r>
      <w:r>
        <w:rPr>
          <w:sz w:val="22"/>
        </w:rPr>
        <w:t xml:space="preserve">current </w:t>
      </w:r>
      <w:r w:rsidR="00883BCC" w:rsidRPr="00883BCC">
        <w:rPr>
          <w:sz w:val="22"/>
        </w:rPr>
        <w:t xml:space="preserve">lived </w:t>
      </w:r>
      <w:r w:rsidR="00883BCC" w:rsidRPr="00883BCC">
        <w:rPr>
          <w:sz w:val="22"/>
        </w:rPr>
        <w:lastRenderedPageBreak/>
        <w:t>experiences of ag</w:t>
      </w:r>
      <w:r w:rsidR="00C74CF0">
        <w:rPr>
          <w:sz w:val="22"/>
        </w:rPr>
        <w:t>e</w:t>
      </w:r>
      <w:r w:rsidR="00883BCC" w:rsidRPr="00883BCC">
        <w:rPr>
          <w:sz w:val="22"/>
        </w:rPr>
        <w:t>ing across different ethnicities</w:t>
      </w:r>
      <w:r w:rsidR="00274F2D">
        <w:rPr>
          <w:sz w:val="22"/>
        </w:rPr>
        <w:t>, disability status, gender and sexual identities</w:t>
      </w:r>
    </w:p>
    <w:p w14:paraId="6BD2AF52" w14:textId="1C00C9B4" w:rsidR="00AE1A1E" w:rsidRPr="00156773" w:rsidRDefault="00AE1A1E" w:rsidP="00AE1A1E">
      <w:pPr>
        <w:pStyle w:val="ListParagraph"/>
        <w:numPr>
          <w:ilvl w:val="0"/>
          <w:numId w:val="35"/>
        </w:numPr>
        <w:contextualSpacing w:val="0"/>
        <w:rPr>
          <w:sz w:val="22"/>
        </w:rPr>
      </w:pPr>
      <w:r w:rsidRPr="00156773">
        <w:rPr>
          <w:sz w:val="22"/>
        </w:rPr>
        <w:t>providing a description of older people (aged 65+) currently experiencing disadvantage, and how they compare with other age cohorts in New Zealand</w:t>
      </w:r>
    </w:p>
    <w:p w14:paraId="0C9CCB50" w14:textId="667B2443" w:rsidR="00AE1A1E" w:rsidRPr="00156773" w:rsidRDefault="00AE1A1E" w:rsidP="00AE1A1E">
      <w:pPr>
        <w:pStyle w:val="ListParagraph"/>
        <w:numPr>
          <w:ilvl w:val="0"/>
          <w:numId w:val="35"/>
        </w:numPr>
        <w:contextualSpacing w:val="0"/>
        <w:rPr>
          <w:sz w:val="22"/>
        </w:rPr>
      </w:pPr>
      <w:bookmarkStart w:id="3" w:name="_Hlk175817530"/>
      <w:r w:rsidRPr="00156773">
        <w:rPr>
          <w:sz w:val="22"/>
        </w:rPr>
        <w:t xml:space="preserve">identifying key drivers of disadvantage in older age, </w:t>
      </w:r>
      <w:r w:rsidR="00747A6A">
        <w:rPr>
          <w:sz w:val="22"/>
        </w:rPr>
        <w:t>as well as</w:t>
      </w:r>
      <w:r w:rsidR="00BC659B">
        <w:rPr>
          <w:sz w:val="22"/>
        </w:rPr>
        <w:t xml:space="preserve"> strengths and</w:t>
      </w:r>
      <w:r w:rsidR="00747A6A">
        <w:rPr>
          <w:sz w:val="22"/>
        </w:rPr>
        <w:t xml:space="preserve"> critical protective factors that support the wellbeing of older people</w:t>
      </w:r>
    </w:p>
    <w:bookmarkEnd w:id="3"/>
    <w:p w14:paraId="76306C8A" w14:textId="6586D81A" w:rsidR="00AE1A1E" w:rsidRPr="00156773" w:rsidRDefault="00AE1A1E" w:rsidP="00AE1A1E">
      <w:pPr>
        <w:pStyle w:val="ListParagraph"/>
        <w:numPr>
          <w:ilvl w:val="0"/>
          <w:numId w:val="35"/>
        </w:numPr>
        <w:contextualSpacing w:val="0"/>
        <w:rPr>
          <w:sz w:val="22"/>
        </w:rPr>
      </w:pPr>
      <w:r w:rsidRPr="00156773">
        <w:rPr>
          <w:sz w:val="22"/>
        </w:rPr>
        <w:t>understanding how patterns of disadvantage amongst older people are expected to change in coming decades – including by understanding those approaching older age (i.e. aged 50+)</w:t>
      </w:r>
      <w:r w:rsidR="00274F2D">
        <w:rPr>
          <w:sz w:val="22"/>
        </w:rPr>
        <w:t xml:space="preserve"> </w:t>
      </w:r>
    </w:p>
    <w:p w14:paraId="3AC0D7FA" w14:textId="77777777" w:rsidR="00AE1A1E" w:rsidRPr="00156773" w:rsidRDefault="00AE1A1E" w:rsidP="00AE1A1E">
      <w:pPr>
        <w:pStyle w:val="ListParagraph"/>
        <w:numPr>
          <w:ilvl w:val="0"/>
          <w:numId w:val="35"/>
        </w:numPr>
        <w:contextualSpacing w:val="0"/>
        <w:rPr>
          <w:sz w:val="22"/>
        </w:rPr>
      </w:pPr>
      <w:r w:rsidRPr="00156773">
        <w:rPr>
          <w:sz w:val="22"/>
        </w:rPr>
        <w:t xml:space="preserve">examining how the changing characteristics of older people described in the above analysis will impact MSD supports and services over the next ten years </w:t>
      </w:r>
    </w:p>
    <w:p w14:paraId="132A76C0" w14:textId="71ED94D5" w:rsidR="00AE1A1E" w:rsidRPr="00156773" w:rsidRDefault="00AE1A1E" w:rsidP="00AE1A1E">
      <w:pPr>
        <w:pStyle w:val="ListParagraph"/>
        <w:numPr>
          <w:ilvl w:val="0"/>
          <w:numId w:val="35"/>
        </w:numPr>
        <w:contextualSpacing w:val="0"/>
        <w:rPr>
          <w:sz w:val="22"/>
        </w:rPr>
      </w:pPr>
      <w:r w:rsidRPr="00156773">
        <w:rPr>
          <w:sz w:val="22"/>
        </w:rPr>
        <w:t>identifying ways to mitigate disadvantage for New Zealanders</w:t>
      </w:r>
      <w:r w:rsidR="00274F2D">
        <w:rPr>
          <w:sz w:val="22"/>
        </w:rPr>
        <w:t xml:space="preserve"> currently aged 65+</w:t>
      </w:r>
      <w:r w:rsidRPr="00156773">
        <w:rPr>
          <w:sz w:val="22"/>
        </w:rPr>
        <w:t xml:space="preserve">, </w:t>
      </w:r>
      <w:r w:rsidR="00BC659B">
        <w:rPr>
          <w:sz w:val="22"/>
        </w:rPr>
        <w:t xml:space="preserve">build on strengths and protective factors, </w:t>
      </w:r>
      <w:r w:rsidRPr="00156773">
        <w:rPr>
          <w:sz w:val="22"/>
        </w:rPr>
        <w:t>and prevent disadvantage among future older New Zealanders.</w:t>
      </w:r>
    </w:p>
    <w:bookmarkEnd w:id="1"/>
    <w:p w14:paraId="5997A0F9" w14:textId="3B65F693" w:rsidR="00F87CBB" w:rsidRDefault="00F87CBB" w:rsidP="00F87CBB">
      <w:pPr>
        <w:rPr>
          <w:sz w:val="22"/>
        </w:rPr>
      </w:pPr>
      <w:r>
        <w:rPr>
          <w:sz w:val="22"/>
        </w:rPr>
        <w:t xml:space="preserve">Given the breadth of the proposed topic, MSD’s primary focus would be on areas most directly relevant to its responsibilities </w:t>
      </w:r>
      <w:proofErr w:type="gramStart"/>
      <w:r>
        <w:rPr>
          <w:sz w:val="22"/>
        </w:rPr>
        <w:t>in</w:t>
      </w:r>
      <w:r w:rsidR="00274F2D">
        <w:rPr>
          <w:sz w:val="22"/>
        </w:rPr>
        <w:t>:</w:t>
      </w:r>
      <w:proofErr w:type="gramEnd"/>
      <w:r>
        <w:rPr>
          <w:sz w:val="22"/>
        </w:rPr>
        <w:t xml:space="preserve"> employment services, income support provision, housing supports, and community services funding</w:t>
      </w:r>
      <w:r w:rsidR="006E1E0A">
        <w:rPr>
          <w:sz w:val="22"/>
        </w:rPr>
        <w:t xml:space="preserve"> and provision</w:t>
      </w:r>
      <w:r>
        <w:rPr>
          <w:sz w:val="22"/>
        </w:rPr>
        <w:t xml:space="preserve">. While the proposed topic is focused on a concept of disadvantage that is broader than just financial issues, we would have a clear emphasis on the material needs of older New Zealanders. </w:t>
      </w:r>
    </w:p>
    <w:p w14:paraId="5F1A70ED" w14:textId="18C4FC1C" w:rsidR="00AE1A1E" w:rsidRPr="00156773" w:rsidRDefault="00AE1A1E" w:rsidP="00AE1A1E">
      <w:pPr>
        <w:rPr>
          <w:sz w:val="22"/>
        </w:rPr>
      </w:pPr>
      <w:r w:rsidRPr="00156773">
        <w:rPr>
          <w:sz w:val="22"/>
        </w:rPr>
        <w:t>We welcome your feedback on this topic</w:t>
      </w:r>
      <w:r w:rsidR="00392449">
        <w:rPr>
          <w:sz w:val="22"/>
        </w:rPr>
        <w:t xml:space="preserve">, </w:t>
      </w:r>
      <w:r w:rsidRPr="00156773">
        <w:rPr>
          <w:sz w:val="22"/>
        </w:rPr>
        <w:t>including your thoughts on the following questions:</w:t>
      </w:r>
    </w:p>
    <w:p w14:paraId="1579496A" w14:textId="2A264070" w:rsidR="00AE1A1E" w:rsidRDefault="00AE1A1E" w:rsidP="00AE1A1E">
      <w:pPr>
        <w:pStyle w:val="ListParagraph"/>
        <w:numPr>
          <w:ilvl w:val="0"/>
          <w:numId w:val="35"/>
        </w:numPr>
        <w:contextualSpacing w:val="0"/>
        <w:rPr>
          <w:sz w:val="22"/>
        </w:rPr>
      </w:pPr>
      <w:r>
        <w:rPr>
          <w:sz w:val="22"/>
        </w:rPr>
        <w:t xml:space="preserve">Do we have the right topic? To what extent is the issue an important thing for the Ministry of Social Development to consider? </w:t>
      </w:r>
    </w:p>
    <w:p w14:paraId="146B1163" w14:textId="6515EEDC" w:rsidR="00AE1A1E" w:rsidRPr="00156773" w:rsidRDefault="00AE1A1E" w:rsidP="00AE1A1E">
      <w:pPr>
        <w:pStyle w:val="ListParagraph"/>
        <w:numPr>
          <w:ilvl w:val="0"/>
          <w:numId w:val="35"/>
        </w:numPr>
        <w:contextualSpacing w:val="0"/>
        <w:rPr>
          <w:sz w:val="22"/>
        </w:rPr>
      </w:pPr>
      <w:r w:rsidRPr="00156773">
        <w:rPr>
          <w:sz w:val="22"/>
        </w:rPr>
        <w:t xml:space="preserve">How can we think about the diverse needs of older people? Are there particular groups of older people we need to think about in different ways? </w:t>
      </w:r>
    </w:p>
    <w:p w14:paraId="6A86BBE8" w14:textId="195DBEFC" w:rsidR="00AE1A1E" w:rsidRDefault="00AE1A1E" w:rsidP="00AE1A1E">
      <w:pPr>
        <w:pStyle w:val="ListParagraph"/>
        <w:numPr>
          <w:ilvl w:val="0"/>
          <w:numId w:val="35"/>
        </w:numPr>
        <w:contextualSpacing w:val="0"/>
        <w:rPr>
          <w:sz w:val="22"/>
        </w:rPr>
      </w:pPr>
      <w:r w:rsidRPr="00156773">
        <w:rPr>
          <w:sz w:val="22"/>
        </w:rPr>
        <w:t>What</w:t>
      </w:r>
      <w:r>
        <w:rPr>
          <w:sz w:val="22"/>
        </w:rPr>
        <w:t xml:space="preserve"> are the most critical</w:t>
      </w:r>
      <w:r w:rsidRPr="00156773">
        <w:rPr>
          <w:sz w:val="22"/>
        </w:rPr>
        <w:t xml:space="preserve"> </w:t>
      </w:r>
      <w:r>
        <w:rPr>
          <w:sz w:val="22"/>
        </w:rPr>
        <w:t>changes</w:t>
      </w:r>
      <w:r w:rsidRPr="00156773">
        <w:rPr>
          <w:sz w:val="22"/>
        </w:rPr>
        <w:t xml:space="preserve"> we expect in the coming decades that </w:t>
      </w:r>
      <w:r w:rsidR="00747966">
        <w:rPr>
          <w:sz w:val="22"/>
        </w:rPr>
        <w:t>c</w:t>
      </w:r>
      <w:r w:rsidR="00747966" w:rsidRPr="00156773">
        <w:rPr>
          <w:sz w:val="22"/>
        </w:rPr>
        <w:t xml:space="preserve">ould </w:t>
      </w:r>
      <w:r w:rsidR="00747A6A">
        <w:rPr>
          <w:sz w:val="22"/>
        </w:rPr>
        <w:t xml:space="preserve">have a significant </w:t>
      </w:r>
      <w:r w:rsidRPr="00156773">
        <w:rPr>
          <w:sz w:val="22"/>
        </w:rPr>
        <w:t>impact on the wellbeing of older people</w:t>
      </w:r>
      <w:r w:rsidR="00747A6A">
        <w:rPr>
          <w:sz w:val="22"/>
        </w:rPr>
        <w:t xml:space="preserve"> in the future</w:t>
      </w:r>
      <w:r w:rsidRPr="00156773">
        <w:rPr>
          <w:sz w:val="22"/>
        </w:rPr>
        <w:t xml:space="preserve">? </w:t>
      </w:r>
    </w:p>
    <w:p w14:paraId="1F20A52A" w14:textId="5FE3D333" w:rsidR="004A75C4" w:rsidRPr="004A75C4" w:rsidRDefault="00747966" w:rsidP="004A75C4">
      <w:pPr>
        <w:pStyle w:val="ListParagraph"/>
        <w:numPr>
          <w:ilvl w:val="0"/>
          <w:numId w:val="35"/>
        </w:numPr>
        <w:contextualSpacing w:val="0"/>
        <w:rPr>
          <w:sz w:val="22"/>
        </w:rPr>
      </w:pPr>
      <w:r>
        <w:rPr>
          <w:sz w:val="22"/>
        </w:rPr>
        <w:t>A</w:t>
      </w:r>
      <w:r w:rsidR="004A75C4" w:rsidRPr="004A75C4">
        <w:rPr>
          <w:sz w:val="22"/>
        </w:rPr>
        <w:t xml:space="preserve">re </w:t>
      </w:r>
      <w:r>
        <w:rPr>
          <w:sz w:val="22"/>
        </w:rPr>
        <w:t xml:space="preserve">there </w:t>
      </w:r>
      <w:r w:rsidR="004A75C4" w:rsidRPr="004A75C4">
        <w:rPr>
          <w:sz w:val="22"/>
        </w:rPr>
        <w:t xml:space="preserve">significant aspects of the proposed scope and analysis that are not captured in the issues </w:t>
      </w:r>
      <w:r w:rsidR="004A75C4">
        <w:rPr>
          <w:sz w:val="22"/>
        </w:rPr>
        <w:t>set out in</w:t>
      </w:r>
      <w:r w:rsidR="004A75C4" w:rsidRPr="004A75C4">
        <w:rPr>
          <w:sz w:val="22"/>
        </w:rPr>
        <w:t xml:space="preserve"> </w:t>
      </w:r>
      <w:r w:rsidRPr="004A75C4">
        <w:rPr>
          <w:sz w:val="22"/>
        </w:rPr>
        <w:t>th</w:t>
      </w:r>
      <w:r>
        <w:rPr>
          <w:sz w:val="22"/>
        </w:rPr>
        <w:t>is</w:t>
      </w:r>
      <w:r w:rsidRPr="004A75C4">
        <w:rPr>
          <w:sz w:val="22"/>
        </w:rPr>
        <w:t xml:space="preserve"> </w:t>
      </w:r>
      <w:r w:rsidR="004A75C4" w:rsidRPr="004A75C4">
        <w:rPr>
          <w:sz w:val="22"/>
        </w:rPr>
        <w:t>consultation document?</w:t>
      </w:r>
    </w:p>
    <w:p w14:paraId="04216DD7" w14:textId="6AB6D420" w:rsidR="004A75C4" w:rsidRDefault="004A75C4" w:rsidP="004A75C4">
      <w:pPr>
        <w:pStyle w:val="ListParagraph"/>
        <w:numPr>
          <w:ilvl w:val="0"/>
          <w:numId w:val="35"/>
        </w:numPr>
        <w:contextualSpacing w:val="0"/>
        <w:rPr>
          <w:sz w:val="22"/>
        </w:rPr>
      </w:pPr>
      <w:r w:rsidRPr="004A75C4">
        <w:rPr>
          <w:sz w:val="22"/>
        </w:rPr>
        <w:t>Is there any other feedback you want to provide?</w:t>
      </w:r>
    </w:p>
    <w:p w14:paraId="02A9E6C1" w14:textId="454FD866" w:rsidR="00615F3A" w:rsidRPr="007C67FF" w:rsidRDefault="00AE1A1E" w:rsidP="00615F3A">
      <w:pPr>
        <w:pStyle w:val="NormalWeb"/>
        <w:spacing w:after="0"/>
        <w:rPr>
          <w:sz w:val="22"/>
          <w:szCs w:val="22"/>
        </w:rPr>
      </w:pPr>
      <w:r w:rsidRPr="00170FF9">
        <w:rPr>
          <w:sz w:val="22"/>
          <w:szCs w:val="22"/>
        </w:rPr>
        <w:t>Please note that the Ministry of Health is also consulting on a topic related to population ageing, but with a different focus</w:t>
      </w:r>
      <w:r w:rsidR="00615F3A" w:rsidRPr="007C67FF">
        <w:rPr>
          <w:i/>
          <w:iCs/>
          <w:sz w:val="22"/>
          <w:szCs w:val="22"/>
        </w:rPr>
        <w:t xml:space="preserve">. </w:t>
      </w:r>
      <w:r w:rsidR="00615F3A" w:rsidRPr="007C67FF">
        <w:rPr>
          <w:sz w:val="22"/>
          <w:szCs w:val="22"/>
        </w:rPr>
        <w:t xml:space="preserve">The Ministry of Health’s proposed topic is </w:t>
      </w:r>
      <w:r w:rsidR="00615F3A" w:rsidRPr="007C67FF">
        <w:rPr>
          <w:b/>
          <w:bCs/>
          <w:sz w:val="22"/>
          <w:szCs w:val="22"/>
        </w:rPr>
        <w:t>unlocking the potential of active ageing</w:t>
      </w:r>
      <w:r w:rsidR="00615F3A" w:rsidRPr="007C67FF">
        <w:rPr>
          <w:sz w:val="22"/>
          <w:szCs w:val="22"/>
        </w:rPr>
        <w:t xml:space="preserve">. They will go out to public consultation later this year and you will be able to see when you can engage with the Ministry of Health on this topic through the government website on </w:t>
      </w:r>
      <w:hyperlink r:id="rId8" w:history="1">
        <w:r w:rsidR="00615F3A" w:rsidRPr="007C67FF">
          <w:t>L</w:t>
        </w:r>
        <w:r w:rsidR="009E099D" w:rsidRPr="007C67FF">
          <w:t>TIBs</w:t>
        </w:r>
        <w:r w:rsidR="00615F3A" w:rsidRPr="007C67FF">
          <w:t>.</w:t>
        </w:r>
      </w:hyperlink>
    </w:p>
    <w:p w14:paraId="4104EBCA" w14:textId="30E2F26D" w:rsidR="00AE1A1E" w:rsidRPr="002E46C0" w:rsidRDefault="00AE1A1E" w:rsidP="002E46C0">
      <w:pPr>
        <w:rPr>
          <w:b/>
          <w:bCs/>
          <w:sz w:val="32"/>
          <w:szCs w:val="32"/>
        </w:rPr>
      </w:pPr>
      <w:r>
        <w:rPr>
          <w:b/>
          <w:bCs/>
          <w:sz w:val="32"/>
          <w:szCs w:val="32"/>
        </w:rPr>
        <w:br w:type="page"/>
      </w:r>
      <w:r w:rsidRPr="003B684E">
        <w:rPr>
          <w:b/>
          <w:bCs/>
          <w:color w:val="121F6B"/>
          <w:sz w:val="32"/>
          <w:szCs w:val="32"/>
        </w:rPr>
        <w:lastRenderedPageBreak/>
        <w:t xml:space="preserve">How to provide feedback </w:t>
      </w:r>
    </w:p>
    <w:p w14:paraId="249E76BA" w14:textId="57407038" w:rsidR="0088596F" w:rsidRDefault="0088596F" w:rsidP="007047F7">
      <w:pPr>
        <w:rPr>
          <w:sz w:val="22"/>
        </w:rPr>
      </w:pPr>
      <w:r>
        <w:rPr>
          <w:sz w:val="22"/>
        </w:rPr>
        <w:t xml:space="preserve">You can provide feedback either by completing a short survey hosted on MSD’s website, or by contributing a written submission. </w:t>
      </w:r>
    </w:p>
    <w:p w14:paraId="74D6748E" w14:textId="44F77655" w:rsidR="00AE1A1E" w:rsidRPr="00156773" w:rsidRDefault="00AE1A1E" w:rsidP="007047F7">
      <w:pPr>
        <w:rPr>
          <w:sz w:val="22"/>
        </w:rPr>
      </w:pPr>
      <w:r w:rsidRPr="00156773">
        <w:rPr>
          <w:sz w:val="22"/>
        </w:rPr>
        <w:t xml:space="preserve">A form to assist you with providing </w:t>
      </w:r>
      <w:r w:rsidR="0088596F">
        <w:rPr>
          <w:sz w:val="22"/>
        </w:rPr>
        <w:t xml:space="preserve">a </w:t>
      </w:r>
      <w:r w:rsidRPr="00156773">
        <w:rPr>
          <w:sz w:val="22"/>
        </w:rPr>
        <w:t xml:space="preserve">written </w:t>
      </w:r>
      <w:r w:rsidR="0088596F">
        <w:rPr>
          <w:sz w:val="22"/>
        </w:rPr>
        <w:t>submission</w:t>
      </w:r>
      <w:r w:rsidRPr="00156773">
        <w:rPr>
          <w:sz w:val="22"/>
        </w:rPr>
        <w:t xml:space="preserve"> is available on the Ministry of Social Development website at </w:t>
      </w:r>
      <w:r w:rsidR="007C67FF" w:rsidRPr="007C67FF">
        <w:t>https://www.msd.govt.nz/documents/about-msd-and-our-work/publications-resources/long-term-insights-briefings</w:t>
      </w:r>
      <w:r w:rsidR="007C67FF">
        <w:t>.</w:t>
      </w:r>
      <w:r w:rsidR="007047F7">
        <w:rPr>
          <w:sz w:val="22"/>
        </w:rPr>
        <w:t xml:space="preserve"> </w:t>
      </w:r>
      <w:r w:rsidRPr="00156773">
        <w:rPr>
          <w:sz w:val="22"/>
        </w:rPr>
        <w:t xml:space="preserve">Please complete this form and email it to </w:t>
      </w:r>
      <w:r w:rsidR="00466210">
        <w:rPr>
          <w:sz w:val="22"/>
        </w:rPr>
        <w:t>ofs@msd.govt.nz.</w:t>
      </w:r>
      <w:r w:rsidRPr="00156773">
        <w:rPr>
          <w:sz w:val="22"/>
        </w:rPr>
        <w:t xml:space="preserve"> </w:t>
      </w:r>
    </w:p>
    <w:p w14:paraId="257960CF" w14:textId="77777777" w:rsidR="00AE1A1E" w:rsidRPr="00156773" w:rsidRDefault="00AE1A1E" w:rsidP="007047F7">
      <w:pPr>
        <w:rPr>
          <w:sz w:val="22"/>
        </w:rPr>
      </w:pPr>
      <w:bookmarkStart w:id="4" w:name="_Hlk177487753"/>
      <w:r w:rsidRPr="00156773">
        <w:rPr>
          <w:sz w:val="22"/>
        </w:rPr>
        <w:t>Alternatively, you can mail your submission to: Long Term Insights Briefing Consultation, PO Box 1556. Wellington 6140. New Zealand</w:t>
      </w:r>
    </w:p>
    <w:bookmarkEnd w:id="4"/>
    <w:p w14:paraId="23142D86" w14:textId="77777777" w:rsidR="00AE1A1E" w:rsidRPr="00156773" w:rsidRDefault="00AE1A1E" w:rsidP="007047F7">
      <w:pPr>
        <w:rPr>
          <w:sz w:val="22"/>
        </w:rPr>
      </w:pPr>
      <w:r w:rsidRPr="00156773">
        <w:rPr>
          <w:sz w:val="22"/>
        </w:rPr>
        <w:t xml:space="preserve">The consultation period concludes on Friday 25 October. MSD will publish a summary of submissions on the scope after the consultation process. </w:t>
      </w:r>
    </w:p>
    <w:p w14:paraId="5C1CAF41" w14:textId="0A005E08" w:rsidR="00AE1A1E" w:rsidRPr="00156773" w:rsidRDefault="00AE1A1E" w:rsidP="007047F7">
      <w:pPr>
        <w:rPr>
          <w:sz w:val="22"/>
        </w:rPr>
      </w:pPr>
      <w:bookmarkStart w:id="5" w:name="_Hlk177487697"/>
      <w:r>
        <w:rPr>
          <w:sz w:val="22"/>
        </w:rPr>
        <w:t>The Ministry</w:t>
      </w:r>
      <w:r w:rsidRPr="00156773">
        <w:rPr>
          <w:sz w:val="22"/>
        </w:rPr>
        <w:t xml:space="preserve"> intends to publish a draft of the LTIB in early 2025 for public consultation, before publishing the final LTIB in mid-2025. </w:t>
      </w:r>
    </w:p>
    <w:bookmarkEnd w:id="5"/>
    <w:p w14:paraId="60863281" w14:textId="249E6FC9" w:rsidR="00AE1A1E" w:rsidRPr="00156773" w:rsidRDefault="00AE1A1E" w:rsidP="00AE1A1E">
      <w:pPr>
        <w:spacing w:after="0" w:line="240" w:lineRule="auto"/>
        <w:rPr>
          <w:sz w:val="22"/>
        </w:rPr>
      </w:pPr>
      <w:r w:rsidRPr="00156773">
        <w:rPr>
          <w:sz w:val="22"/>
        </w:rPr>
        <w:t xml:space="preserve">For further details and updates, visit: </w:t>
      </w:r>
      <w:r w:rsidR="007C67FF" w:rsidRPr="007C67FF">
        <w:t>https://www.msd.govt.nz/documents/about-msd-and-our-work/publications-resources/long-term-insights-briefings</w:t>
      </w:r>
      <w:r w:rsidRPr="00156773">
        <w:rPr>
          <w:sz w:val="22"/>
        </w:rPr>
        <w:t xml:space="preserve">. </w:t>
      </w:r>
    </w:p>
    <w:p w14:paraId="174C721B" w14:textId="77777777" w:rsidR="00AE1A1E" w:rsidRDefault="00AE1A1E" w:rsidP="00AE1A1E">
      <w:pPr>
        <w:spacing w:after="0" w:line="240" w:lineRule="auto"/>
      </w:pPr>
    </w:p>
    <w:p w14:paraId="6AC23738" w14:textId="77777777" w:rsidR="00AE1A1E" w:rsidRPr="003B684E" w:rsidRDefault="00AE1A1E" w:rsidP="00AE1A1E">
      <w:pPr>
        <w:rPr>
          <w:b/>
          <w:bCs/>
          <w:color w:val="121F6B"/>
          <w:sz w:val="32"/>
          <w:szCs w:val="32"/>
        </w:rPr>
      </w:pPr>
      <w:r w:rsidRPr="003B684E">
        <w:rPr>
          <w:b/>
          <w:bCs/>
          <w:color w:val="121F6B"/>
          <w:sz w:val="32"/>
          <w:szCs w:val="32"/>
        </w:rPr>
        <w:t xml:space="preserve">Private Information </w:t>
      </w:r>
    </w:p>
    <w:p w14:paraId="37CD4F23" w14:textId="77777777" w:rsidR="00AE1A1E" w:rsidRPr="00156773" w:rsidRDefault="00AE1A1E" w:rsidP="007047F7">
      <w:pPr>
        <w:rPr>
          <w:sz w:val="22"/>
        </w:rPr>
      </w:pPr>
      <w:r w:rsidRPr="00156773">
        <w:rPr>
          <w:sz w:val="22"/>
        </w:rPr>
        <w:t xml:space="preserve">The Privacy Act 2020 establishes certain principles with respect to the collection, use and disclosure of information about individuals by various agencies, including the Ministry of Social Development. </w:t>
      </w:r>
    </w:p>
    <w:p w14:paraId="74D657BD" w14:textId="77777777" w:rsidR="00AE1A1E" w:rsidRPr="00156773" w:rsidRDefault="00AE1A1E" w:rsidP="007047F7">
      <w:pPr>
        <w:rPr>
          <w:sz w:val="22"/>
        </w:rPr>
      </w:pPr>
      <w:r w:rsidRPr="00156773">
        <w:rPr>
          <w:sz w:val="22"/>
        </w:rPr>
        <w:t xml:space="preserve">Any personal information you supply in the course of making a submission will only be used for the purpose of assisting in the development of, and policy advice in relation to, the Ministry’s LTIB. </w:t>
      </w:r>
    </w:p>
    <w:p w14:paraId="7C586642" w14:textId="77777777" w:rsidR="00AE1A1E" w:rsidRPr="00156773" w:rsidRDefault="00AE1A1E" w:rsidP="007047F7">
      <w:pPr>
        <w:rPr>
          <w:sz w:val="22"/>
        </w:rPr>
      </w:pPr>
      <w:r w:rsidRPr="00156773">
        <w:rPr>
          <w:sz w:val="22"/>
        </w:rPr>
        <w:t xml:space="preserve">Please clearly indicate in your submission if you do not wish your name, or any other personal information, to be included in the summary of submissions and consultations that the Ministry will publish. </w:t>
      </w:r>
    </w:p>
    <w:p w14:paraId="6657DCF9" w14:textId="77777777" w:rsidR="00AE1A1E" w:rsidRDefault="00AE1A1E" w:rsidP="00AE1A1E">
      <w:pPr>
        <w:spacing w:after="0" w:line="240" w:lineRule="auto"/>
      </w:pPr>
    </w:p>
    <w:p w14:paraId="53C524FB" w14:textId="77777777" w:rsidR="00AE1A1E" w:rsidRPr="003B684E" w:rsidRDefault="00AE1A1E" w:rsidP="00AE1A1E">
      <w:pPr>
        <w:rPr>
          <w:b/>
          <w:bCs/>
          <w:color w:val="121F6B"/>
          <w:sz w:val="32"/>
          <w:szCs w:val="32"/>
        </w:rPr>
      </w:pPr>
      <w:r w:rsidRPr="003B684E">
        <w:rPr>
          <w:b/>
          <w:bCs/>
          <w:color w:val="121F6B"/>
          <w:sz w:val="32"/>
          <w:szCs w:val="32"/>
        </w:rPr>
        <w:t>Submissions and the Official Information Act</w:t>
      </w:r>
    </w:p>
    <w:p w14:paraId="4D2899EF" w14:textId="77777777" w:rsidR="00AE1A1E" w:rsidRPr="00156773" w:rsidRDefault="00AE1A1E" w:rsidP="007047F7">
      <w:pPr>
        <w:rPr>
          <w:sz w:val="22"/>
        </w:rPr>
      </w:pPr>
      <w:r w:rsidRPr="00156773">
        <w:rPr>
          <w:sz w:val="22"/>
        </w:rPr>
        <w:t xml:space="preserve">Submissions received are subject to the Official Information Act 1982 (OIA). Please set out clearly with your submission if you have any objection to any information in the submission being released under the OIA. In particular, clearly state which part(s) you consider should be withheld, and the reason(s) for doing so. </w:t>
      </w:r>
    </w:p>
    <w:p w14:paraId="698372D3" w14:textId="77777777" w:rsidR="00AE1A1E" w:rsidRPr="00156773" w:rsidRDefault="00AE1A1E" w:rsidP="007047F7">
      <w:pPr>
        <w:rPr>
          <w:sz w:val="22"/>
        </w:rPr>
      </w:pPr>
      <w:r w:rsidRPr="00156773">
        <w:rPr>
          <w:sz w:val="22"/>
        </w:rPr>
        <w:t xml:space="preserve">The OIA sets out reasons for withholding information. Reasons could include that the information is commercially sensitive or that you wish us to withhold personal information, such as names or contact details. An automatic confidentiality disclaimer from your IT system is not a reason to withhold information. </w:t>
      </w:r>
    </w:p>
    <w:p w14:paraId="0924A308" w14:textId="77777777" w:rsidR="00AE1A1E" w:rsidRDefault="00AE1A1E" w:rsidP="007047F7">
      <w:pPr>
        <w:rPr>
          <w:b/>
          <w:bCs/>
          <w:sz w:val="32"/>
          <w:szCs w:val="32"/>
        </w:rPr>
      </w:pPr>
      <w:r w:rsidRPr="00156773">
        <w:rPr>
          <w:sz w:val="22"/>
        </w:rPr>
        <w:lastRenderedPageBreak/>
        <w:t>Your objections will be considered when responding to requests under the OIA.</w:t>
      </w:r>
      <w:r>
        <w:rPr>
          <w:b/>
          <w:bCs/>
          <w:sz w:val="32"/>
          <w:szCs w:val="32"/>
        </w:rPr>
        <w:br w:type="page"/>
      </w:r>
    </w:p>
    <w:p w14:paraId="5D8F1417" w14:textId="77777777" w:rsidR="00AE1A1E" w:rsidRPr="003B684E" w:rsidRDefault="00AE1A1E" w:rsidP="00AE1A1E">
      <w:pPr>
        <w:rPr>
          <w:b/>
          <w:bCs/>
          <w:color w:val="121F6B"/>
          <w:sz w:val="32"/>
          <w:szCs w:val="32"/>
        </w:rPr>
      </w:pPr>
      <w:r w:rsidRPr="003B684E">
        <w:rPr>
          <w:b/>
          <w:bCs/>
          <w:color w:val="121F6B"/>
          <w:sz w:val="32"/>
          <w:szCs w:val="32"/>
        </w:rPr>
        <w:lastRenderedPageBreak/>
        <w:t xml:space="preserve">What is the Ministry of Social Development’s role?  </w:t>
      </w:r>
    </w:p>
    <w:p w14:paraId="55029A4F" w14:textId="213CD264" w:rsidR="00AE1A1E" w:rsidRPr="00156773" w:rsidRDefault="009E099D" w:rsidP="00AE1A1E">
      <w:pPr>
        <w:rPr>
          <w:sz w:val="22"/>
        </w:rPr>
      </w:pPr>
      <w:r>
        <w:rPr>
          <w:sz w:val="22"/>
        </w:rPr>
        <w:t>MSD</w:t>
      </w:r>
      <w:r w:rsidR="00AE1A1E" w:rsidRPr="00156773">
        <w:rPr>
          <w:sz w:val="22"/>
        </w:rPr>
        <w:t xml:space="preserve"> is the lead agency for managing and delivering New Zealand’s welfare system. </w:t>
      </w:r>
      <w:r>
        <w:rPr>
          <w:sz w:val="22"/>
        </w:rPr>
        <w:t>MSD’s</w:t>
      </w:r>
      <w:r w:rsidR="00AE1A1E" w:rsidRPr="00156773">
        <w:rPr>
          <w:sz w:val="22"/>
        </w:rPr>
        <w:t xml:space="preserve"> purpose – </w:t>
      </w:r>
      <w:r w:rsidR="00AE1A1E" w:rsidRPr="00156773">
        <w:rPr>
          <w:i/>
          <w:iCs/>
          <w:sz w:val="22"/>
        </w:rPr>
        <w:t>Manaaki Tangata, Manaaki Whānau | We help New Zealanders to be safe, strong and independent</w:t>
      </w:r>
      <w:r w:rsidR="00AE1A1E" w:rsidRPr="00156773">
        <w:rPr>
          <w:sz w:val="22"/>
        </w:rPr>
        <w:t xml:space="preserve"> – forms the basis for what we do.</w:t>
      </w:r>
    </w:p>
    <w:p w14:paraId="5FE6AE60" w14:textId="1134E62A" w:rsidR="00AE1A1E" w:rsidRPr="00156773" w:rsidRDefault="009E099D" w:rsidP="00AE1A1E">
      <w:pPr>
        <w:rPr>
          <w:sz w:val="22"/>
        </w:rPr>
      </w:pPr>
      <w:r>
        <w:rPr>
          <w:sz w:val="22"/>
        </w:rPr>
        <w:t>MSD</w:t>
      </w:r>
      <w:r w:rsidR="00AE1A1E" w:rsidRPr="00156773">
        <w:rPr>
          <w:sz w:val="22"/>
        </w:rPr>
        <w:t xml:space="preserve"> works to build successful individuals, and in turn build strong, healthy families and communities. We work towards this by providing:</w:t>
      </w:r>
    </w:p>
    <w:p w14:paraId="2FBC855F" w14:textId="77777777" w:rsidR="00AE1A1E" w:rsidRPr="00156773" w:rsidRDefault="00AE1A1E" w:rsidP="00AE1A1E">
      <w:pPr>
        <w:pStyle w:val="ListParagraph"/>
        <w:numPr>
          <w:ilvl w:val="0"/>
          <w:numId w:val="36"/>
        </w:numPr>
        <w:rPr>
          <w:rStyle w:val="normaltextrun"/>
          <w:rFonts w:cs="Segoe UI"/>
          <w:sz w:val="22"/>
        </w:rPr>
      </w:pPr>
      <w:r w:rsidRPr="00156773">
        <w:rPr>
          <w:rStyle w:val="normaltextrun"/>
          <w:rFonts w:cs="Segoe UI"/>
          <w:sz w:val="22"/>
        </w:rPr>
        <w:t>support into employment as the public employment agency</w:t>
      </w:r>
    </w:p>
    <w:p w14:paraId="6E5567F3" w14:textId="77777777" w:rsidR="00AE1A1E" w:rsidRPr="00156773" w:rsidRDefault="00AE1A1E" w:rsidP="00AE1A1E">
      <w:pPr>
        <w:pStyle w:val="ListParagraph"/>
        <w:numPr>
          <w:ilvl w:val="0"/>
          <w:numId w:val="36"/>
        </w:numPr>
        <w:rPr>
          <w:rStyle w:val="normaltextrun"/>
          <w:rFonts w:cs="Segoe UI"/>
          <w:sz w:val="22"/>
        </w:rPr>
      </w:pPr>
      <w:r w:rsidRPr="00156773">
        <w:rPr>
          <w:rStyle w:val="normaltextrun"/>
          <w:rFonts w:cs="Segoe UI"/>
          <w:sz w:val="22"/>
        </w:rPr>
        <w:t>income support and New Zealand Superannuation</w:t>
      </w:r>
    </w:p>
    <w:p w14:paraId="5D81B855" w14:textId="77777777" w:rsidR="00AE1A1E" w:rsidRPr="00156773" w:rsidRDefault="00AE1A1E" w:rsidP="00AE1A1E">
      <w:pPr>
        <w:pStyle w:val="ListParagraph"/>
        <w:numPr>
          <w:ilvl w:val="0"/>
          <w:numId w:val="36"/>
        </w:numPr>
        <w:rPr>
          <w:rStyle w:val="normaltextrun"/>
          <w:rFonts w:cs="Segoe UI"/>
          <w:sz w:val="22"/>
        </w:rPr>
      </w:pPr>
      <w:r w:rsidRPr="00156773">
        <w:rPr>
          <w:rStyle w:val="normaltextrun"/>
          <w:rFonts w:cs="Segoe UI"/>
          <w:sz w:val="22"/>
        </w:rPr>
        <w:t>funding to community service providers</w:t>
      </w:r>
    </w:p>
    <w:p w14:paraId="548973D0" w14:textId="77777777" w:rsidR="00AE1A1E" w:rsidRPr="00156773" w:rsidRDefault="00AE1A1E" w:rsidP="00AE1A1E">
      <w:pPr>
        <w:pStyle w:val="ListParagraph"/>
        <w:numPr>
          <w:ilvl w:val="0"/>
          <w:numId w:val="36"/>
        </w:numPr>
        <w:rPr>
          <w:rStyle w:val="normaltextrun"/>
          <w:rFonts w:cs="Segoe UI"/>
          <w:sz w:val="22"/>
        </w:rPr>
      </w:pPr>
      <w:r w:rsidRPr="00156773">
        <w:rPr>
          <w:rStyle w:val="normaltextrun"/>
          <w:rFonts w:cs="Segoe UI"/>
          <w:sz w:val="22"/>
        </w:rPr>
        <w:t>social policy and advice to government</w:t>
      </w:r>
    </w:p>
    <w:p w14:paraId="382CD1B9" w14:textId="77777777" w:rsidR="00AE1A1E" w:rsidRPr="00156773" w:rsidRDefault="00AE1A1E" w:rsidP="00AE1A1E">
      <w:pPr>
        <w:pStyle w:val="ListParagraph"/>
        <w:numPr>
          <w:ilvl w:val="0"/>
          <w:numId w:val="36"/>
        </w:numPr>
        <w:rPr>
          <w:rStyle w:val="normaltextrun"/>
          <w:rFonts w:cs="Segoe UI"/>
          <w:sz w:val="22"/>
        </w:rPr>
      </w:pPr>
      <w:r w:rsidRPr="00156773">
        <w:rPr>
          <w:rStyle w:val="normaltextrun"/>
          <w:rFonts w:cs="Segoe UI"/>
          <w:sz w:val="22"/>
        </w:rPr>
        <w:t>student allowances and loans</w:t>
      </w:r>
    </w:p>
    <w:p w14:paraId="2A7673E9" w14:textId="77777777" w:rsidR="00AE1A1E" w:rsidRPr="00156773" w:rsidRDefault="00AE1A1E" w:rsidP="00AE1A1E">
      <w:pPr>
        <w:pStyle w:val="ListParagraph"/>
        <w:numPr>
          <w:ilvl w:val="0"/>
          <w:numId w:val="36"/>
        </w:numPr>
        <w:rPr>
          <w:rStyle w:val="normaltextrun"/>
          <w:rFonts w:cs="Segoe UI"/>
          <w:sz w:val="22"/>
        </w:rPr>
      </w:pPr>
      <w:r w:rsidRPr="00156773">
        <w:rPr>
          <w:rStyle w:val="normaltextrun"/>
          <w:rFonts w:cs="Segoe UI"/>
          <w:sz w:val="22"/>
        </w:rPr>
        <w:t>housing supports.</w:t>
      </w:r>
    </w:p>
    <w:p w14:paraId="1D4972FC" w14:textId="752983E2" w:rsidR="00AE1A1E" w:rsidRPr="00156773" w:rsidRDefault="009E099D" w:rsidP="00AE1A1E">
      <w:pPr>
        <w:rPr>
          <w:rFonts w:cs="Segoe UI"/>
          <w:sz w:val="22"/>
        </w:rPr>
      </w:pPr>
      <w:r>
        <w:rPr>
          <w:rStyle w:val="normaltextrun"/>
          <w:rFonts w:cs="Segoe UI"/>
          <w:sz w:val="22"/>
        </w:rPr>
        <w:t>MSD</w:t>
      </w:r>
      <w:r w:rsidR="00AE1A1E" w:rsidRPr="00156773">
        <w:rPr>
          <w:rStyle w:val="normaltextrun"/>
          <w:rFonts w:cs="Segoe UI"/>
          <w:sz w:val="22"/>
        </w:rPr>
        <w:t xml:space="preserve"> includes the Office for Seniors, a business unit within the Ministry. It acts as a focal point within government for information and advice on issues affecting older people and their wellbeing, based on sector engagement and good practice. </w:t>
      </w:r>
    </w:p>
    <w:p w14:paraId="25CCF003" w14:textId="77777777" w:rsidR="00AE1A1E" w:rsidRPr="003B684E" w:rsidRDefault="00AE1A1E" w:rsidP="00AE1A1E">
      <w:pPr>
        <w:rPr>
          <w:b/>
          <w:bCs/>
          <w:color w:val="121F6B"/>
          <w:sz w:val="32"/>
          <w:szCs w:val="32"/>
        </w:rPr>
      </w:pPr>
      <w:r w:rsidRPr="003B684E">
        <w:rPr>
          <w:b/>
          <w:bCs/>
          <w:color w:val="121F6B"/>
          <w:sz w:val="32"/>
          <w:szCs w:val="32"/>
        </w:rPr>
        <w:t xml:space="preserve">What </w:t>
      </w:r>
      <w:proofErr w:type="gramStart"/>
      <w:r w:rsidRPr="003B684E">
        <w:rPr>
          <w:b/>
          <w:bCs/>
          <w:color w:val="121F6B"/>
          <w:sz w:val="32"/>
          <w:szCs w:val="32"/>
        </w:rPr>
        <w:t>is</w:t>
      </w:r>
      <w:proofErr w:type="gramEnd"/>
      <w:r w:rsidRPr="003B684E">
        <w:rPr>
          <w:b/>
          <w:bCs/>
          <w:color w:val="121F6B"/>
          <w:sz w:val="32"/>
          <w:szCs w:val="32"/>
        </w:rPr>
        <w:t xml:space="preserve"> a Long-term Insights Briefing? </w:t>
      </w:r>
    </w:p>
    <w:p w14:paraId="42205AFD" w14:textId="77777777" w:rsidR="00AE1A1E" w:rsidRPr="00156773" w:rsidRDefault="00AE1A1E" w:rsidP="00AE1A1E">
      <w:pPr>
        <w:rPr>
          <w:sz w:val="22"/>
        </w:rPr>
      </w:pPr>
      <w:r w:rsidRPr="00156773">
        <w:rPr>
          <w:sz w:val="22"/>
        </w:rPr>
        <w:t xml:space="preserve">Government departments are required to publish a Long-term Insights Briefing (a LTIB) at least once every three years. The purpose of the LTIBs is to share: </w:t>
      </w:r>
    </w:p>
    <w:p w14:paraId="6E4F62B7" w14:textId="77777777" w:rsidR="00AE1A1E" w:rsidRPr="00156773" w:rsidRDefault="00AE1A1E" w:rsidP="00AE1A1E">
      <w:pPr>
        <w:pStyle w:val="ListParagraph"/>
        <w:numPr>
          <w:ilvl w:val="0"/>
          <w:numId w:val="33"/>
        </w:numPr>
        <w:rPr>
          <w:sz w:val="22"/>
        </w:rPr>
      </w:pPr>
      <w:r w:rsidRPr="00156773">
        <w:rPr>
          <w:sz w:val="22"/>
        </w:rPr>
        <w:t>information about medium and long-term trends, risks, and opportunities that affect or may affect New Zealand and New Zealand society</w:t>
      </w:r>
    </w:p>
    <w:p w14:paraId="768AF945" w14:textId="77777777" w:rsidR="00AE1A1E" w:rsidRPr="00156773" w:rsidRDefault="00AE1A1E" w:rsidP="00AE1A1E">
      <w:pPr>
        <w:pStyle w:val="ListParagraph"/>
        <w:numPr>
          <w:ilvl w:val="0"/>
          <w:numId w:val="33"/>
        </w:numPr>
        <w:rPr>
          <w:sz w:val="22"/>
        </w:rPr>
      </w:pPr>
      <w:r w:rsidRPr="00156773">
        <w:rPr>
          <w:sz w:val="22"/>
        </w:rPr>
        <w:t xml:space="preserve">information and impartial analysis, including policy options for responding to these matters. </w:t>
      </w:r>
    </w:p>
    <w:p w14:paraId="4C89B065" w14:textId="29992AF9" w:rsidR="00AE1A1E" w:rsidRPr="00156773" w:rsidRDefault="00AE1A1E" w:rsidP="00AE1A1E">
      <w:pPr>
        <w:rPr>
          <w:sz w:val="22"/>
        </w:rPr>
      </w:pPr>
      <w:r w:rsidRPr="00156773">
        <w:rPr>
          <w:sz w:val="22"/>
        </w:rPr>
        <w:t xml:space="preserve">The LTIBs are not government policy and are independent of </w:t>
      </w:r>
      <w:r w:rsidR="009E099D">
        <w:rPr>
          <w:sz w:val="22"/>
        </w:rPr>
        <w:t>M</w:t>
      </w:r>
      <w:r w:rsidRPr="00156773">
        <w:rPr>
          <w:sz w:val="22"/>
        </w:rPr>
        <w:t xml:space="preserve">inisters. </w:t>
      </w:r>
    </w:p>
    <w:p w14:paraId="5940F4EC" w14:textId="77777777" w:rsidR="00AE1A1E" w:rsidRPr="00156773" w:rsidRDefault="00AE1A1E" w:rsidP="00AE1A1E">
      <w:pPr>
        <w:rPr>
          <w:sz w:val="22"/>
        </w:rPr>
      </w:pPr>
      <w:r w:rsidRPr="00156773">
        <w:rPr>
          <w:sz w:val="22"/>
        </w:rPr>
        <w:t xml:space="preserve">They provide the opportunity to explore and better understand critical issues affecting our future. Departments select the subject matter for the LTIB. They do this by </w:t>
      </w:r>
      <w:proofErr w:type="gramStart"/>
      <w:r w:rsidRPr="00156773">
        <w:rPr>
          <w:sz w:val="22"/>
        </w:rPr>
        <w:t>taking into account</w:t>
      </w:r>
      <w:proofErr w:type="gramEnd"/>
      <w:r w:rsidRPr="00156773">
        <w:rPr>
          <w:sz w:val="22"/>
        </w:rPr>
        <w:t xml:space="preserve"> the purpose of LTIBs and those future trends, risks, and opportunities that are particularly relevant to their department’s functions. </w:t>
      </w:r>
    </w:p>
    <w:p w14:paraId="2C00E098" w14:textId="5181AF8A" w:rsidR="00AE1A1E" w:rsidRPr="00156773" w:rsidRDefault="00AE1A1E" w:rsidP="00AE1A1E">
      <w:pPr>
        <w:rPr>
          <w:sz w:val="22"/>
        </w:rPr>
      </w:pPr>
      <w:r w:rsidRPr="00156773">
        <w:rPr>
          <w:sz w:val="22"/>
        </w:rPr>
        <w:t xml:space="preserve">The legislative requirements </w:t>
      </w:r>
      <w:r w:rsidR="009E099D">
        <w:rPr>
          <w:sz w:val="22"/>
        </w:rPr>
        <w:t>for LTIBs</w:t>
      </w:r>
      <w:r w:rsidRPr="00156773">
        <w:rPr>
          <w:sz w:val="22"/>
        </w:rPr>
        <w:t xml:space="preserve"> are set out in the Public Service Act 2020. This can be found </w:t>
      </w:r>
      <w:r w:rsidR="007C67FF">
        <w:rPr>
          <w:sz w:val="22"/>
        </w:rPr>
        <w:t xml:space="preserve">at </w:t>
      </w:r>
      <w:r w:rsidR="007C67FF" w:rsidRPr="007C67FF">
        <w:t>https://www.legislation.govt.nz/act/public/2020/0040/latest/LMS106159.html</w:t>
      </w:r>
      <w:r w:rsidRPr="00156773">
        <w:rPr>
          <w:sz w:val="22"/>
        </w:rPr>
        <w:t xml:space="preserve">. </w:t>
      </w:r>
    </w:p>
    <w:p w14:paraId="38B4FF69" w14:textId="65CAB9C3" w:rsidR="00AE1A1E" w:rsidRPr="00156773" w:rsidRDefault="00093932" w:rsidP="00AE1A1E">
      <w:pPr>
        <w:rPr>
          <w:sz w:val="22"/>
        </w:rPr>
      </w:pPr>
      <w:r>
        <w:rPr>
          <w:sz w:val="22"/>
        </w:rPr>
        <w:t>MSD</w:t>
      </w:r>
      <w:r w:rsidR="00AE1A1E" w:rsidRPr="00156773">
        <w:rPr>
          <w:sz w:val="22"/>
        </w:rPr>
        <w:t xml:space="preserve"> published its first and only previous LTIB, </w:t>
      </w:r>
      <w:r w:rsidR="00AE1A1E" w:rsidRPr="00156773">
        <w:rPr>
          <w:i/>
          <w:iCs/>
          <w:sz w:val="22"/>
        </w:rPr>
        <w:t>Preparing All Young People for Satisfying and Rewarding Working Lives</w:t>
      </w:r>
      <w:r w:rsidR="00AE1A1E" w:rsidRPr="00156773">
        <w:rPr>
          <w:sz w:val="22"/>
        </w:rPr>
        <w:t xml:space="preserve">, in 2021. This was a joint briefing with the Ministry of Education, Ministry of Women, and the Ministry of Business, Innovation and Employment. A summary is available </w:t>
      </w:r>
      <w:r w:rsidR="007C67FF" w:rsidRPr="007C67FF">
        <w:t>https://www.msd.govt.nz/documents/about-msd-and-our-work/publications-resources/long-term-insights-briefings/a3-summary-preparing-all-young-people-for-satisfying-and-rewarding-lives.pdf</w:t>
      </w:r>
      <w:r w:rsidR="00AE1A1E" w:rsidRPr="00156773">
        <w:rPr>
          <w:sz w:val="22"/>
        </w:rPr>
        <w:t xml:space="preserve">. </w:t>
      </w:r>
    </w:p>
    <w:p w14:paraId="12B730F8" w14:textId="3A0A41EE" w:rsidR="00AE1A1E" w:rsidRPr="003B684E" w:rsidRDefault="00AE1A1E" w:rsidP="00AE1A1E">
      <w:pPr>
        <w:rPr>
          <w:b/>
          <w:bCs/>
          <w:color w:val="121F6B"/>
          <w:sz w:val="32"/>
          <w:szCs w:val="32"/>
        </w:rPr>
      </w:pPr>
      <w:r w:rsidRPr="003B684E">
        <w:rPr>
          <w:b/>
          <w:bCs/>
          <w:color w:val="121F6B"/>
          <w:sz w:val="32"/>
          <w:szCs w:val="32"/>
        </w:rPr>
        <w:lastRenderedPageBreak/>
        <w:t xml:space="preserve">Our proposed LTIB topic: Current and </w:t>
      </w:r>
      <w:r w:rsidR="00093932">
        <w:rPr>
          <w:b/>
          <w:bCs/>
          <w:color w:val="121F6B"/>
          <w:sz w:val="32"/>
          <w:szCs w:val="32"/>
        </w:rPr>
        <w:t>f</w:t>
      </w:r>
      <w:r w:rsidRPr="003B684E">
        <w:rPr>
          <w:b/>
          <w:bCs/>
          <w:color w:val="121F6B"/>
          <w:sz w:val="32"/>
          <w:szCs w:val="32"/>
        </w:rPr>
        <w:t xml:space="preserve">uture </w:t>
      </w:r>
      <w:r w:rsidR="00093932">
        <w:rPr>
          <w:b/>
          <w:bCs/>
          <w:color w:val="121F6B"/>
          <w:sz w:val="32"/>
          <w:szCs w:val="32"/>
        </w:rPr>
        <w:t>d</w:t>
      </w:r>
      <w:r w:rsidRPr="003B684E">
        <w:rPr>
          <w:b/>
          <w:bCs/>
          <w:color w:val="121F6B"/>
          <w:sz w:val="32"/>
          <w:szCs w:val="32"/>
        </w:rPr>
        <w:t xml:space="preserve">isadvantage for </w:t>
      </w:r>
      <w:r w:rsidR="00093932">
        <w:rPr>
          <w:b/>
          <w:bCs/>
          <w:color w:val="121F6B"/>
          <w:sz w:val="32"/>
          <w:szCs w:val="32"/>
        </w:rPr>
        <w:t>o</w:t>
      </w:r>
      <w:r w:rsidRPr="003B684E">
        <w:rPr>
          <w:b/>
          <w:bCs/>
          <w:color w:val="121F6B"/>
          <w:sz w:val="32"/>
          <w:szCs w:val="32"/>
        </w:rPr>
        <w:t>lder New Zealanders</w:t>
      </w:r>
    </w:p>
    <w:p w14:paraId="18DE5B0F" w14:textId="77777777" w:rsidR="00AE1A1E" w:rsidRPr="003B684E" w:rsidRDefault="00AE1A1E" w:rsidP="00AE1A1E">
      <w:pPr>
        <w:rPr>
          <w:b/>
          <w:bCs/>
          <w:color w:val="005788"/>
          <w:sz w:val="28"/>
          <w:szCs w:val="28"/>
        </w:rPr>
      </w:pPr>
      <w:r w:rsidRPr="003B684E">
        <w:rPr>
          <w:b/>
          <w:bCs/>
          <w:color w:val="005788"/>
          <w:sz w:val="28"/>
          <w:szCs w:val="28"/>
        </w:rPr>
        <w:t xml:space="preserve">What would this topic include? </w:t>
      </w:r>
    </w:p>
    <w:p w14:paraId="2558146F" w14:textId="77777777" w:rsidR="00AE1A1E" w:rsidRPr="00156773" w:rsidRDefault="00AE1A1E" w:rsidP="00AE1A1E">
      <w:pPr>
        <w:rPr>
          <w:b/>
          <w:bCs/>
          <w:color w:val="0070C0"/>
          <w:sz w:val="22"/>
        </w:rPr>
      </w:pPr>
      <w:r w:rsidRPr="00156773">
        <w:rPr>
          <w:sz w:val="22"/>
        </w:rPr>
        <w:t xml:space="preserve">The topic that MSD intends to consult on is </w:t>
      </w:r>
      <w:r w:rsidRPr="00156773">
        <w:rPr>
          <w:i/>
          <w:iCs/>
          <w:sz w:val="22"/>
        </w:rPr>
        <w:t>current and future patterns of disadvantage for older New Zealanders, and policies and services that prevent and/or mitigate this disadvantage</w:t>
      </w:r>
      <w:r w:rsidRPr="00156773">
        <w:rPr>
          <w:sz w:val="22"/>
        </w:rPr>
        <w:t xml:space="preserve">. </w:t>
      </w:r>
    </w:p>
    <w:p w14:paraId="3F14B2D4" w14:textId="77777777" w:rsidR="00AE1A1E" w:rsidRPr="003B684E" w:rsidRDefault="00AE1A1E" w:rsidP="00AE1A1E">
      <w:pPr>
        <w:rPr>
          <w:b/>
          <w:bCs/>
          <w:color w:val="005788"/>
          <w:sz w:val="28"/>
          <w:szCs w:val="28"/>
        </w:rPr>
      </w:pPr>
      <w:r w:rsidRPr="003B684E">
        <w:rPr>
          <w:b/>
          <w:bCs/>
          <w:color w:val="005788"/>
          <w:sz w:val="28"/>
          <w:szCs w:val="28"/>
        </w:rPr>
        <w:t>Why are we proposing this topic for our LTIB?</w:t>
      </w:r>
    </w:p>
    <w:p w14:paraId="181D33F4" w14:textId="66B9CA1D" w:rsidR="00AE1A1E" w:rsidRPr="00652B98" w:rsidRDefault="00AE1A1E" w:rsidP="00AE1A1E">
      <w:pPr>
        <w:rPr>
          <w:sz w:val="22"/>
        </w:rPr>
      </w:pPr>
      <w:r w:rsidRPr="00652B98">
        <w:rPr>
          <w:sz w:val="22"/>
        </w:rPr>
        <w:t>MSD has chosen the topic</w:t>
      </w:r>
      <w:r w:rsidR="00093932">
        <w:rPr>
          <w:sz w:val="22"/>
        </w:rPr>
        <w:t xml:space="preserve"> because</w:t>
      </w:r>
      <w:r w:rsidRPr="00652B98">
        <w:rPr>
          <w:sz w:val="22"/>
        </w:rPr>
        <w:t xml:space="preserve"> </w:t>
      </w:r>
      <w:r>
        <w:rPr>
          <w:sz w:val="22"/>
        </w:rPr>
        <w:t xml:space="preserve">evidence suggests </w:t>
      </w:r>
      <w:r w:rsidRPr="00AE1A1E">
        <w:rPr>
          <w:sz w:val="22"/>
        </w:rPr>
        <w:t>disadvantage for older</w:t>
      </w:r>
      <w:r>
        <w:rPr>
          <w:sz w:val="22"/>
        </w:rPr>
        <w:t xml:space="preserve"> people has the potential to become an issue of increasing significance for New Zealand</w:t>
      </w:r>
      <w:r w:rsidR="000328E4">
        <w:rPr>
          <w:sz w:val="22"/>
        </w:rPr>
        <w:t xml:space="preserve">. A </w:t>
      </w:r>
      <w:r w:rsidR="004905B8">
        <w:rPr>
          <w:sz w:val="22"/>
        </w:rPr>
        <w:t>high-level</w:t>
      </w:r>
      <w:r w:rsidR="000328E4">
        <w:rPr>
          <w:sz w:val="22"/>
        </w:rPr>
        <w:t xml:space="preserve"> summary of </w:t>
      </w:r>
      <w:r w:rsidR="004905B8">
        <w:rPr>
          <w:sz w:val="22"/>
        </w:rPr>
        <w:t xml:space="preserve">some of </w:t>
      </w:r>
      <w:r w:rsidR="000328E4">
        <w:rPr>
          <w:sz w:val="22"/>
        </w:rPr>
        <w:t xml:space="preserve">this evidence is below, which we intend to </w:t>
      </w:r>
      <w:r w:rsidR="004905B8">
        <w:rPr>
          <w:sz w:val="22"/>
        </w:rPr>
        <w:t>build on</w:t>
      </w:r>
      <w:r w:rsidR="000328E4">
        <w:rPr>
          <w:sz w:val="22"/>
        </w:rPr>
        <w:t xml:space="preserve"> through the </w:t>
      </w:r>
      <w:r w:rsidR="004905B8">
        <w:rPr>
          <w:sz w:val="22"/>
        </w:rPr>
        <w:t xml:space="preserve">analysis undertaken as part of the </w:t>
      </w:r>
      <w:r w:rsidR="000328E4">
        <w:rPr>
          <w:sz w:val="22"/>
        </w:rPr>
        <w:t>development of the LTIB in early 2025</w:t>
      </w:r>
      <w:r w:rsidR="004C4309">
        <w:rPr>
          <w:sz w:val="22"/>
        </w:rPr>
        <w:t xml:space="preserve">. </w:t>
      </w:r>
    </w:p>
    <w:p w14:paraId="335ECF50" w14:textId="164D2ADF" w:rsidR="00AE1A1E" w:rsidRPr="003B684E" w:rsidRDefault="000328E4" w:rsidP="00AE1A1E">
      <w:pPr>
        <w:rPr>
          <w:b/>
          <w:bCs/>
          <w:sz w:val="22"/>
        </w:rPr>
      </w:pPr>
      <w:r>
        <w:rPr>
          <w:b/>
          <w:bCs/>
          <w:sz w:val="22"/>
        </w:rPr>
        <w:t>We know that o</w:t>
      </w:r>
      <w:r w:rsidR="00AE1A1E" w:rsidRPr="003B684E">
        <w:rPr>
          <w:b/>
          <w:bCs/>
          <w:sz w:val="22"/>
        </w:rPr>
        <w:t>ur population is ageing</w:t>
      </w:r>
      <w:r w:rsidR="00AE1A1E">
        <w:rPr>
          <w:b/>
          <w:bCs/>
          <w:sz w:val="22"/>
        </w:rPr>
        <w:t>.</w:t>
      </w:r>
    </w:p>
    <w:p w14:paraId="57440854" w14:textId="351B8544" w:rsidR="00AE1A1E" w:rsidRPr="00156773" w:rsidRDefault="00AE1A1E" w:rsidP="00AE1A1E">
      <w:pPr>
        <w:pStyle w:val="ReportBody"/>
        <w:numPr>
          <w:ilvl w:val="0"/>
          <w:numId w:val="0"/>
        </w:numPr>
        <w:rPr>
          <w:szCs w:val="22"/>
        </w:rPr>
      </w:pPr>
      <w:r w:rsidRPr="00156773">
        <w:rPr>
          <w:szCs w:val="22"/>
        </w:rPr>
        <w:t xml:space="preserve">Within the next two years, the number of New Zealanders aged 65+ will surpass the number </w:t>
      </w:r>
      <w:r w:rsidR="00251F22">
        <w:rPr>
          <w:szCs w:val="22"/>
        </w:rPr>
        <w:t xml:space="preserve">of children </w:t>
      </w:r>
      <w:r w:rsidRPr="00156773">
        <w:rPr>
          <w:szCs w:val="22"/>
        </w:rPr>
        <w:t>aged 0 – 14 for the first time.</w:t>
      </w:r>
      <w:r w:rsidR="00FD2828">
        <w:rPr>
          <w:rStyle w:val="FootnoteReference"/>
          <w:szCs w:val="22"/>
        </w:rPr>
        <w:footnoteReference w:id="2"/>
      </w:r>
      <w:r w:rsidRPr="00156773">
        <w:rPr>
          <w:szCs w:val="22"/>
        </w:rPr>
        <w:t xml:space="preserve"> This is a </w:t>
      </w:r>
      <w:r w:rsidR="005C48FD">
        <w:rPr>
          <w:szCs w:val="22"/>
        </w:rPr>
        <w:t>result</w:t>
      </w:r>
      <w:r w:rsidR="005C48FD" w:rsidRPr="00156773">
        <w:rPr>
          <w:szCs w:val="22"/>
        </w:rPr>
        <w:t xml:space="preserve"> </w:t>
      </w:r>
      <w:r w:rsidRPr="00156773">
        <w:rPr>
          <w:szCs w:val="22"/>
        </w:rPr>
        <w:t>of the long-term ageing of our population</w:t>
      </w:r>
      <w:r w:rsidR="005C48FD">
        <w:rPr>
          <w:szCs w:val="22"/>
        </w:rPr>
        <w:t xml:space="preserve"> -</w:t>
      </w:r>
      <w:r w:rsidRPr="00156773">
        <w:rPr>
          <w:szCs w:val="22"/>
        </w:rPr>
        <w:t xml:space="preserve"> a trend we have in common with virtually every other country. Population ageing is a result of two factors: lengthening lifespans and declining birth rates. It results in two related shifts with significant implications for many areas of </w:t>
      </w:r>
      <w:r w:rsidR="00093932">
        <w:rPr>
          <w:szCs w:val="22"/>
        </w:rPr>
        <w:t>g</w:t>
      </w:r>
      <w:r w:rsidRPr="00156773">
        <w:rPr>
          <w:szCs w:val="22"/>
        </w:rPr>
        <w:t>overnment policy:</w:t>
      </w:r>
    </w:p>
    <w:p w14:paraId="4E31F429" w14:textId="4E1E90A8" w:rsidR="00183E45" w:rsidRDefault="00AE1A1E" w:rsidP="00AE1A1E">
      <w:pPr>
        <w:pStyle w:val="ReportBody"/>
        <w:numPr>
          <w:ilvl w:val="0"/>
          <w:numId w:val="38"/>
        </w:numPr>
        <w:rPr>
          <w:szCs w:val="22"/>
        </w:rPr>
      </w:pPr>
      <w:r w:rsidRPr="00156773">
        <w:rPr>
          <w:szCs w:val="22"/>
        </w:rPr>
        <w:t>A substantial increase in the total number of older people – especially within older age brackets</w:t>
      </w:r>
      <w:r w:rsidR="003C6DC9">
        <w:rPr>
          <w:szCs w:val="22"/>
        </w:rPr>
        <w:t>:</w:t>
      </w:r>
      <w:r w:rsidRPr="00156773">
        <w:rPr>
          <w:szCs w:val="22"/>
        </w:rPr>
        <w:t xml:space="preserve"> </w:t>
      </w:r>
    </w:p>
    <w:p w14:paraId="007C0D66" w14:textId="77777777" w:rsidR="00183E45" w:rsidRDefault="00AE1A1E" w:rsidP="00183E45">
      <w:pPr>
        <w:pStyle w:val="ReportBody"/>
        <w:numPr>
          <w:ilvl w:val="1"/>
          <w:numId w:val="38"/>
        </w:numPr>
        <w:rPr>
          <w:szCs w:val="22"/>
        </w:rPr>
      </w:pPr>
      <w:r w:rsidRPr="00156773">
        <w:rPr>
          <w:szCs w:val="22"/>
        </w:rPr>
        <w:t xml:space="preserve">By 2035 there will be a projected additional 320,000 New Zealanders aged 65+, of which 78,000 will be aged 85+. </w:t>
      </w:r>
    </w:p>
    <w:p w14:paraId="6800574E" w14:textId="20874558" w:rsidR="00AE1A1E" w:rsidRPr="00156773" w:rsidRDefault="00AE1A1E" w:rsidP="00183E45">
      <w:pPr>
        <w:pStyle w:val="ReportBody"/>
        <w:numPr>
          <w:ilvl w:val="1"/>
          <w:numId w:val="38"/>
        </w:numPr>
        <w:rPr>
          <w:szCs w:val="22"/>
        </w:rPr>
      </w:pPr>
      <w:r w:rsidRPr="00156773">
        <w:rPr>
          <w:szCs w:val="22"/>
        </w:rPr>
        <w:t>By 2055 there will be about 670,000 additional New Zealanders aged 65+, of which 239,000 will be aged 85+, as compared to today.</w:t>
      </w:r>
    </w:p>
    <w:p w14:paraId="70222E8A" w14:textId="65716058" w:rsidR="00AE1A1E" w:rsidRPr="00156773" w:rsidRDefault="00AE1A1E" w:rsidP="00AE1A1E">
      <w:pPr>
        <w:pStyle w:val="ReportBody"/>
        <w:numPr>
          <w:ilvl w:val="0"/>
          <w:numId w:val="38"/>
        </w:numPr>
        <w:rPr>
          <w:szCs w:val="22"/>
        </w:rPr>
      </w:pPr>
      <w:r w:rsidRPr="00156773">
        <w:rPr>
          <w:szCs w:val="22"/>
        </w:rPr>
        <w:t xml:space="preserve">A shift in our </w:t>
      </w:r>
      <w:r w:rsidR="00A35944">
        <w:rPr>
          <w:szCs w:val="22"/>
        </w:rPr>
        <w:t xml:space="preserve">age </w:t>
      </w:r>
      <w:r w:rsidRPr="00156773">
        <w:rPr>
          <w:szCs w:val="22"/>
        </w:rPr>
        <w:t>demography; currently 17</w:t>
      </w:r>
      <w:r w:rsidR="00093932">
        <w:rPr>
          <w:szCs w:val="22"/>
        </w:rPr>
        <w:t xml:space="preserve"> percent</w:t>
      </w:r>
      <w:r w:rsidRPr="00156773">
        <w:rPr>
          <w:szCs w:val="22"/>
        </w:rPr>
        <w:t xml:space="preserve"> of the population is aged 65+ and </w:t>
      </w:r>
      <w:r w:rsidR="00231CC3">
        <w:rPr>
          <w:szCs w:val="22"/>
        </w:rPr>
        <w:t>2</w:t>
      </w:r>
      <w:r w:rsidR="00093932">
        <w:rPr>
          <w:szCs w:val="22"/>
        </w:rPr>
        <w:t xml:space="preserve"> percent</w:t>
      </w:r>
      <w:r w:rsidRPr="00156773">
        <w:rPr>
          <w:szCs w:val="22"/>
        </w:rPr>
        <w:t xml:space="preserve"> is aged 85+. By 2035 these figures will be 21</w:t>
      </w:r>
      <w:r w:rsidR="00093932">
        <w:rPr>
          <w:szCs w:val="22"/>
        </w:rPr>
        <w:t xml:space="preserve"> percent</w:t>
      </w:r>
      <w:r w:rsidRPr="00156773">
        <w:rPr>
          <w:szCs w:val="22"/>
        </w:rPr>
        <w:t xml:space="preserve"> and 3</w:t>
      </w:r>
      <w:r w:rsidR="00093932">
        <w:rPr>
          <w:szCs w:val="22"/>
        </w:rPr>
        <w:t xml:space="preserve"> percent</w:t>
      </w:r>
      <w:r w:rsidRPr="00156773">
        <w:rPr>
          <w:szCs w:val="22"/>
        </w:rPr>
        <w:t xml:space="preserve"> respectively, and by 2055 they will reach 24</w:t>
      </w:r>
      <w:r w:rsidR="00093932">
        <w:rPr>
          <w:szCs w:val="22"/>
        </w:rPr>
        <w:t xml:space="preserve"> percent</w:t>
      </w:r>
      <w:r w:rsidRPr="00156773">
        <w:rPr>
          <w:szCs w:val="22"/>
        </w:rPr>
        <w:t xml:space="preserve"> and 5</w:t>
      </w:r>
      <w:r w:rsidR="00093932">
        <w:rPr>
          <w:szCs w:val="22"/>
        </w:rPr>
        <w:t xml:space="preserve"> percent</w:t>
      </w:r>
      <w:r w:rsidRPr="00156773">
        <w:rPr>
          <w:szCs w:val="22"/>
        </w:rPr>
        <w:t>.</w:t>
      </w:r>
      <w:r w:rsidR="003C6DC9">
        <w:rPr>
          <w:rStyle w:val="FootnoteReference"/>
          <w:szCs w:val="22"/>
        </w:rPr>
        <w:footnoteReference w:id="3"/>
      </w:r>
      <w:r w:rsidRPr="00156773">
        <w:rPr>
          <w:szCs w:val="22"/>
        </w:rPr>
        <w:t xml:space="preserve"> </w:t>
      </w:r>
    </w:p>
    <w:p w14:paraId="6A6050DA" w14:textId="66D91FEB" w:rsidR="00AE1A1E" w:rsidRPr="00156773" w:rsidRDefault="00AE1A1E" w:rsidP="00AE1A1E">
      <w:pPr>
        <w:pStyle w:val="ReportBody"/>
        <w:numPr>
          <w:ilvl w:val="0"/>
          <w:numId w:val="0"/>
        </w:numPr>
        <w:rPr>
          <w:szCs w:val="22"/>
        </w:rPr>
      </w:pPr>
      <w:r w:rsidRPr="00156773">
        <w:rPr>
          <w:szCs w:val="22"/>
        </w:rPr>
        <w:t xml:space="preserve">Contrary to some popular portrayals, </w:t>
      </w:r>
      <w:r w:rsidR="00A35944" w:rsidRPr="00156773">
        <w:rPr>
          <w:szCs w:val="22"/>
        </w:rPr>
        <w:t>th</w:t>
      </w:r>
      <w:r w:rsidR="00A35944">
        <w:rPr>
          <w:szCs w:val="22"/>
        </w:rPr>
        <w:t>ese changes to our population are</w:t>
      </w:r>
      <w:r w:rsidRPr="00156773">
        <w:rPr>
          <w:szCs w:val="22"/>
        </w:rPr>
        <w:t xml:space="preserve"> not a temporary result of a population “bulge” moving through the age brackets. It is a permanent shift to the age structure of our society. </w:t>
      </w:r>
    </w:p>
    <w:p w14:paraId="1A4E4791" w14:textId="7553C30E" w:rsidR="00E13656" w:rsidRPr="00E13656" w:rsidRDefault="00E13656" w:rsidP="00E13656">
      <w:pPr>
        <w:pStyle w:val="ReportBody"/>
        <w:numPr>
          <w:ilvl w:val="0"/>
          <w:numId w:val="0"/>
        </w:numPr>
        <w:rPr>
          <w:szCs w:val="22"/>
        </w:rPr>
      </w:pPr>
      <w:r>
        <w:rPr>
          <w:szCs w:val="22"/>
        </w:rPr>
        <w:t>T</w:t>
      </w:r>
      <w:r w:rsidR="00AE1A1E" w:rsidRPr="00156773">
        <w:rPr>
          <w:szCs w:val="22"/>
        </w:rPr>
        <w:t>he population aged 65+ will</w:t>
      </w:r>
      <w:r w:rsidR="00DF7632">
        <w:rPr>
          <w:szCs w:val="22"/>
        </w:rPr>
        <w:t xml:space="preserve"> also</w:t>
      </w:r>
      <w:r w:rsidR="00AE1A1E" w:rsidRPr="00156773">
        <w:rPr>
          <w:szCs w:val="22"/>
        </w:rPr>
        <w:t xml:space="preserve"> become increasingly diverse. </w:t>
      </w:r>
      <w:r w:rsidRPr="00FD6EE1">
        <w:rPr>
          <w:lang w:eastAsia="x-none"/>
        </w:rPr>
        <w:t>It is projected that, of those who are over 65, the proportion who are:</w:t>
      </w:r>
      <w:r w:rsidR="003C6DC9">
        <w:rPr>
          <w:rStyle w:val="FootnoteReference"/>
          <w:lang w:eastAsia="x-none"/>
        </w:rPr>
        <w:footnoteReference w:id="4"/>
      </w:r>
      <w:r w:rsidRPr="00FD6EE1">
        <w:rPr>
          <w:lang w:eastAsia="x-none"/>
        </w:rPr>
        <w:t xml:space="preserve"> </w:t>
      </w:r>
    </w:p>
    <w:p w14:paraId="481C3614" w14:textId="47C7C628" w:rsidR="00E13656" w:rsidRDefault="00E13656" w:rsidP="00E13656">
      <w:pPr>
        <w:pStyle w:val="ListParagraph"/>
        <w:numPr>
          <w:ilvl w:val="0"/>
          <w:numId w:val="34"/>
        </w:numPr>
        <w:rPr>
          <w:sz w:val="22"/>
        </w:rPr>
      </w:pPr>
      <w:r>
        <w:rPr>
          <w:sz w:val="22"/>
        </w:rPr>
        <w:lastRenderedPageBreak/>
        <w:t>European will decrease from 83</w:t>
      </w:r>
      <w:r w:rsidR="00093932">
        <w:rPr>
          <w:sz w:val="22"/>
        </w:rPr>
        <w:t xml:space="preserve"> percent</w:t>
      </w:r>
      <w:r>
        <w:rPr>
          <w:sz w:val="22"/>
        </w:rPr>
        <w:t xml:space="preserve"> in 2023 to 79</w:t>
      </w:r>
      <w:r w:rsidR="00093932">
        <w:rPr>
          <w:sz w:val="22"/>
        </w:rPr>
        <w:t xml:space="preserve"> percent</w:t>
      </w:r>
      <w:r>
        <w:rPr>
          <w:sz w:val="22"/>
        </w:rPr>
        <w:t xml:space="preserve"> by 2033 and 75</w:t>
      </w:r>
      <w:r w:rsidR="00093932">
        <w:rPr>
          <w:sz w:val="22"/>
        </w:rPr>
        <w:t xml:space="preserve"> percent</w:t>
      </w:r>
      <w:r>
        <w:rPr>
          <w:sz w:val="22"/>
        </w:rPr>
        <w:t xml:space="preserve"> by 2043.</w:t>
      </w:r>
    </w:p>
    <w:p w14:paraId="7D538424" w14:textId="19908CA3" w:rsidR="00E13656" w:rsidRDefault="00E13656" w:rsidP="00E13656">
      <w:pPr>
        <w:pStyle w:val="ListParagraph"/>
        <w:numPr>
          <w:ilvl w:val="0"/>
          <w:numId w:val="34"/>
        </w:numPr>
        <w:rPr>
          <w:sz w:val="22"/>
        </w:rPr>
      </w:pPr>
      <w:r w:rsidRPr="006A2F94">
        <w:rPr>
          <w:sz w:val="22"/>
        </w:rPr>
        <w:t>Māori</w:t>
      </w:r>
      <w:r>
        <w:rPr>
          <w:sz w:val="22"/>
        </w:rPr>
        <w:t xml:space="preserve"> will</w:t>
      </w:r>
      <w:r w:rsidRPr="006A2F94">
        <w:rPr>
          <w:sz w:val="22"/>
        </w:rPr>
        <w:t xml:space="preserve"> increase </w:t>
      </w:r>
      <w:r>
        <w:rPr>
          <w:sz w:val="22"/>
        </w:rPr>
        <w:t>from 8</w:t>
      </w:r>
      <w:r w:rsidR="00093932">
        <w:rPr>
          <w:sz w:val="22"/>
        </w:rPr>
        <w:t xml:space="preserve"> percent</w:t>
      </w:r>
      <w:r>
        <w:rPr>
          <w:sz w:val="22"/>
        </w:rPr>
        <w:t xml:space="preserve"> in 2023 </w:t>
      </w:r>
      <w:r w:rsidRPr="006A2F94">
        <w:rPr>
          <w:sz w:val="22"/>
        </w:rPr>
        <w:t xml:space="preserve">to </w:t>
      </w:r>
      <w:r>
        <w:rPr>
          <w:sz w:val="22"/>
        </w:rPr>
        <w:t>10</w:t>
      </w:r>
      <w:r w:rsidR="00093932">
        <w:rPr>
          <w:sz w:val="22"/>
        </w:rPr>
        <w:t xml:space="preserve"> percent</w:t>
      </w:r>
      <w:r w:rsidRPr="006A2F94">
        <w:rPr>
          <w:sz w:val="22"/>
        </w:rPr>
        <w:t xml:space="preserve"> </w:t>
      </w:r>
      <w:r>
        <w:rPr>
          <w:sz w:val="22"/>
        </w:rPr>
        <w:t>by</w:t>
      </w:r>
      <w:r w:rsidRPr="006A2F94">
        <w:rPr>
          <w:sz w:val="22"/>
        </w:rPr>
        <w:t xml:space="preserve"> 203</w:t>
      </w:r>
      <w:r>
        <w:rPr>
          <w:sz w:val="22"/>
        </w:rPr>
        <w:t>3</w:t>
      </w:r>
      <w:r w:rsidRPr="006A2F94">
        <w:rPr>
          <w:sz w:val="22"/>
        </w:rPr>
        <w:t xml:space="preserve">, and </w:t>
      </w:r>
      <w:r>
        <w:rPr>
          <w:sz w:val="22"/>
        </w:rPr>
        <w:t>11</w:t>
      </w:r>
      <w:r w:rsidR="00093932">
        <w:rPr>
          <w:sz w:val="22"/>
        </w:rPr>
        <w:t xml:space="preserve"> percent</w:t>
      </w:r>
      <w:r w:rsidRPr="006A2F94">
        <w:rPr>
          <w:sz w:val="22"/>
        </w:rPr>
        <w:t xml:space="preserve"> </w:t>
      </w:r>
      <w:r>
        <w:rPr>
          <w:sz w:val="22"/>
        </w:rPr>
        <w:t>by</w:t>
      </w:r>
      <w:r w:rsidRPr="006A2F94">
        <w:rPr>
          <w:sz w:val="22"/>
        </w:rPr>
        <w:t xml:space="preserve"> 204</w:t>
      </w:r>
      <w:r>
        <w:rPr>
          <w:sz w:val="22"/>
        </w:rPr>
        <w:t>3</w:t>
      </w:r>
      <w:r w:rsidRPr="006A2F94">
        <w:rPr>
          <w:sz w:val="22"/>
        </w:rPr>
        <w:t>.</w:t>
      </w:r>
      <w:r>
        <w:rPr>
          <w:sz w:val="22"/>
        </w:rPr>
        <w:t xml:space="preserve"> </w:t>
      </w:r>
    </w:p>
    <w:p w14:paraId="080141FB" w14:textId="11558ADC" w:rsidR="00E13656" w:rsidRDefault="00E13656" w:rsidP="00E13656">
      <w:pPr>
        <w:pStyle w:val="ListParagraph"/>
        <w:numPr>
          <w:ilvl w:val="0"/>
          <w:numId w:val="34"/>
        </w:numPr>
        <w:rPr>
          <w:sz w:val="22"/>
        </w:rPr>
      </w:pPr>
      <w:r>
        <w:rPr>
          <w:sz w:val="22"/>
        </w:rPr>
        <w:t xml:space="preserve">Pacific will </w:t>
      </w:r>
      <w:r w:rsidRPr="006A2F94">
        <w:rPr>
          <w:sz w:val="22"/>
        </w:rPr>
        <w:t xml:space="preserve">increase </w:t>
      </w:r>
      <w:r>
        <w:rPr>
          <w:sz w:val="22"/>
        </w:rPr>
        <w:t>from 3</w:t>
      </w:r>
      <w:r w:rsidR="00093932">
        <w:rPr>
          <w:sz w:val="22"/>
        </w:rPr>
        <w:t xml:space="preserve"> percent</w:t>
      </w:r>
      <w:r>
        <w:rPr>
          <w:sz w:val="22"/>
        </w:rPr>
        <w:t xml:space="preserve"> in 2023 </w:t>
      </w:r>
      <w:r w:rsidRPr="006A2F94">
        <w:rPr>
          <w:sz w:val="22"/>
        </w:rPr>
        <w:t xml:space="preserve">to </w:t>
      </w:r>
      <w:r>
        <w:rPr>
          <w:sz w:val="22"/>
        </w:rPr>
        <w:t>4</w:t>
      </w:r>
      <w:r w:rsidR="00093932">
        <w:rPr>
          <w:sz w:val="22"/>
        </w:rPr>
        <w:t xml:space="preserve"> percent</w:t>
      </w:r>
      <w:r w:rsidRPr="006A2F94">
        <w:rPr>
          <w:sz w:val="22"/>
        </w:rPr>
        <w:t xml:space="preserve"> </w:t>
      </w:r>
      <w:r>
        <w:rPr>
          <w:sz w:val="22"/>
        </w:rPr>
        <w:t>by</w:t>
      </w:r>
      <w:r w:rsidRPr="006A2F94">
        <w:rPr>
          <w:sz w:val="22"/>
        </w:rPr>
        <w:t xml:space="preserve"> 203</w:t>
      </w:r>
      <w:r>
        <w:rPr>
          <w:sz w:val="22"/>
        </w:rPr>
        <w:t>3</w:t>
      </w:r>
      <w:r w:rsidRPr="006A2F94">
        <w:rPr>
          <w:sz w:val="22"/>
        </w:rPr>
        <w:t xml:space="preserve">, and </w:t>
      </w:r>
      <w:r>
        <w:rPr>
          <w:sz w:val="22"/>
        </w:rPr>
        <w:t>5</w:t>
      </w:r>
      <w:r w:rsidR="00093932">
        <w:rPr>
          <w:sz w:val="22"/>
        </w:rPr>
        <w:t xml:space="preserve"> percent</w:t>
      </w:r>
      <w:r w:rsidRPr="006A2F94">
        <w:rPr>
          <w:sz w:val="22"/>
        </w:rPr>
        <w:t xml:space="preserve"> </w:t>
      </w:r>
      <w:r>
        <w:rPr>
          <w:sz w:val="22"/>
        </w:rPr>
        <w:t>by</w:t>
      </w:r>
      <w:r w:rsidRPr="006A2F94">
        <w:rPr>
          <w:sz w:val="22"/>
        </w:rPr>
        <w:t xml:space="preserve"> 204</w:t>
      </w:r>
      <w:r>
        <w:rPr>
          <w:sz w:val="22"/>
        </w:rPr>
        <w:t>3</w:t>
      </w:r>
      <w:r w:rsidRPr="006A2F94">
        <w:rPr>
          <w:sz w:val="22"/>
        </w:rPr>
        <w:t>.</w:t>
      </w:r>
      <w:r>
        <w:rPr>
          <w:sz w:val="22"/>
        </w:rPr>
        <w:t xml:space="preserve"> </w:t>
      </w:r>
    </w:p>
    <w:p w14:paraId="334CF90D" w14:textId="3BB20EFB" w:rsidR="00E13656" w:rsidRPr="00F36103" w:rsidRDefault="00E13656" w:rsidP="00E13656">
      <w:pPr>
        <w:pStyle w:val="ListParagraph"/>
        <w:numPr>
          <w:ilvl w:val="0"/>
          <w:numId w:val="34"/>
        </w:numPr>
        <w:rPr>
          <w:sz w:val="22"/>
        </w:rPr>
      </w:pPr>
      <w:r>
        <w:rPr>
          <w:sz w:val="22"/>
        </w:rPr>
        <w:t xml:space="preserve">Asian will </w:t>
      </w:r>
      <w:r w:rsidRPr="006A2F94">
        <w:rPr>
          <w:sz w:val="22"/>
        </w:rPr>
        <w:t xml:space="preserve">increase </w:t>
      </w:r>
      <w:r>
        <w:rPr>
          <w:sz w:val="22"/>
        </w:rPr>
        <w:t>from 9</w:t>
      </w:r>
      <w:r w:rsidR="00093932">
        <w:rPr>
          <w:sz w:val="22"/>
        </w:rPr>
        <w:t xml:space="preserve"> percent</w:t>
      </w:r>
      <w:r>
        <w:rPr>
          <w:sz w:val="22"/>
        </w:rPr>
        <w:t xml:space="preserve"> in 2023 </w:t>
      </w:r>
      <w:r w:rsidRPr="006A2F94">
        <w:rPr>
          <w:sz w:val="22"/>
        </w:rPr>
        <w:t xml:space="preserve">to </w:t>
      </w:r>
      <w:r>
        <w:rPr>
          <w:sz w:val="22"/>
        </w:rPr>
        <w:t>12</w:t>
      </w:r>
      <w:r w:rsidR="00093932">
        <w:rPr>
          <w:sz w:val="22"/>
        </w:rPr>
        <w:t xml:space="preserve"> percent</w:t>
      </w:r>
      <w:r w:rsidRPr="006A2F94">
        <w:rPr>
          <w:sz w:val="22"/>
        </w:rPr>
        <w:t xml:space="preserve"> </w:t>
      </w:r>
      <w:r>
        <w:rPr>
          <w:sz w:val="22"/>
        </w:rPr>
        <w:t>by</w:t>
      </w:r>
      <w:r w:rsidRPr="006A2F94">
        <w:rPr>
          <w:sz w:val="22"/>
        </w:rPr>
        <w:t xml:space="preserve"> 203</w:t>
      </w:r>
      <w:r>
        <w:rPr>
          <w:sz w:val="22"/>
        </w:rPr>
        <w:t>3</w:t>
      </w:r>
      <w:r w:rsidRPr="006A2F94">
        <w:rPr>
          <w:sz w:val="22"/>
        </w:rPr>
        <w:t xml:space="preserve">, and </w:t>
      </w:r>
      <w:r>
        <w:rPr>
          <w:sz w:val="22"/>
        </w:rPr>
        <w:t>15</w:t>
      </w:r>
      <w:r w:rsidR="00093932">
        <w:rPr>
          <w:sz w:val="22"/>
        </w:rPr>
        <w:t xml:space="preserve"> percent</w:t>
      </w:r>
      <w:r w:rsidRPr="006A2F94">
        <w:rPr>
          <w:sz w:val="22"/>
        </w:rPr>
        <w:t xml:space="preserve"> </w:t>
      </w:r>
      <w:r>
        <w:rPr>
          <w:sz w:val="22"/>
        </w:rPr>
        <w:t>by</w:t>
      </w:r>
      <w:r w:rsidRPr="006A2F94">
        <w:rPr>
          <w:sz w:val="22"/>
        </w:rPr>
        <w:t xml:space="preserve"> 204</w:t>
      </w:r>
      <w:r>
        <w:rPr>
          <w:sz w:val="22"/>
        </w:rPr>
        <w:t>3</w:t>
      </w:r>
      <w:r w:rsidRPr="006A2F94">
        <w:rPr>
          <w:sz w:val="22"/>
        </w:rPr>
        <w:t>.</w:t>
      </w:r>
      <w:r>
        <w:rPr>
          <w:sz w:val="22"/>
        </w:rPr>
        <w:t xml:space="preserve"> </w:t>
      </w:r>
    </w:p>
    <w:p w14:paraId="2F2E937B" w14:textId="77777777" w:rsidR="00243ED0" w:rsidRDefault="00254A01" w:rsidP="00E13656">
      <w:pPr>
        <w:pStyle w:val="ReportBody"/>
        <w:numPr>
          <w:ilvl w:val="0"/>
          <w:numId w:val="0"/>
        </w:numPr>
      </w:pPr>
      <w:r w:rsidRPr="00243ED0">
        <w:t xml:space="preserve">There are other ways that diversity is increasing, in terms of relationship status, health needs, employment situation, and gender and sexual identity. </w:t>
      </w:r>
    </w:p>
    <w:p w14:paraId="474561F9" w14:textId="3836F3AA" w:rsidR="00183E45" w:rsidRPr="00E13656" w:rsidRDefault="00251F22" w:rsidP="00E13656">
      <w:pPr>
        <w:pStyle w:val="ReportBody"/>
        <w:numPr>
          <w:ilvl w:val="0"/>
          <w:numId w:val="0"/>
        </w:numPr>
      </w:pPr>
      <w:r w:rsidRPr="00243ED0">
        <w:rPr>
          <w:szCs w:val="22"/>
        </w:rPr>
        <w:t>This</w:t>
      </w:r>
      <w:r w:rsidRPr="00156773">
        <w:rPr>
          <w:szCs w:val="22"/>
        </w:rPr>
        <w:t xml:space="preserve"> increasing diversity means people who make up the older population may have different aspirations and needs as they age. </w:t>
      </w:r>
    </w:p>
    <w:p w14:paraId="02F8129D" w14:textId="321AC006" w:rsidR="00AE1A1E" w:rsidRPr="00156773" w:rsidRDefault="00AE1A1E" w:rsidP="00AE1A1E">
      <w:pPr>
        <w:rPr>
          <w:b/>
          <w:bCs/>
          <w:sz w:val="22"/>
        </w:rPr>
      </w:pPr>
      <w:r w:rsidRPr="00156773">
        <w:rPr>
          <w:b/>
          <w:bCs/>
          <w:sz w:val="22"/>
        </w:rPr>
        <w:t xml:space="preserve">For many, New Zealand is a relatively good place to age… </w:t>
      </w:r>
    </w:p>
    <w:p w14:paraId="01EEB801" w14:textId="143422AB" w:rsidR="00AE1A1E" w:rsidRPr="00156773" w:rsidRDefault="00AE1A1E" w:rsidP="00AE1A1E">
      <w:pPr>
        <w:rPr>
          <w:sz w:val="22"/>
        </w:rPr>
      </w:pPr>
      <w:r w:rsidRPr="00156773">
        <w:rPr>
          <w:sz w:val="22"/>
        </w:rPr>
        <w:t>Universal access to NZ Superannuation and the public health system</w:t>
      </w:r>
      <w:r w:rsidR="00183E45">
        <w:rPr>
          <w:sz w:val="22"/>
        </w:rPr>
        <w:t xml:space="preserve">, </w:t>
      </w:r>
      <w:r w:rsidRPr="00156773">
        <w:rPr>
          <w:sz w:val="22"/>
        </w:rPr>
        <w:t>combined with high historic home ownership rates</w:t>
      </w:r>
      <w:r w:rsidR="00183E45">
        <w:rPr>
          <w:sz w:val="22"/>
        </w:rPr>
        <w:t xml:space="preserve">, </w:t>
      </w:r>
      <w:r w:rsidRPr="00156773">
        <w:rPr>
          <w:sz w:val="22"/>
        </w:rPr>
        <w:t>have</w:t>
      </w:r>
      <w:r w:rsidR="00C93D87">
        <w:rPr>
          <w:sz w:val="22"/>
        </w:rPr>
        <w:t xml:space="preserve"> </w:t>
      </w:r>
      <w:r w:rsidRPr="00156773">
        <w:rPr>
          <w:sz w:val="22"/>
        </w:rPr>
        <w:t>made New Zealand a good place to age</w:t>
      </w:r>
      <w:r w:rsidR="00251F22">
        <w:rPr>
          <w:sz w:val="22"/>
        </w:rPr>
        <w:t xml:space="preserve"> for most</w:t>
      </w:r>
      <w:r w:rsidR="00183E45">
        <w:rPr>
          <w:sz w:val="22"/>
        </w:rPr>
        <w:t xml:space="preserve"> people</w:t>
      </w:r>
      <w:r w:rsidRPr="00156773">
        <w:rPr>
          <w:sz w:val="22"/>
        </w:rPr>
        <w:t xml:space="preserve">. Older people report higher subjective wellbeing than other age groups and lower rates of material deprivation. For many, later life affords an opportunity to spend </w:t>
      </w:r>
      <w:r w:rsidR="00991F42">
        <w:rPr>
          <w:sz w:val="22"/>
        </w:rPr>
        <w:t xml:space="preserve">more </w:t>
      </w:r>
      <w:r w:rsidRPr="00156773">
        <w:rPr>
          <w:sz w:val="22"/>
        </w:rPr>
        <w:t>time with family, contribute to their community and pursue leisure activities.</w:t>
      </w:r>
    </w:p>
    <w:p w14:paraId="3E159CDD" w14:textId="01FA5B69" w:rsidR="00AE1A1E" w:rsidRPr="00156773" w:rsidRDefault="00AE1A1E" w:rsidP="00AE1A1E">
      <w:pPr>
        <w:rPr>
          <w:sz w:val="22"/>
        </w:rPr>
      </w:pPr>
      <w:r w:rsidRPr="00156773">
        <w:rPr>
          <w:sz w:val="22"/>
        </w:rPr>
        <w:t xml:space="preserve">Older New Zealanders have the highest rates of </w:t>
      </w:r>
      <w:r w:rsidR="00D02D2D">
        <w:rPr>
          <w:sz w:val="22"/>
        </w:rPr>
        <w:t xml:space="preserve">mortgage free </w:t>
      </w:r>
      <w:proofErr w:type="gramStart"/>
      <w:r w:rsidRPr="00156773">
        <w:rPr>
          <w:sz w:val="22"/>
        </w:rPr>
        <w:t>home-ownership</w:t>
      </w:r>
      <w:proofErr w:type="gramEnd"/>
      <w:r w:rsidRPr="00156773">
        <w:rPr>
          <w:sz w:val="22"/>
        </w:rPr>
        <w:t xml:space="preserve"> of any age group; approximately 66</w:t>
      </w:r>
      <w:r w:rsidR="00093932">
        <w:rPr>
          <w:sz w:val="22"/>
        </w:rPr>
        <w:t xml:space="preserve"> percent</w:t>
      </w:r>
      <w:r w:rsidRPr="00156773">
        <w:rPr>
          <w:sz w:val="22"/>
        </w:rPr>
        <w:t xml:space="preserve"> as at the 2018 Census. This results in lower housing costs, as well as supporting broader benefits such as community engagement and a sense of place. </w:t>
      </w:r>
    </w:p>
    <w:p w14:paraId="62006296" w14:textId="3C8F91CF" w:rsidR="00AE1A1E" w:rsidRPr="00156773" w:rsidRDefault="00AE1A1E" w:rsidP="00747A6A">
      <w:pPr>
        <w:rPr>
          <w:sz w:val="22"/>
        </w:rPr>
      </w:pPr>
      <w:r w:rsidRPr="00156773">
        <w:rPr>
          <w:sz w:val="22"/>
        </w:rPr>
        <w:t>Large numbers of people aged 65+ report that they have the right amount of contact with friends and family and are engaged with at least one community or social group.</w:t>
      </w:r>
      <w:r w:rsidR="003C6DC9">
        <w:rPr>
          <w:rStyle w:val="FootnoteReference"/>
          <w:sz w:val="22"/>
        </w:rPr>
        <w:footnoteReference w:id="5"/>
      </w:r>
      <w:r w:rsidRPr="00156773">
        <w:rPr>
          <w:sz w:val="22"/>
        </w:rPr>
        <w:t xml:space="preserve"> Many older people volunteer; 31.6 percent of those aged 65+ in a June 2018 survey.</w:t>
      </w:r>
      <w:r w:rsidR="003C6DC9">
        <w:rPr>
          <w:rStyle w:val="FootnoteReference"/>
          <w:sz w:val="22"/>
        </w:rPr>
        <w:footnoteReference w:id="6"/>
      </w:r>
      <w:r w:rsidRPr="00156773">
        <w:rPr>
          <w:sz w:val="22"/>
        </w:rPr>
        <w:t xml:space="preserve"> Research has found older people who volunteer rate life as more worthwhile. </w:t>
      </w:r>
    </w:p>
    <w:p w14:paraId="10AEA64B" w14:textId="1B85EEEC" w:rsidR="00AE1A1E" w:rsidRPr="00156773" w:rsidRDefault="00AE1A1E" w:rsidP="00AE1A1E">
      <w:pPr>
        <w:rPr>
          <w:b/>
          <w:bCs/>
          <w:sz w:val="22"/>
        </w:rPr>
      </w:pPr>
      <w:proofErr w:type="gramStart"/>
      <w:r w:rsidRPr="00156773">
        <w:rPr>
          <w:b/>
          <w:bCs/>
          <w:sz w:val="22"/>
        </w:rPr>
        <w:t>….but</w:t>
      </w:r>
      <w:proofErr w:type="gramEnd"/>
      <w:r w:rsidRPr="00156773">
        <w:rPr>
          <w:b/>
          <w:bCs/>
          <w:sz w:val="22"/>
        </w:rPr>
        <w:t xml:space="preserve"> </w:t>
      </w:r>
      <w:r w:rsidR="000328E4">
        <w:rPr>
          <w:b/>
          <w:bCs/>
          <w:sz w:val="22"/>
        </w:rPr>
        <w:t xml:space="preserve">evidence suggests </w:t>
      </w:r>
      <w:r w:rsidRPr="00156773">
        <w:rPr>
          <w:b/>
          <w:bCs/>
          <w:sz w:val="22"/>
        </w:rPr>
        <w:t xml:space="preserve">there are </w:t>
      </w:r>
      <w:r>
        <w:rPr>
          <w:b/>
          <w:bCs/>
          <w:sz w:val="22"/>
        </w:rPr>
        <w:t xml:space="preserve">already </w:t>
      </w:r>
      <w:r w:rsidRPr="00156773">
        <w:rPr>
          <w:b/>
          <w:bCs/>
          <w:sz w:val="22"/>
        </w:rPr>
        <w:t xml:space="preserve">significant differences in the experience of later life for different groups. </w:t>
      </w:r>
    </w:p>
    <w:p w14:paraId="172E3908" w14:textId="1471D9EA" w:rsidR="00AE1A1E" w:rsidRPr="00156773" w:rsidRDefault="00183E45" w:rsidP="00AE1A1E">
      <w:pPr>
        <w:rPr>
          <w:sz w:val="22"/>
        </w:rPr>
      </w:pPr>
      <w:r>
        <w:rPr>
          <w:sz w:val="22"/>
        </w:rPr>
        <w:t>This broadly positive picture, however, does not apply to every</w:t>
      </w:r>
      <w:r w:rsidR="00C93D87">
        <w:rPr>
          <w:sz w:val="22"/>
        </w:rPr>
        <w:t xml:space="preserve"> older person</w:t>
      </w:r>
      <w:r w:rsidR="00DF7632">
        <w:rPr>
          <w:sz w:val="22"/>
        </w:rPr>
        <w:t xml:space="preserve"> in New Zealand</w:t>
      </w:r>
      <w:r>
        <w:rPr>
          <w:sz w:val="22"/>
        </w:rPr>
        <w:t xml:space="preserve">. </w:t>
      </w:r>
      <w:r w:rsidR="00AE1A1E" w:rsidRPr="00156773">
        <w:rPr>
          <w:sz w:val="22"/>
        </w:rPr>
        <w:t xml:space="preserve">There are a number of older New Zealanders who are financially </w:t>
      </w:r>
      <w:r w:rsidR="00C93D87">
        <w:rPr>
          <w:sz w:val="22"/>
        </w:rPr>
        <w:t>precarious</w:t>
      </w:r>
      <w:r w:rsidR="00AE1A1E" w:rsidRPr="00156773">
        <w:rPr>
          <w:sz w:val="22"/>
        </w:rPr>
        <w:t xml:space="preserve">: </w:t>
      </w:r>
    </w:p>
    <w:p w14:paraId="634E9AB5" w14:textId="75E61B7D" w:rsidR="00AE1A1E" w:rsidRPr="00156773" w:rsidRDefault="00AE1A1E" w:rsidP="00AE1A1E">
      <w:pPr>
        <w:pStyle w:val="ListParagraph"/>
        <w:numPr>
          <w:ilvl w:val="0"/>
          <w:numId w:val="41"/>
        </w:numPr>
        <w:rPr>
          <w:sz w:val="22"/>
          <w:lang w:eastAsia="en-NZ"/>
        </w:rPr>
      </w:pPr>
      <w:r w:rsidRPr="00156773">
        <w:rPr>
          <w:sz w:val="22"/>
          <w:lang w:eastAsia="en-NZ"/>
        </w:rPr>
        <w:t>Whil</w:t>
      </w:r>
      <w:r w:rsidR="00A67375">
        <w:rPr>
          <w:sz w:val="22"/>
          <w:lang w:eastAsia="en-NZ"/>
        </w:rPr>
        <w:t>e</w:t>
      </w:r>
      <w:r w:rsidRPr="00156773">
        <w:rPr>
          <w:sz w:val="22"/>
          <w:lang w:eastAsia="en-NZ"/>
        </w:rPr>
        <w:t xml:space="preserve"> NZ Superannuation and Veterans Pension provides a stable income source, 40 percent of people aged 65+ have virtually no other income and another 20 percent have only a little more.</w:t>
      </w:r>
      <w:r w:rsidR="003C6DC9">
        <w:rPr>
          <w:rStyle w:val="FootnoteReference"/>
          <w:sz w:val="22"/>
          <w:lang w:eastAsia="en-NZ"/>
        </w:rPr>
        <w:footnoteReference w:id="7"/>
      </w:r>
      <w:r w:rsidRPr="00156773">
        <w:rPr>
          <w:sz w:val="22"/>
          <w:lang w:eastAsia="en-NZ"/>
        </w:rPr>
        <w:t xml:space="preserve">  </w:t>
      </w:r>
    </w:p>
    <w:p w14:paraId="37F3D187" w14:textId="5E5784A9" w:rsidR="00A67375" w:rsidRPr="00A67375" w:rsidRDefault="00A67375" w:rsidP="00A67375">
      <w:pPr>
        <w:pStyle w:val="ListParagraph"/>
        <w:numPr>
          <w:ilvl w:val="0"/>
          <w:numId w:val="41"/>
        </w:numPr>
        <w:rPr>
          <w:sz w:val="22"/>
        </w:rPr>
      </w:pPr>
      <w:r>
        <w:rPr>
          <w:sz w:val="22"/>
        </w:rPr>
        <w:lastRenderedPageBreak/>
        <w:t>T</w:t>
      </w:r>
      <w:r w:rsidR="00FF79BA">
        <w:rPr>
          <w:sz w:val="22"/>
        </w:rPr>
        <w:t xml:space="preserve">he majority of older people </w:t>
      </w:r>
      <w:r w:rsidR="00991F42">
        <w:rPr>
          <w:sz w:val="22"/>
        </w:rPr>
        <w:t xml:space="preserve">own </w:t>
      </w:r>
      <w:r w:rsidR="00FF79BA">
        <w:rPr>
          <w:sz w:val="22"/>
        </w:rPr>
        <w:t>their home outright,</w:t>
      </w:r>
      <w:r>
        <w:rPr>
          <w:sz w:val="22"/>
        </w:rPr>
        <w:t xml:space="preserve"> but</w:t>
      </w:r>
      <w:r w:rsidR="00D5645A">
        <w:rPr>
          <w:sz w:val="22"/>
        </w:rPr>
        <w:t xml:space="preserve"> there is a sizeable proportion (</w:t>
      </w:r>
      <w:r w:rsidR="00FF79BA">
        <w:rPr>
          <w:sz w:val="22"/>
        </w:rPr>
        <w:t>13</w:t>
      </w:r>
      <w:r w:rsidR="00093932">
        <w:rPr>
          <w:sz w:val="22"/>
        </w:rPr>
        <w:t xml:space="preserve"> percent</w:t>
      </w:r>
      <w:r w:rsidR="00D5645A">
        <w:rPr>
          <w:sz w:val="22"/>
        </w:rPr>
        <w:t>)</w:t>
      </w:r>
      <w:r w:rsidR="00FF79BA">
        <w:rPr>
          <w:sz w:val="22"/>
        </w:rPr>
        <w:t xml:space="preserve"> paying a mortgage, and 20</w:t>
      </w:r>
      <w:r w:rsidR="00093932">
        <w:rPr>
          <w:sz w:val="22"/>
        </w:rPr>
        <w:t xml:space="preserve"> percent</w:t>
      </w:r>
      <w:r w:rsidR="00FF79BA">
        <w:rPr>
          <w:sz w:val="22"/>
        </w:rPr>
        <w:t xml:space="preserve"> are rent</w:t>
      </w:r>
      <w:r w:rsidR="00991F42">
        <w:rPr>
          <w:sz w:val="22"/>
        </w:rPr>
        <w:t>ing</w:t>
      </w:r>
      <w:r w:rsidR="00FF79BA">
        <w:rPr>
          <w:sz w:val="22"/>
        </w:rPr>
        <w:t>.</w:t>
      </w:r>
      <w:r w:rsidR="00EE2111">
        <w:rPr>
          <w:sz w:val="22"/>
        </w:rPr>
        <w:t xml:space="preserve"> </w:t>
      </w:r>
      <w:r w:rsidRPr="00A67375">
        <w:rPr>
          <w:sz w:val="22"/>
        </w:rPr>
        <w:t>European older people own their own home at much higher rates (70 percent) than older Māori (46 percent), Asian (41 percent), and Pacific (32 percent) New Zealanders.</w:t>
      </w:r>
      <w:r w:rsidR="003C6DC9">
        <w:rPr>
          <w:rStyle w:val="FootnoteReference"/>
          <w:sz w:val="22"/>
        </w:rPr>
        <w:footnoteReference w:id="8"/>
      </w:r>
    </w:p>
    <w:p w14:paraId="7AFF298D" w14:textId="7605C22C" w:rsidR="000945F3" w:rsidRDefault="000945F3" w:rsidP="000945F3">
      <w:pPr>
        <w:pStyle w:val="ListParagraph"/>
        <w:numPr>
          <w:ilvl w:val="0"/>
          <w:numId w:val="41"/>
        </w:numPr>
        <w:rPr>
          <w:sz w:val="22"/>
        </w:rPr>
      </w:pPr>
      <w:r>
        <w:rPr>
          <w:sz w:val="22"/>
        </w:rPr>
        <w:t>There is a group of older New Zealanders experiencing poverty and/or material deprivation. Over the last decade, older New Zealanders have consistently had hardship rates of ~3-5</w:t>
      </w:r>
      <w:r w:rsidR="00093932">
        <w:rPr>
          <w:sz w:val="22"/>
        </w:rPr>
        <w:t xml:space="preserve"> percent</w:t>
      </w:r>
      <w:r>
        <w:rPr>
          <w:sz w:val="22"/>
        </w:rPr>
        <w:t>, but those who are renting have notably higher rates (~10</w:t>
      </w:r>
      <w:r w:rsidR="00093932">
        <w:rPr>
          <w:sz w:val="22"/>
        </w:rPr>
        <w:t xml:space="preserve"> percent</w:t>
      </w:r>
      <w:r>
        <w:rPr>
          <w:sz w:val="22"/>
        </w:rPr>
        <w:t>). Further, the rate of after-housing-cost income poverty (on the AHC50 relative measure) has increased from around 5</w:t>
      </w:r>
      <w:r w:rsidR="00093932">
        <w:rPr>
          <w:sz w:val="22"/>
        </w:rPr>
        <w:t xml:space="preserve"> percent</w:t>
      </w:r>
      <w:r>
        <w:rPr>
          <w:sz w:val="22"/>
        </w:rPr>
        <w:t xml:space="preserve"> in the early 2000s to 12</w:t>
      </w:r>
      <w:r w:rsidR="00093932">
        <w:rPr>
          <w:sz w:val="22"/>
        </w:rPr>
        <w:t xml:space="preserve"> percent</w:t>
      </w:r>
      <w:r>
        <w:rPr>
          <w:sz w:val="22"/>
        </w:rPr>
        <w:t xml:space="preserve"> by the early 2020s.</w:t>
      </w:r>
      <w:r>
        <w:rPr>
          <w:rStyle w:val="FootnoteReference"/>
          <w:sz w:val="22"/>
        </w:rPr>
        <w:footnoteReference w:id="9"/>
      </w:r>
      <w:r>
        <w:rPr>
          <w:sz w:val="22"/>
        </w:rPr>
        <w:t xml:space="preserve">  </w:t>
      </w:r>
    </w:p>
    <w:p w14:paraId="3AEF136D" w14:textId="55F70047" w:rsidR="00AE1A1E" w:rsidRPr="00156773" w:rsidRDefault="00991F42" w:rsidP="00AE1A1E">
      <w:pPr>
        <w:rPr>
          <w:sz w:val="22"/>
        </w:rPr>
      </w:pPr>
      <w:r>
        <w:rPr>
          <w:sz w:val="22"/>
        </w:rPr>
        <w:t>M</w:t>
      </w:r>
      <w:r w:rsidR="00C93D87">
        <w:rPr>
          <w:sz w:val="22"/>
        </w:rPr>
        <w:t xml:space="preserve">any </w:t>
      </w:r>
      <w:r w:rsidR="00183E45">
        <w:rPr>
          <w:sz w:val="22"/>
        </w:rPr>
        <w:t>older people fac</w:t>
      </w:r>
      <w:r>
        <w:rPr>
          <w:sz w:val="22"/>
        </w:rPr>
        <w:t>e</w:t>
      </w:r>
      <w:r w:rsidR="00183E45">
        <w:rPr>
          <w:sz w:val="22"/>
        </w:rPr>
        <w:t xml:space="preserve"> other kinds of </w:t>
      </w:r>
      <w:r w:rsidR="00AE1A1E" w:rsidRPr="00156773">
        <w:rPr>
          <w:sz w:val="22"/>
        </w:rPr>
        <w:t>disadvantage</w:t>
      </w:r>
      <w:r w:rsidR="00183E45">
        <w:rPr>
          <w:sz w:val="22"/>
        </w:rPr>
        <w:t xml:space="preserve">, </w:t>
      </w:r>
      <w:r w:rsidR="0007353E">
        <w:rPr>
          <w:sz w:val="22"/>
        </w:rPr>
        <w:t xml:space="preserve">often in combination with </w:t>
      </w:r>
      <w:r w:rsidR="00183E45">
        <w:rPr>
          <w:sz w:val="22"/>
        </w:rPr>
        <w:t>financial</w:t>
      </w:r>
      <w:r w:rsidR="0007353E">
        <w:rPr>
          <w:sz w:val="22"/>
        </w:rPr>
        <w:t xml:space="preserve"> difficulties</w:t>
      </w:r>
      <w:r w:rsidR="00183E45">
        <w:rPr>
          <w:sz w:val="22"/>
        </w:rPr>
        <w:t xml:space="preserve">. </w:t>
      </w:r>
      <w:r w:rsidR="00393C74">
        <w:rPr>
          <w:sz w:val="22"/>
        </w:rPr>
        <w:t xml:space="preserve">These include issues such as health problems; poor housing quality and overcrowding; loneliness and social isolation; and abuse and neglect. </w:t>
      </w:r>
      <w:r w:rsidR="00AE1A1E" w:rsidRPr="00156773">
        <w:rPr>
          <w:sz w:val="22"/>
        </w:rPr>
        <w:t xml:space="preserve">These different forms of disadvantage often </w:t>
      </w:r>
      <w:r w:rsidR="00C93D87">
        <w:rPr>
          <w:sz w:val="22"/>
        </w:rPr>
        <w:t xml:space="preserve">coincide </w:t>
      </w:r>
      <w:r w:rsidR="00EE2111">
        <w:rPr>
          <w:sz w:val="22"/>
        </w:rPr>
        <w:t xml:space="preserve">and reinforce </w:t>
      </w:r>
      <w:r>
        <w:rPr>
          <w:sz w:val="22"/>
        </w:rPr>
        <w:t>one an</w:t>
      </w:r>
      <w:r w:rsidR="00EE2111">
        <w:rPr>
          <w:sz w:val="22"/>
        </w:rPr>
        <w:t>other</w:t>
      </w:r>
      <w:r w:rsidR="00AE1A1E" w:rsidRPr="00156773">
        <w:rPr>
          <w:sz w:val="22"/>
        </w:rPr>
        <w:t>.</w:t>
      </w:r>
      <w:r w:rsidR="0007353E">
        <w:rPr>
          <w:sz w:val="22"/>
        </w:rPr>
        <w:t xml:space="preserve"> </w:t>
      </w:r>
      <w:r w:rsidR="00AE1A1E" w:rsidRPr="00156773">
        <w:rPr>
          <w:sz w:val="22"/>
        </w:rPr>
        <w:t xml:space="preserve">Recent research by MSD, the Social </w:t>
      </w:r>
      <w:r w:rsidR="00DD2E2A">
        <w:rPr>
          <w:sz w:val="22"/>
        </w:rPr>
        <w:t>Investment</w:t>
      </w:r>
      <w:r w:rsidR="00DD2E2A" w:rsidRPr="00156773">
        <w:rPr>
          <w:sz w:val="22"/>
        </w:rPr>
        <w:t xml:space="preserve"> </w:t>
      </w:r>
      <w:r w:rsidR="00AE1A1E" w:rsidRPr="00156773">
        <w:rPr>
          <w:sz w:val="22"/>
        </w:rPr>
        <w:t>Agency and Ministry of Health found that 13 percent of those aged 65+ experience disadvantage across two or more of five selected life domains (health, housing, financial, access and social connection).</w:t>
      </w:r>
      <w:r w:rsidR="003C6DC9">
        <w:rPr>
          <w:rStyle w:val="FootnoteReference"/>
          <w:sz w:val="22"/>
        </w:rPr>
        <w:footnoteReference w:id="10"/>
      </w:r>
      <w:r w:rsidR="00AE1A1E" w:rsidRPr="00156773">
        <w:rPr>
          <w:sz w:val="22"/>
        </w:rPr>
        <w:t xml:space="preserve"> </w:t>
      </w:r>
    </w:p>
    <w:p w14:paraId="00C91624" w14:textId="25424AC2" w:rsidR="00AE1A1E" w:rsidRPr="00156773" w:rsidRDefault="00183E45" w:rsidP="00C93D87">
      <w:pPr>
        <w:rPr>
          <w:b/>
          <w:bCs/>
          <w:sz w:val="22"/>
        </w:rPr>
      </w:pPr>
      <w:r>
        <w:rPr>
          <w:b/>
          <w:bCs/>
          <w:sz w:val="22"/>
        </w:rPr>
        <w:t>There is the potential for l</w:t>
      </w:r>
      <w:r w:rsidR="00AE1A1E" w:rsidRPr="00156773">
        <w:rPr>
          <w:b/>
          <w:bCs/>
          <w:sz w:val="22"/>
        </w:rPr>
        <w:t>ong</w:t>
      </w:r>
      <w:r w:rsidR="00F15DCB">
        <w:rPr>
          <w:b/>
          <w:bCs/>
          <w:sz w:val="22"/>
        </w:rPr>
        <w:t>-</w:t>
      </w:r>
      <w:r w:rsidR="00AE1A1E" w:rsidRPr="00156773">
        <w:rPr>
          <w:b/>
          <w:bCs/>
          <w:sz w:val="22"/>
        </w:rPr>
        <w:t xml:space="preserve">term trends </w:t>
      </w:r>
      <w:r>
        <w:rPr>
          <w:b/>
          <w:bCs/>
          <w:sz w:val="22"/>
        </w:rPr>
        <w:t>to</w:t>
      </w:r>
      <w:r w:rsidR="00AE1A1E" w:rsidRPr="00156773">
        <w:rPr>
          <w:b/>
          <w:bCs/>
          <w:sz w:val="22"/>
        </w:rPr>
        <w:t xml:space="preserve"> increase disadvantage for some groups and put pressure on supports and services</w:t>
      </w:r>
      <w:r w:rsidR="002B7921">
        <w:rPr>
          <w:b/>
          <w:bCs/>
          <w:sz w:val="22"/>
        </w:rPr>
        <w:t>.</w:t>
      </w:r>
    </w:p>
    <w:p w14:paraId="3D6318E1" w14:textId="59547A60" w:rsidR="00AE1A1E" w:rsidRPr="00156773" w:rsidRDefault="006D169C" w:rsidP="00393C74">
      <w:pPr>
        <w:rPr>
          <w:sz w:val="22"/>
        </w:rPr>
      </w:pPr>
      <w:r>
        <w:rPr>
          <w:sz w:val="22"/>
        </w:rPr>
        <w:t>In addition to</w:t>
      </w:r>
      <w:r w:rsidR="00393C74">
        <w:rPr>
          <w:sz w:val="22"/>
        </w:rPr>
        <w:t xml:space="preserve"> population ageing</w:t>
      </w:r>
      <w:r>
        <w:rPr>
          <w:sz w:val="22"/>
        </w:rPr>
        <w:t>, t</w:t>
      </w:r>
      <w:r w:rsidR="00AE1A1E" w:rsidRPr="00156773">
        <w:rPr>
          <w:sz w:val="22"/>
        </w:rPr>
        <w:t xml:space="preserve">here are several emerging trends that may have significant implications for </w:t>
      </w:r>
      <w:r>
        <w:rPr>
          <w:sz w:val="22"/>
        </w:rPr>
        <w:t>older people</w:t>
      </w:r>
      <w:r w:rsidR="00650929">
        <w:rPr>
          <w:sz w:val="22"/>
        </w:rPr>
        <w:t xml:space="preserve">, and could </w:t>
      </w:r>
      <w:r w:rsidR="00650929" w:rsidRPr="00650929">
        <w:rPr>
          <w:sz w:val="22"/>
        </w:rPr>
        <w:t xml:space="preserve">mean the future </w:t>
      </w:r>
      <w:r w:rsidR="001324BB">
        <w:rPr>
          <w:sz w:val="22"/>
        </w:rPr>
        <w:t>older</w:t>
      </w:r>
      <w:r w:rsidR="00650929" w:rsidRPr="00650929">
        <w:rPr>
          <w:sz w:val="22"/>
        </w:rPr>
        <w:t xml:space="preserve"> population experience old age in much more varied ways</w:t>
      </w:r>
      <w:r w:rsidR="00AE1A1E" w:rsidRPr="00156773">
        <w:rPr>
          <w:sz w:val="22"/>
        </w:rPr>
        <w:t xml:space="preserve">: </w:t>
      </w:r>
    </w:p>
    <w:p w14:paraId="5D0E224D" w14:textId="7B3AC432" w:rsidR="00F47C8C" w:rsidRDefault="004905B8" w:rsidP="0007353E">
      <w:pPr>
        <w:pStyle w:val="ListParagraph"/>
        <w:numPr>
          <w:ilvl w:val="0"/>
          <w:numId w:val="40"/>
        </w:numPr>
        <w:rPr>
          <w:sz w:val="22"/>
        </w:rPr>
      </w:pPr>
      <w:r>
        <w:rPr>
          <w:i/>
          <w:iCs/>
          <w:sz w:val="22"/>
        </w:rPr>
        <w:t xml:space="preserve">Housing and </w:t>
      </w:r>
      <w:r w:rsidR="006D169C">
        <w:rPr>
          <w:i/>
          <w:iCs/>
          <w:sz w:val="22"/>
        </w:rPr>
        <w:t>H</w:t>
      </w:r>
      <w:r w:rsidR="00AE1A1E" w:rsidRPr="00156773">
        <w:rPr>
          <w:i/>
          <w:iCs/>
          <w:sz w:val="22"/>
        </w:rPr>
        <w:t xml:space="preserve">ome Ownership </w:t>
      </w:r>
      <w:r w:rsidR="006D169C">
        <w:rPr>
          <w:i/>
          <w:iCs/>
          <w:sz w:val="22"/>
        </w:rPr>
        <w:t>–</w:t>
      </w:r>
      <w:r w:rsidR="00AE1A1E" w:rsidRPr="00156773">
        <w:rPr>
          <w:i/>
          <w:iCs/>
          <w:sz w:val="22"/>
        </w:rPr>
        <w:t xml:space="preserve"> </w:t>
      </w:r>
      <w:r w:rsidR="00C93D87" w:rsidRPr="00156773">
        <w:rPr>
          <w:sz w:val="22"/>
        </w:rPr>
        <w:t>the overall rate of home ownership for older New Zealanders has been declining</w:t>
      </w:r>
      <w:r w:rsidR="00C93D87">
        <w:rPr>
          <w:sz w:val="22"/>
        </w:rPr>
        <w:t xml:space="preserve">, and </w:t>
      </w:r>
      <w:r w:rsidR="00A67375">
        <w:rPr>
          <w:sz w:val="22"/>
        </w:rPr>
        <w:t>the proportion of older homeowners who</w:t>
      </w:r>
      <w:r w:rsidR="00A67375" w:rsidRPr="00156773">
        <w:rPr>
          <w:sz w:val="22"/>
        </w:rPr>
        <w:t xml:space="preserve"> are paying a mortgage is increasin</w:t>
      </w:r>
      <w:r w:rsidR="00C93D87">
        <w:rPr>
          <w:sz w:val="22"/>
        </w:rPr>
        <w:t>g</w:t>
      </w:r>
      <w:r w:rsidR="00AE1A1E" w:rsidRPr="00156773">
        <w:rPr>
          <w:sz w:val="22"/>
        </w:rPr>
        <w:t>.</w:t>
      </w:r>
      <w:r w:rsidR="00A67375">
        <w:rPr>
          <w:sz w:val="22"/>
        </w:rPr>
        <w:t xml:space="preserve"> </w:t>
      </w:r>
      <w:r w:rsidR="003A1C81">
        <w:rPr>
          <w:sz w:val="22"/>
        </w:rPr>
        <w:t>Based on home ownership rates among younger age groups, this trend is likely to continue.</w:t>
      </w:r>
      <w:r w:rsidR="003A1C81">
        <w:rPr>
          <w:rStyle w:val="FootnoteReference"/>
          <w:sz w:val="22"/>
        </w:rPr>
        <w:footnoteReference w:id="11"/>
      </w:r>
      <w:r w:rsidR="003A1C81">
        <w:rPr>
          <w:sz w:val="22"/>
        </w:rPr>
        <w:t xml:space="preserve"> </w:t>
      </w:r>
      <w:r w:rsidR="00DF7632">
        <w:rPr>
          <w:sz w:val="22"/>
        </w:rPr>
        <w:t xml:space="preserve">This trend is likely to disproportionately impact on </w:t>
      </w:r>
      <w:r w:rsidR="002542B5">
        <w:rPr>
          <w:sz w:val="22"/>
        </w:rPr>
        <w:t xml:space="preserve">Māori </w:t>
      </w:r>
      <w:r w:rsidR="00DF7632">
        <w:rPr>
          <w:sz w:val="22"/>
        </w:rPr>
        <w:t>and Pacific older people, who own their homes at much lower rates</w:t>
      </w:r>
      <w:r w:rsidR="00DF7632" w:rsidRPr="00DF7632">
        <w:rPr>
          <w:sz w:val="22"/>
        </w:rPr>
        <w:t xml:space="preserve"> </w:t>
      </w:r>
      <w:r w:rsidR="00DF7632">
        <w:rPr>
          <w:sz w:val="22"/>
        </w:rPr>
        <w:t xml:space="preserve">already. </w:t>
      </w:r>
      <w:r w:rsidR="00393C74">
        <w:rPr>
          <w:sz w:val="22"/>
        </w:rPr>
        <w:t>O</w:t>
      </w:r>
      <w:r w:rsidR="006D169C">
        <w:rPr>
          <w:sz w:val="22"/>
        </w:rPr>
        <w:t>ther shifts</w:t>
      </w:r>
      <w:r w:rsidR="00393C74">
        <w:rPr>
          <w:sz w:val="22"/>
        </w:rPr>
        <w:t xml:space="preserve"> are also </w:t>
      </w:r>
      <w:r w:rsidR="006D169C">
        <w:rPr>
          <w:sz w:val="22"/>
        </w:rPr>
        <w:t xml:space="preserve">occurring in housing, such as </w:t>
      </w:r>
      <w:r w:rsidR="00866DED">
        <w:rPr>
          <w:sz w:val="22"/>
        </w:rPr>
        <w:t xml:space="preserve">changes in the role of councils in providing housing for </w:t>
      </w:r>
      <w:r w:rsidR="00615F3A">
        <w:rPr>
          <w:sz w:val="22"/>
        </w:rPr>
        <w:t xml:space="preserve">older people </w:t>
      </w:r>
      <w:r w:rsidR="001944A1">
        <w:rPr>
          <w:sz w:val="22"/>
        </w:rPr>
        <w:t>and increasing costs of home ownership that can present challenges even for those who do own their home outright</w:t>
      </w:r>
      <w:r w:rsidR="00393C74">
        <w:rPr>
          <w:sz w:val="22"/>
        </w:rPr>
        <w:t>.</w:t>
      </w:r>
      <w:r w:rsidR="006D169C">
        <w:rPr>
          <w:sz w:val="22"/>
        </w:rPr>
        <w:t xml:space="preserve"> </w:t>
      </w:r>
    </w:p>
    <w:p w14:paraId="550AE45E" w14:textId="05F2261C" w:rsidR="000945F3" w:rsidRDefault="000945F3" w:rsidP="000945F3">
      <w:pPr>
        <w:pStyle w:val="ListParagraph"/>
        <w:numPr>
          <w:ilvl w:val="0"/>
          <w:numId w:val="40"/>
        </w:numPr>
        <w:rPr>
          <w:i/>
          <w:iCs/>
        </w:rPr>
      </w:pPr>
      <w:r>
        <w:rPr>
          <w:i/>
          <w:iCs/>
          <w:sz w:val="22"/>
        </w:rPr>
        <w:t>Labour market disparities</w:t>
      </w:r>
      <w:r w:rsidR="00243ED0">
        <w:rPr>
          <w:i/>
          <w:iCs/>
          <w:sz w:val="22"/>
        </w:rPr>
        <w:t xml:space="preserve">, </w:t>
      </w:r>
      <w:r>
        <w:rPr>
          <w:i/>
          <w:iCs/>
          <w:sz w:val="22"/>
        </w:rPr>
        <w:t xml:space="preserve">income inequality </w:t>
      </w:r>
      <w:r w:rsidR="00243ED0">
        <w:rPr>
          <w:i/>
          <w:iCs/>
          <w:sz w:val="22"/>
        </w:rPr>
        <w:t xml:space="preserve">and wealth </w:t>
      </w:r>
      <w:r>
        <w:rPr>
          <w:sz w:val="22"/>
        </w:rPr>
        <w:t xml:space="preserve">– the OECD has found that, in most OECD countries, levels of inequality are higher for younger generations than those experienced by today’s older people, and the risks of </w:t>
      </w:r>
      <w:r>
        <w:rPr>
          <w:sz w:val="22"/>
        </w:rPr>
        <w:lastRenderedPageBreak/>
        <w:t>increasing inequality among future retirees have been “building up”.</w:t>
      </w:r>
      <w:r>
        <w:rPr>
          <w:rStyle w:val="FootnoteReference"/>
          <w:sz w:val="22"/>
        </w:rPr>
        <w:footnoteReference w:id="12"/>
      </w:r>
      <w:r>
        <w:rPr>
          <w:sz w:val="22"/>
        </w:rPr>
        <w:t xml:space="preserve"> </w:t>
      </w:r>
      <w:r w:rsidR="00243ED0">
        <w:rPr>
          <w:sz w:val="22"/>
        </w:rPr>
        <w:t xml:space="preserve">Though there is not any evidence of increasing material hardship for older people, </w:t>
      </w:r>
      <w:r>
        <w:rPr>
          <w:sz w:val="22"/>
        </w:rPr>
        <w:t xml:space="preserve">MSD’s reports suggest income inequality amongst over 65s has been steadily increasing over the past four decades, </w:t>
      </w:r>
      <w:r w:rsidR="00243ED0">
        <w:rPr>
          <w:sz w:val="22"/>
        </w:rPr>
        <w:t>driven by differences in employment and private investments</w:t>
      </w:r>
      <w:r>
        <w:rPr>
          <w:sz w:val="22"/>
        </w:rPr>
        <w:t>.</w:t>
      </w:r>
      <w:r>
        <w:rPr>
          <w:rStyle w:val="FootnoteReference"/>
          <w:sz w:val="22"/>
        </w:rPr>
        <w:footnoteReference w:id="13"/>
      </w:r>
      <w:r w:rsidR="001944A1">
        <w:rPr>
          <w:sz w:val="22"/>
        </w:rPr>
        <w:t xml:space="preserve"> Disparities in </w:t>
      </w:r>
      <w:r w:rsidR="00243ED0">
        <w:rPr>
          <w:sz w:val="22"/>
        </w:rPr>
        <w:t>patterns of wealth accrual and transfer</w:t>
      </w:r>
      <w:r w:rsidR="001944A1">
        <w:rPr>
          <w:sz w:val="22"/>
        </w:rPr>
        <w:t>– including intergenerationally – will also affect this picture.</w:t>
      </w:r>
    </w:p>
    <w:p w14:paraId="75B996D3" w14:textId="21FF8EEE" w:rsidR="00866DED" w:rsidRPr="00156773" w:rsidRDefault="00866DED" w:rsidP="00866DED">
      <w:pPr>
        <w:pStyle w:val="ListParagraph"/>
        <w:numPr>
          <w:ilvl w:val="0"/>
          <w:numId w:val="40"/>
        </w:numPr>
        <w:rPr>
          <w:i/>
          <w:iCs/>
          <w:sz w:val="22"/>
        </w:rPr>
      </w:pPr>
      <w:r w:rsidRPr="00156773">
        <w:rPr>
          <w:i/>
          <w:iCs/>
          <w:sz w:val="22"/>
        </w:rPr>
        <w:t xml:space="preserve">Pressures on services and public finances - </w:t>
      </w:r>
      <w:r w:rsidRPr="00156773">
        <w:rPr>
          <w:sz w:val="22"/>
        </w:rPr>
        <w:t xml:space="preserve">In 2021, the Treasury’s </w:t>
      </w:r>
      <w:r w:rsidR="00F15DCB">
        <w:rPr>
          <w:sz w:val="22"/>
        </w:rPr>
        <w:t>LTIB</w:t>
      </w:r>
      <w:r w:rsidRPr="00156773">
        <w:rPr>
          <w:sz w:val="22"/>
        </w:rPr>
        <w:t xml:space="preserve"> indicated that</w:t>
      </w:r>
      <w:r>
        <w:rPr>
          <w:sz w:val="22"/>
        </w:rPr>
        <w:t xml:space="preserve"> </w:t>
      </w:r>
      <w:r w:rsidRPr="00156773">
        <w:rPr>
          <w:sz w:val="22"/>
        </w:rPr>
        <w:t>New Zealand Superannuation (NZS) expenditure is projected to grow from 5</w:t>
      </w:r>
      <w:r w:rsidR="00F15DCB">
        <w:rPr>
          <w:sz w:val="22"/>
        </w:rPr>
        <w:t xml:space="preserve"> percent</w:t>
      </w:r>
      <w:r w:rsidRPr="00156773">
        <w:rPr>
          <w:sz w:val="22"/>
        </w:rPr>
        <w:t xml:space="preserve"> of GDP in 2020/21 to 7.7</w:t>
      </w:r>
      <w:r w:rsidR="00F15DCB">
        <w:rPr>
          <w:sz w:val="22"/>
        </w:rPr>
        <w:t xml:space="preserve"> percent</w:t>
      </w:r>
      <w:r w:rsidRPr="00156773">
        <w:rPr>
          <w:sz w:val="22"/>
        </w:rPr>
        <w:t xml:space="preserve"> of GDP by 2061</w:t>
      </w:r>
      <w:r>
        <w:rPr>
          <w:sz w:val="22"/>
        </w:rPr>
        <w:t>, and h</w:t>
      </w:r>
      <w:r w:rsidRPr="00156773">
        <w:rPr>
          <w:sz w:val="22"/>
        </w:rPr>
        <w:t>ealth expenditure is projected to grow from about 7</w:t>
      </w:r>
      <w:r w:rsidR="00F15DCB">
        <w:rPr>
          <w:sz w:val="22"/>
        </w:rPr>
        <w:t xml:space="preserve"> percent</w:t>
      </w:r>
      <w:r w:rsidRPr="00156773">
        <w:rPr>
          <w:sz w:val="22"/>
        </w:rPr>
        <w:t xml:space="preserve"> to over 10</w:t>
      </w:r>
      <w:r w:rsidR="00F15DCB">
        <w:rPr>
          <w:sz w:val="22"/>
        </w:rPr>
        <w:t xml:space="preserve"> percent</w:t>
      </w:r>
      <w:r w:rsidRPr="00156773">
        <w:rPr>
          <w:sz w:val="22"/>
        </w:rPr>
        <w:t>.</w:t>
      </w:r>
      <w:r w:rsidR="00BD7E82">
        <w:rPr>
          <w:rStyle w:val="FootnoteReference"/>
          <w:sz w:val="22"/>
        </w:rPr>
        <w:footnoteReference w:id="14"/>
      </w:r>
      <w:r w:rsidR="007E072E">
        <w:rPr>
          <w:sz w:val="22"/>
        </w:rPr>
        <w:t xml:space="preserve"> </w:t>
      </w:r>
      <w:r w:rsidR="005F5C7E">
        <w:rPr>
          <w:sz w:val="22"/>
        </w:rPr>
        <w:t>Even setting aside any possible policy changes that future Governments may pursue in response to growing costs, t</w:t>
      </w:r>
      <w:r w:rsidR="007E072E">
        <w:rPr>
          <w:sz w:val="22"/>
        </w:rPr>
        <w:t>here is likely to be</w:t>
      </w:r>
      <w:r w:rsidR="00C93D87">
        <w:rPr>
          <w:sz w:val="22"/>
        </w:rPr>
        <w:t xml:space="preserve"> </w:t>
      </w:r>
      <w:r w:rsidR="00CE367B">
        <w:rPr>
          <w:sz w:val="22"/>
        </w:rPr>
        <w:t xml:space="preserve">a </w:t>
      </w:r>
      <w:r w:rsidR="00C93D87">
        <w:rPr>
          <w:sz w:val="22"/>
        </w:rPr>
        <w:t xml:space="preserve">substantial increase in </w:t>
      </w:r>
      <w:r w:rsidR="007E072E">
        <w:rPr>
          <w:sz w:val="22"/>
        </w:rPr>
        <w:t>demand f</w:t>
      </w:r>
      <w:r w:rsidR="00C93D87">
        <w:rPr>
          <w:sz w:val="22"/>
        </w:rPr>
        <w:t>or</w:t>
      </w:r>
      <w:r w:rsidR="007E072E">
        <w:rPr>
          <w:sz w:val="22"/>
        </w:rPr>
        <w:t xml:space="preserve"> health services and increasing pressure on formal and informal care. </w:t>
      </w:r>
    </w:p>
    <w:p w14:paraId="3D9CF74F" w14:textId="611DFE92" w:rsidR="002C66C1" w:rsidRPr="00156773" w:rsidRDefault="00AE1A1E" w:rsidP="002C66C1">
      <w:pPr>
        <w:rPr>
          <w:sz w:val="22"/>
        </w:rPr>
      </w:pPr>
      <w:r w:rsidRPr="00156773">
        <w:rPr>
          <w:sz w:val="22"/>
        </w:rPr>
        <w:t xml:space="preserve">There may be </w:t>
      </w:r>
      <w:r w:rsidR="007E072E">
        <w:rPr>
          <w:sz w:val="22"/>
        </w:rPr>
        <w:t xml:space="preserve">other </w:t>
      </w:r>
      <w:r w:rsidRPr="00156773">
        <w:rPr>
          <w:sz w:val="22"/>
        </w:rPr>
        <w:t xml:space="preserve">trends, such as </w:t>
      </w:r>
      <w:r w:rsidR="00CB1145">
        <w:rPr>
          <w:sz w:val="22"/>
        </w:rPr>
        <w:t xml:space="preserve">those related to </w:t>
      </w:r>
      <w:r w:rsidR="0080282E">
        <w:rPr>
          <w:sz w:val="22"/>
        </w:rPr>
        <w:t xml:space="preserve">emerging technologies </w:t>
      </w:r>
      <w:r w:rsidRPr="00156773">
        <w:rPr>
          <w:sz w:val="22"/>
        </w:rPr>
        <w:t>and climate change</w:t>
      </w:r>
      <w:r w:rsidR="0080282E">
        <w:rPr>
          <w:sz w:val="22"/>
        </w:rPr>
        <w:t xml:space="preserve">, which will </w:t>
      </w:r>
      <w:r w:rsidR="007E072E">
        <w:rPr>
          <w:sz w:val="22"/>
        </w:rPr>
        <w:t>interact with these trends above and mean heightened</w:t>
      </w:r>
      <w:r w:rsidR="0080282E">
        <w:rPr>
          <w:sz w:val="22"/>
        </w:rPr>
        <w:t xml:space="preserve"> risks to the wellbeing of older people now and into the future. </w:t>
      </w:r>
      <w:r w:rsidR="002C66C1">
        <w:rPr>
          <w:sz w:val="22"/>
        </w:rPr>
        <w:t xml:space="preserve">For example, the Ministry of Housing and Urban Development’s 2023 </w:t>
      </w:r>
      <w:r w:rsidR="00F15DCB">
        <w:rPr>
          <w:sz w:val="22"/>
        </w:rPr>
        <w:t>LTIB</w:t>
      </w:r>
      <w:r w:rsidR="00222306">
        <w:rPr>
          <w:rStyle w:val="FootnoteReference"/>
          <w:sz w:val="22"/>
        </w:rPr>
        <w:footnoteReference w:id="15"/>
      </w:r>
      <w:r w:rsidR="002C66C1">
        <w:rPr>
          <w:sz w:val="22"/>
        </w:rPr>
        <w:t xml:space="preserve"> noted the risks of climate change</w:t>
      </w:r>
      <w:r w:rsidR="007E072E">
        <w:rPr>
          <w:sz w:val="22"/>
        </w:rPr>
        <w:t xml:space="preserve"> for older people: t</w:t>
      </w:r>
      <w:r w:rsidR="002C66C1" w:rsidRPr="002C66C1">
        <w:rPr>
          <w:sz w:val="22"/>
        </w:rPr>
        <w:t xml:space="preserve">he movement of </w:t>
      </w:r>
      <w:r w:rsidR="00DD2E2A">
        <w:rPr>
          <w:sz w:val="22"/>
        </w:rPr>
        <w:t>older people</w:t>
      </w:r>
      <w:r w:rsidR="00DD2E2A" w:rsidRPr="002C66C1">
        <w:rPr>
          <w:sz w:val="22"/>
        </w:rPr>
        <w:t xml:space="preserve"> </w:t>
      </w:r>
      <w:r w:rsidR="002C66C1" w:rsidRPr="002C66C1">
        <w:rPr>
          <w:sz w:val="22"/>
        </w:rPr>
        <w:t>to ‘sunshine belts’, early patterns of retirement village building, and</w:t>
      </w:r>
      <w:r w:rsidR="002C66C1">
        <w:rPr>
          <w:sz w:val="22"/>
        </w:rPr>
        <w:t xml:space="preserve"> </w:t>
      </w:r>
      <w:r w:rsidR="002C66C1" w:rsidRPr="002C66C1">
        <w:rPr>
          <w:sz w:val="22"/>
        </w:rPr>
        <w:t xml:space="preserve">the historical location of housing stock means </w:t>
      </w:r>
      <w:r w:rsidR="00615F3A">
        <w:rPr>
          <w:sz w:val="22"/>
        </w:rPr>
        <w:t>older people</w:t>
      </w:r>
      <w:r w:rsidR="00615F3A" w:rsidRPr="002C66C1">
        <w:rPr>
          <w:sz w:val="22"/>
        </w:rPr>
        <w:t xml:space="preserve"> </w:t>
      </w:r>
      <w:r w:rsidR="002C66C1" w:rsidRPr="002C66C1">
        <w:rPr>
          <w:sz w:val="22"/>
        </w:rPr>
        <w:t>are over-represented among populations vulnerable to climate change</w:t>
      </w:r>
      <w:r w:rsidR="00DD2E2A">
        <w:rPr>
          <w:sz w:val="22"/>
        </w:rPr>
        <w:t xml:space="preserve"> and extreme weather events</w:t>
      </w:r>
      <w:r w:rsidR="002C66C1" w:rsidRPr="002C66C1">
        <w:rPr>
          <w:sz w:val="22"/>
        </w:rPr>
        <w:t>.</w:t>
      </w:r>
    </w:p>
    <w:p w14:paraId="162A2797" w14:textId="26495E13" w:rsidR="00AE1A1E" w:rsidRPr="00156773" w:rsidRDefault="00AE1A1E" w:rsidP="00AE1A1E">
      <w:pPr>
        <w:rPr>
          <w:b/>
          <w:bCs/>
          <w:sz w:val="22"/>
        </w:rPr>
      </w:pPr>
      <w:r w:rsidRPr="00156773">
        <w:rPr>
          <w:b/>
          <w:bCs/>
          <w:sz w:val="22"/>
        </w:rPr>
        <w:t xml:space="preserve">These dynamics could have implications for </w:t>
      </w:r>
      <w:r w:rsidR="00F47C8C">
        <w:rPr>
          <w:b/>
          <w:bCs/>
          <w:sz w:val="22"/>
        </w:rPr>
        <w:t xml:space="preserve">support provided by MSD and </w:t>
      </w:r>
      <w:r w:rsidR="00F15DCB">
        <w:rPr>
          <w:b/>
          <w:bCs/>
          <w:sz w:val="22"/>
        </w:rPr>
        <w:t>g</w:t>
      </w:r>
      <w:r w:rsidR="00F47C8C">
        <w:rPr>
          <w:b/>
          <w:bCs/>
          <w:sz w:val="22"/>
        </w:rPr>
        <w:t xml:space="preserve">overnment more generally. </w:t>
      </w:r>
    </w:p>
    <w:p w14:paraId="317AC3FC" w14:textId="5B1C180A" w:rsidR="00AE1A1E" w:rsidRPr="00B36F84" w:rsidRDefault="00AE1A1E" w:rsidP="00B36F84">
      <w:pPr>
        <w:rPr>
          <w:sz w:val="22"/>
        </w:rPr>
      </w:pPr>
      <w:r w:rsidRPr="00B36F84">
        <w:rPr>
          <w:sz w:val="22"/>
        </w:rPr>
        <w:t xml:space="preserve">Population growth, and the potential for increasing </w:t>
      </w:r>
      <w:r w:rsidR="000328E4" w:rsidRPr="00B36F84">
        <w:rPr>
          <w:sz w:val="22"/>
        </w:rPr>
        <w:t xml:space="preserve">financial difficulties for </w:t>
      </w:r>
      <w:r w:rsidR="00DD2E2A">
        <w:rPr>
          <w:sz w:val="22"/>
        </w:rPr>
        <w:t>some people</w:t>
      </w:r>
      <w:r w:rsidRPr="00B36F84">
        <w:rPr>
          <w:sz w:val="22"/>
        </w:rPr>
        <w:t xml:space="preserve">, </w:t>
      </w:r>
      <w:r w:rsidR="00CB1145" w:rsidRPr="00B36F84">
        <w:rPr>
          <w:sz w:val="22"/>
        </w:rPr>
        <w:t xml:space="preserve">may have implications for </w:t>
      </w:r>
      <w:r w:rsidR="00F15DCB">
        <w:rPr>
          <w:sz w:val="22"/>
        </w:rPr>
        <w:t>g</w:t>
      </w:r>
      <w:r w:rsidR="00F47C8C" w:rsidRPr="00B36F84">
        <w:rPr>
          <w:sz w:val="22"/>
        </w:rPr>
        <w:t xml:space="preserve">overnment policy settings and also for </w:t>
      </w:r>
      <w:r w:rsidR="00CB1145" w:rsidRPr="00B36F84">
        <w:rPr>
          <w:sz w:val="22"/>
        </w:rPr>
        <w:t>the</w:t>
      </w:r>
      <w:r w:rsidR="00F47C8C" w:rsidRPr="00B36F84">
        <w:rPr>
          <w:sz w:val="22"/>
        </w:rPr>
        <w:t xml:space="preserve"> support provided by </w:t>
      </w:r>
      <w:r w:rsidR="00F15DCB">
        <w:rPr>
          <w:sz w:val="22"/>
        </w:rPr>
        <w:t>MSD</w:t>
      </w:r>
      <w:r w:rsidR="00CB1145" w:rsidRPr="00B36F84">
        <w:rPr>
          <w:sz w:val="22"/>
        </w:rPr>
        <w:t xml:space="preserve">. There may be an increase in </w:t>
      </w:r>
      <w:r w:rsidRPr="00B36F84">
        <w:rPr>
          <w:sz w:val="22"/>
        </w:rPr>
        <w:t>demand for additional</w:t>
      </w:r>
      <w:r w:rsidR="00CB1145" w:rsidRPr="00B36F84">
        <w:rPr>
          <w:sz w:val="22"/>
        </w:rPr>
        <w:t xml:space="preserve"> financial</w:t>
      </w:r>
      <w:r w:rsidRPr="00B36F84">
        <w:rPr>
          <w:sz w:val="22"/>
        </w:rPr>
        <w:t xml:space="preserve"> supports from MSD</w:t>
      </w:r>
      <w:r w:rsidR="00F47C8C" w:rsidRPr="00B36F84">
        <w:rPr>
          <w:sz w:val="22"/>
        </w:rPr>
        <w:t xml:space="preserve">, and potentially also an </w:t>
      </w:r>
      <w:r w:rsidR="00CB1145" w:rsidRPr="00B36F84">
        <w:rPr>
          <w:sz w:val="22"/>
        </w:rPr>
        <w:t xml:space="preserve">increase in the need for other kinds of support and services, both from MSD and from other areas of </w:t>
      </w:r>
      <w:r w:rsidR="00F15DCB">
        <w:rPr>
          <w:sz w:val="22"/>
        </w:rPr>
        <w:t>g</w:t>
      </w:r>
      <w:r w:rsidR="00CB1145" w:rsidRPr="00B36F84">
        <w:rPr>
          <w:sz w:val="22"/>
        </w:rPr>
        <w:t xml:space="preserve">overnment. </w:t>
      </w:r>
      <w:r w:rsidR="00B36F84" w:rsidRPr="00B36F84">
        <w:rPr>
          <w:sz w:val="22"/>
        </w:rPr>
        <w:t>There may also be opportunities to prevent disadvantage in the future, by intervening early to improve long-term outcomes.</w:t>
      </w:r>
    </w:p>
    <w:p w14:paraId="3CE21F93" w14:textId="77777777" w:rsidR="00243ED0" w:rsidRDefault="00243ED0" w:rsidP="00AE1A1E">
      <w:pPr>
        <w:rPr>
          <w:b/>
          <w:bCs/>
          <w:color w:val="005788"/>
          <w:sz w:val="28"/>
          <w:szCs w:val="28"/>
        </w:rPr>
      </w:pPr>
    </w:p>
    <w:p w14:paraId="00847381" w14:textId="77777777" w:rsidR="00243ED0" w:rsidRDefault="00243ED0" w:rsidP="00AE1A1E">
      <w:pPr>
        <w:rPr>
          <w:b/>
          <w:bCs/>
          <w:color w:val="005788"/>
          <w:sz w:val="28"/>
          <w:szCs w:val="28"/>
        </w:rPr>
      </w:pPr>
    </w:p>
    <w:p w14:paraId="36A0D975" w14:textId="77777777" w:rsidR="00243ED0" w:rsidRDefault="00243ED0" w:rsidP="00AE1A1E">
      <w:pPr>
        <w:rPr>
          <w:b/>
          <w:bCs/>
          <w:color w:val="005788"/>
          <w:sz w:val="28"/>
          <w:szCs w:val="28"/>
        </w:rPr>
      </w:pPr>
    </w:p>
    <w:p w14:paraId="77FE8D72" w14:textId="744FDB66" w:rsidR="00AE1A1E" w:rsidRPr="003B684E" w:rsidRDefault="00AE1A1E" w:rsidP="00AE1A1E">
      <w:pPr>
        <w:rPr>
          <w:b/>
          <w:bCs/>
          <w:color w:val="005788"/>
          <w:sz w:val="28"/>
          <w:szCs w:val="28"/>
        </w:rPr>
      </w:pPr>
      <w:r>
        <w:rPr>
          <w:b/>
          <w:bCs/>
          <w:color w:val="005788"/>
          <w:sz w:val="28"/>
          <w:szCs w:val="28"/>
        </w:rPr>
        <w:lastRenderedPageBreak/>
        <w:t xml:space="preserve">What analysis </w:t>
      </w:r>
      <w:r w:rsidR="000328E4">
        <w:rPr>
          <w:b/>
          <w:bCs/>
          <w:color w:val="005788"/>
          <w:sz w:val="28"/>
          <w:szCs w:val="28"/>
        </w:rPr>
        <w:t>could we</w:t>
      </w:r>
      <w:r>
        <w:rPr>
          <w:b/>
          <w:bCs/>
          <w:color w:val="005788"/>
          <w:sz w:val="28"/>
          <w:szCs w:val="28"/>
        </w:rPr>
        <w:t xml:space="preserve"> undertake as part of this topic?</w:t>
      </w:r>
      <w:r w:rsidRPr="003B684E">
        <w:rPr>
          <w:b/>
          <w:bCs/>
          <w:color w:val="005788"/>
          <w:sz w:val="28"/>
          <w:szCs w:val="28"/>
        </w:rPr>
        <w:t xml:space="preserve"> </w:t>
      </w:r>
    </w:p>
    <w:p w14:paraId="7B853B22" w14:textId="77777777" w:rsidR="00AE1A1E" w:rsidRPr="00156773" w:rsidRDefault="00AE1A1E" w:rsidP="00AE1A1E">
      <w:pPr>
        <w:rPr>
          <w:sz w:val="22"/>
        </w:rPr>
      </w:pPr>
      <w:r w:rsidRPr="00156773">
        <w:rPr>
          <w:sz w:val="22"/>
        </w:rPr>
        <w:t xml:space="preserve">Specific pieces of analysis that we propose to explore as part of this topic include: </w:t>
      </w:r>
    </w:p>
    <w:p w14:paraId="28977DDE" w14:textId="1E8B6850" w:rsidR="00752359" w:rsidRPr="00752359" w:rsidRDefault="00752359" w:rsidP="00752359">
      <w:pPr>
        <w:rPr>
          <w:b/>
          <w:bCs/>
          <w:sz w:val="22"/>
        </w:rPr>
      </w:pPr>
      <w:r w:rsidRPr="00752359">
        <w:rPr>
          <w:b/>
          <w:bCs/>
          <w:sz w:val="22"/>
        </w:rPr>
        <w:t>Summarising the current landscape for older people, including different views and expectations about ageing and retirement, and lived experiences of ag</w:t>
      </w:r>
      <w:r>
        <w:rPr>
          <w:b/>
          <w:bCs/>
          <w:sz w:val="22"/>
        </w:rPr>
        <w:t>e</w:t>
      </w:r>
      <w:r w:rsidRPr="00752359">
        <w:rPr>
          <w:b/>
          <w:bCs/>
          <w:sz w:val="22"/>
        </w:rPr>
        <w:t xml:space="preserve">ing across different </w:t>
      </w:r>
      <w:r w:rsidR="00C13BD0" w:rsidRPr="00752359">
        <w:rPr>
          <w:b/>
          <w:bCs/>
          <w:sz w:val="22"/>
        </w:rPr>
        <w:t>ethnicities.</w:t>
      </w:r>
    </w:p>
    <w:p w14:paraId="5441E6B9" w14:textId="5748F252" w:rsidR="00C13BD0" w:rsidRPr="00B36F84" w:rsidRDefault="00752359" w:rsidP="00B36F84">
      <w:pPr>
        <w:rPr>
          <w:sz w:val="22"/>
        </w:rPr>
      </w:pPr>
      <w:r w:rsidRPr="00752359">
        <w:rPr>
          <w:sz w:val="22"/>
        </w:rPr>
        <w:t xml:space="preserve">This </w:t>
      </w:r>
      <w:r w:rsidR="00B36F84">
        <w:rPr>
          <w:sz w:val="22"/>
        </w:rPr>
        <w:t>c</w:t>
      </w:r>
      <w:r>
        <w:rPr>
          <w:sz w:val="22"/>
        </w:rPr>
        <w:t xml:space="preserve">ould </w:t>
      </w:r>
      <w:r w:rsidR="00C13BD0">
        <w:rPr>
          <w:sz w:val="22"/>
        </w:rPr>
        <w:t>include a high-level description of</w:t>
      </w:r>
      <w:r w:rsidR="00B36F84">
        <w:rPr>
          <w:sz w:val="22"/>
        </w:rPr>
        <w:t xml:space="preserve"> </w:t>
      </w:r>
      <w:r w:rsidR="00C13BD0" w:rsidRPr="00B36F84">
        <w:rPr>
          <w:sz w:val="22"/>
        </w:rPr>
        <w:t xml:space="preserve">the current </w:t>
      </w:r>
      <w:r w:rsidR="00B36F84" w:rsidRPr="00B36F84">
        <w:rPr>
          <w:sz w:val="22"/>
        </w:rPr>
        <w:t xml:space="preserve">living </w:t>
      </w:r>
      <w:r w:rsidR="00C13BD0" w:rsidRPr="00B36F84">
        <w:rPr>
          <w:sz w:val="22"/>
        </w:rPr>
        <w:t xml:space="preserve">situation of older </w:t>
      </w:r>
      <w:r w:rsidR="00EC7A99" w:rsidRPr="00B36F84">
        <w:rPr>
          <w:sz w:val="22"/>
        </w:rPr>
        <w:t>New Zealanders</w:t>
      </w:r>
      <w:r w:rsidR="00B36F84">
        <w:rPr>
          <w:sz w:val="22"/>
        </w:rPr>
        <w:t xml:space="preserve">, </w:t>
      </w:r>
      <w:r w:rsidR="00B36F84" w:rsidRPr="00B36F84">
        <w:rPr>
          <w:sz w:val="22"/>
        </w:rPr>
        <w:t xml:space="preserve">current policies and services for older people provided by MSD and across </w:t>
      </w:r>
      <w:r w:rsidR="00F15DCB">
        <w:rPr>
          <w:sz w:val="22"/>
        </w:rPr>
        <w:t>g</w:t>
      </w:r>
      <w:r w:rsidR="00B36F84" w:rsidRPr="00B36F84">
        <w:rPr>
          <w:sz w:val="22"/>
        </w:rPr>
        <w:t>overnment.</w:t>
      </w:r>
      <w:r w:rsidR="00B36F84">
        <w:rPr>
          <w:sz w:val="22"/>
        </w:rPr>
        <w:t xml:space="preserve"> It could also include </w:t>
      </w:r>
      <w:r w:rsidR="00D84280">
        <w:rPr>
          <w:sz w:val="22"/>
        </w:rPr>
        <w:t xml:space="preserve">consideration of </w:t>
      </w:r>
      <w:r w:rsidR="00C13BD0" w:rsidRPr="00B36F84">
        <w:rPr>
          <w:sz w:val="22"/>
        </w:rPr>
        <w:t xml:space="preserve">views and expectations about ageing and retirement for </w:t>
      </w:r>
      <w:r w:rsidR="00263C10">
        <w:rPr>
          <w:sz w:val="22"/>
        </w:rPr>
        <w:t xml:space="preserve">specific </w:t>
      </w:r>
      <w:r w:rsidR="00C13BD0" w:rsidRPr="00B36F84">
        <w:rPr>
          <w:sz w:val="22"/>
        </w:rPr>
        <w:t xml:space="preserve">population groups, </w:t>
      </w:r>
      <w:r w:rsidR="00C10C5D">
        <w:rPr>
          <w:sz w:val="22"/>
        </w:rPr>
        <w:t>and</w:t>
      </w:r>
      <w:r w:rsidR="00C10C5D" w:rsidRPr="00883BCC">
        <w:rPr>
          <w:sz w:val="22"/>
        </w:rPr>
        <w:t xml:space="preserve"> lived experiences of ag</w:t>
      </w:r>
      <w:r w:rsidR="00C10C5D">
        <w:rPr>
          <w:sz w:val="22"/>
        </w:rPr>
        <w:t>e</w:t>
      </w:r>
      <w:r w:rsidR="00C10C5D" w:rsidRPr="00883BCC">
        <w:rPr>
          <w:sz w:val="22"/>
        </w:rPr>
        <w:t>ing across different ethnicities</w:t>
      </w:r>
      <w:r w:rsidR="00C10C5D">
        <w:rPr>
          <w:sz w:val="22"/>
        </w:rPr>
        <w:t>, disability status, gender and sexual identities</w:t>
      </w:r>
    </w:p>
    <w:p w14:paraId="413A76C5" w14:textId="2E5D8F0A" w:rsidR="00AE1A1E" w:rsidRPr="003B684E" w:rsidRDefault="00AE1A1E" w:rsidP="00AE1A1E">
      <w:pPr>
        <w:rPr>
          <w:b/>
          <w:bCs/>
          <w:sz w:val="22"/>
        </w:rPr>
      </w:pPr>
      <w:r w:rsidRPr="003B684E">
        <w:rPr>
          <w:b/>
          <w:bCs/>
          <w:sz w:val="22"/>
        </w:rPr>
        <w:t>Providing a description of older people (aged 65+) currently experiencing disadvantage, and how they compare with other age cohorts in New Zealand</w:t>
      </w:r>
      <w:r w:rsidR="00F15DCB">
        <w:rPr>
          <w:b/>
          <w:bCs/>
          <w:sz w:val="22"/>
        </w:rPr>
        <w:t>.</w:t>
      </w:r>
    </w:p>
    <w:p w14:paraId="25DBB3F2" w14:textId="3CFD10FF" w:rsidR="00727799" w:rsidRPr="00727799" w:rsidRDefault="00727799" w:rsidP="00727799">
      <w:pPr>
        <w:rPr>
          <w:sz w:val="22"/>
        </w:rPr>
      </w:pPr>
      <w:r>
        <w:rPr>
          <w:sz w:val="22"/>
        </w:rPr>
        <w:t xml:space="preserve">This </w:t>
      </w:r>
      <w:r w:rsidR="00B36F84">
        <w:rPr>
          <w:sz w:val="22"/>
        </w:rPr>
        <w:t>c</w:t>
      </w:r>
      <w:r>
        <w:rPr>
          <w:sz w:val="22"/>
        </w:rPr>
        <w:t>ould include:</w:t>
      </w:r>
    </w:p>
    <w:p w14:paraId="43C30DFF" w14:textId="2485277B" w:rsidR="00AE1A1E" w:rsidRPr="00251F22" w:rsidRDefault="00B36F84" w:rsidP="00251F22">
      <w:pPr>
        <w:pStyle w:val="ListParagraph"/>
        <w:numPr>
          <w:ilvl w:val="0"/>
          <w:numId w:val="43"/>
        </w:numPr>
        <w:rPr>
          <w:sz w:val="22"/>
        </w:rPr>
      </w:pPr>
      <w:r>
        <w:rPr>
          <w:sz w:val="22"/>
        </w:rPr>
        <w:t>t</w:t>
      </w:r>
      <w:r w:rsidR="00AE1A1E">
        <w:rPr>
          <w:sz w:val="22"/>
        </w:rPr>
        <w:t xml:space="preserve">rends and </w:t>
      </w:r>
      <w:r w:rsidR="000328E4">
        <w:rPr>
          <w:sz w:val="22"/>
        </w:rPr>
        <w:t>breakdowns</w:t>
      </w:r>
      <w:r w:rsidR="00AE1A1E">
        <w:rPr>
          <w:sz w:val="22"/>
        </w:rPr>
        <w:t xml:space="preserve"> of material hardship/poverty</w:t>
      </w:r>
      <w:r w:rsidR="00251F22">
        <w:rPr>
          <w:sz w:val="22"/>
        </w:rPr>
        <w:t xml:space="preserve"> for older people, including</w:t>
      </w:r>
      <w:r w:rsidR="00AE1A1E">
        <w:rPr>
          <w:sz w:val="22"/>
        </w:rPr>
        <w:t xml:space="preserve"> </w:t>
      </w:r>
      <w:r w:rsidR="00AE1A1E" w:rsidRPr="00251F22">
        <w:rPr>
          <w:sz w:val="22"/>
        </w:rPr>
        <w:t>comparisons with other age groups</w:t>
      </w:r>
      <w:r w:rsidR="00251F22">
        <w:rPr>
          <w:sz w:val="22"/>
        </w:rPr>
        <w:t xml:space="preserve">, international comparisons, and breakdowns by key characteristics such as housing tenure and ethnicity </w:t>
      </w:r>
    </w:p>
    <w:p w14:paraId="23313E2C" w14:textId="62F4C09E" w:rsidR="00AE1A1E" w:rsidRDefault="00B36F84" w:rsidP="00AE1A1E">
      <w:pPr>
        <w:pStyle w:val="ListParagraph"/>
        <w:numPr>
          <w:ilvl w:val="0"/>
          <w:numId w:val="43"/>
        </w:numPr>
        <w:rPr>
          <w:sz w:val="22"/>
        </w:rPr>
      </w:pPr>
      <w:r>
        <w:rPr>
          <w:sz w:val="22"/>
        </w:rPr>
        <w:t>a</w:t>
      </w:r>
      <w:r w:rsidR="00251F22">
        <w:rPr>
          <w:sz w:val="22"/>
        </w:rPr>
        <w:t>nalysis of older people experiencing</w:t>
      </w:r>
      <w:r w:rsidR="00C10C5D">
        <w:rPr>
          <w:sz w:val="22"/>
        </w:rPr>
        <w:t xml:space="preserve"> other kinds of disadvantage, inc</w:t>
      </w:r>
      <w:r w:rsidR="00B15371">
        <w:rPr>
          <w:sz w:val="22"/>
        </w:rPr>
        <w:t>l</w:t>
      </w:r>
      <w:r w:rsidR="00C10C5D">
        <w:rPr>
          <w:sz w:val="22"/>
        </w:rPr>
        <w:t xml:space="preserve">uding multiple </w:t>
      </w:r>
      <w:proofErr w:type="gramStart"/>
      <w:r w:rsidR="00C10C5D" w:rsidRPr="00156773">
        <w:rPr>
          <w:sz w:val="22"/>
        </w:rPr>
        <w:t>disadvantage</w:t>
      </w:r>
      <w:proofErr w:type="gramEnd"/>
      <w:r w:rsidR="00C10C5D" w:rsidRPr="00156773">
        <w:rPr>
          <w:sz w:val="22"/>
        </w:rPr>
        <w:t xml:space="preserve"> </w:t>
      </w:r>
      <w:r w:rsidR="00251F22" w:rsidRPr="00156773">
        <w:rPr>
          <w:sz w:val="22"/>
        </w:rPr>
        <w:t xml:space="preserve">across </w:t>
      </w:r>
      <w:r w:rsidR="00251F22">
        <w:rPr>
          <w:sz w:val="22"/>
        </w:rPr>
        <w:t xml:space="preserve">several </w:t>
      </w:r>
      <w:r w:rsidR="00251F22" w:rsidRPr="00156773">
        <w:rPr>
          <w:sz w:val="22"/>
        </w:rPr>
        <w:t xml:space="preserve">life domains (health, housing, financial, access and social connection). </w:t>
      </w:r>
    </w:p>
    <w:p w14:paraId="6757BAC1" w14:textId="6E2BB5C6" w:rsidR="00727799" w:rsidRDefault="00727799" w:rsidP="00AE1A1E">
      <w:pPr>
        <w:rPr>
          <w:b/>
          <w:bCs/>
          <w:sz w:val="22"/>
        </w:rPr>
      </w:pPr>
      <w:r>
        <w:rPr>
          <w:b/>
          <w:bCs/>
          <w:sz w:val="22"/>
        </w:rPr>
        <w:t>I</w:t>
      </w:r>
      <w:r w:rsidRPr="00727799">
        <w:rPr>
          <w:b/>
          <w:bCs/>
          <w:sz w:val="22"/>
        </w:rPr>
        <w:t>dentifying key drivers of disadvantage in older age, as well as strengths and critical protective factors that support the wellbeing of older people</w:t>
      </w:r>
      <w:r w:rsidR="00EA21DC">
        <w:rPr>
          <w:b/>
          <w:bCs/>
          <w:sz w:val="22"/>
        </w:rPr>
        <w:t>.</w:t>
      </w:r>
    </w:p>
    <w:p w14:paraId="6E7A3926" w14:textId="32110409" w:rsidR="00EA21DC" w:rsidRDefault="00727799" w:rsidP="00AE1A1E">
      <w:pPr>
        <w:rPr>
          <w:sz w:val="22"/>
        </w:rPr>
      </w:pPr>
      <w:r>
        <w:rPr>
          <w:sz w:val="22"/>
        </w:rPr>
        <w:t xml:space="preserve">We could provide a </w:t>
      </w:r>
      <w:r w:rsidR="00EA21DC">
        <w:rPr>
          <w:sz w:val="22"/>
        </w:rPr>
        <w:t>high-level</w:t>
      </w:r>
      <w:r>
        <w:rPr>
          <w:sz w:val="22"/>
        </w:rPr>
        <w:t xml:space="preserve"> </w:t>
      </w:r>
      <w:r w:rsidR="00CE2902">
        <w:rPr>
          <w:sz w:val="22"/>
        </w:rPr>
        <w:t xml:space="preserve">summary of the </w:t>
      </w:r>
      <w:r>
        <w:rPr>
          <w:sz w:val="22"/>
        </w:rPr>
        <w:t>various factors that have the most critical influence on the wellbeing of older people</w:t>
      </w:r>
      <w:r w:rsidR="00CE2902">
        <w:rPr>
          <w:sz w:val="22"/>
        </w:rPr>
        <w:t xml:space="preserve">, including </w:t>
      </w:r>
      <w:r w:rsidR="00EA21DC">
        <w:rPr>
          <w:sz w:val="22"/>
        </w:rPr>
        <w:t xml:space="preserve">factors in early life, </w:t>
      </w:r>
      <w:r w:rsidR="00CE2902">
        <w:rPr>
          <w:sz w:val="22"/>
        </w:rPr>
        <w:t>employment, housing, health,</w:t>
      </w:r>
      <w:r>
        <w:rPr>
          <w:sz w:val="22"/>
        </w:rPr>
        <w:t xml:space="preserve"> disability,</w:t>
      </w:r>
      <w:r w:rsidR="00CE2902">
        <w:rPr>
          <w:sz w:val="22"/>
        </w:rPr>
        <w:t xml:space="preserve"> relationship </w:t>
      </w:r>
      <w:r>
        <w:rPr>
          <w:sz w:val="22"/>
        </w:rPr>
        <w:t>status</w:t>
      </w:r>
      <w:r w:rsidR="00CE2902">
        <w:rPr>
          <w:sz w:val="22"/>
        </w:rPr>
        <w:t>, and so on.</w:t>
      </w:r>
      <w:r w:rsidR="00E13656">
        <w:rPr>
          <w:sz w:val="22"/>
        </w:rPr>
        <w:t xml:space="preserve"> </w:t>
      </w:r>
      <w:r w:rsidR="00EC7A99">
        <w:rPr>
          <w:sz w:val="22"/>
        </w:rPr>
        <w:t xml:space="preserve">This </w:t>
      </w:r>
      <w:r w:rsidR="00B36F84">
        <w:rPr>
          <w:sz w:val="22"/>
        </w:rPr>
        <w:t>c</w:t>
      </w:r>
      <w:r w:rsidR="00EC7A99">
        <w:rPr>
          <w:sz w:val="22"/>
        </w:rPr>
        <w:t xml:space="preserve">ould </w:t>
      </w:r>
      <w:r w:rsidR="00B36F84">
        <w:rPr>
          <w:sz w:val="22"/>
        </w:rPr>
        <w:t>have</w:t>
      </w:r>
      <w:r w:rsidR="00EC7A99">
        <w:rPr>
          <w:sz w:val="22"/>
        </w:rPr>
        <w:t xml:space="preserve"> a focus on i</w:t>
      </w:r>
      <w:r w:rsidR="00EA21DC" w:rsidRPr="00EA21DC">
        <w:rPr>
          <w:sz w:val="22"/>
        </w:rPr>
        <w:t xml:space="preserve">dentifying </w:t>
      </w:r>
      <w:r w:rsidR="00EC7A99">
        <w:rPr>
          <w:sz w:val="22"/>
        </w:rPr>
        <w:t xml:space="preserve">the </w:t>
      </w:r>
      <w:r w:rsidR="00EA21DC" w:rsidRPr="00EA21DC">
        <w:rPr>
          <w:sz w:val="22"/>
        </w:rPr>
        <w:t>key drivers of disadvantage in older age</w:t>
      </w:r>
      <w:r w:rsidR="00FC0492">
        <w:rPr>
          <w:sz w:val="22"/>
        </w:rPr>
        <w:t xml:space="preserve"> (including disruptive events or “life shocks”)</w:t>
      </w:r>
      <w:r w:rsidR="00EA21DC" w:rsidRPr="00EA21DC">
        <w:rPr>
          <w:sz w:val="22"/>
        </w:rPr>
        <w:t xml:space="preserve"> as well as strengths and critical protective factors that support wellbeing </w:t>
      </w:r>
      <w:r w:rsidR="00A52E08">
        <w:rPr>
          <w:sz w:val="22"/>
        </w:rPr>
        <w:t>in later years</w:t>
      </w:r>
      <w:r w:rsidR="00E13656">
        <w:rPr>
          <w:sz w:val="22"/>
        </w:rPr>
        <w:t xml:space="preserve">, both at the individual level and at the level of wider networks of family, </w:t>
      </w:r>
      <w:r w:rsidR="00DD2E2A">
        <w:rPr>
          <w:sz w:val="22"/>
        </w:rPr>
        <w:t xml:space="preserve">whānau </w:t>
      </w:r>
      <w:r w:rsidR="00E13656">
        <w:rPr>
          <w:sz w:val="22"/>
        </w:rPr>
        <w:t>and community</w:t>
      </w:r>
      <w:r w:rsidR="00EA21DC" w:rsidRPr="00EA21DC">
        <w:rPr>
          <w:sz w:val="22"/>
        </w:rPr>
        <w:t>.</w:t>
      </w:r>
    </w:p>
    <w:p w14:paraId="1C8AA2F4" w14:textId="77777777" w:rsidR="00184ED6" w:rsidRDefault="00AE1A1E" w:rsidP="00AE1A1E">
      <w:pPr>
        <w:rPr>
          <w:b/>
          <w:bCs/>
          <w:sz w:val="22"/>
        </w:rPr>
      </w:pPr>
      <w:r w:rsidRPr="003B684E">
        <w:rPr>
          <w:b/>
          <w:bCs/>
          <w:sz w:val="22"/>
        </w:rPr>
        <w:t>Identifying how patterns of disadvantage amongst older people are expected to change</w:t>
      </w:r>
      <w:r w:rsidR="001568E6">
        <w:rPr>
          <w:b/>
          <w:bCs/>
          <w:sz w:val="22"/>
        </w:rPr>
        <w:t xml:space="preserve"> in coming decades</w:t>
      </w:r>
      <w:r w:rsidRPr="003B684E">
        <w:rPr>
          <w:b/>
          <w:bCs/>
          <w:sz w:val="22"/>
        </w:rPr>
        <w:t xml:space="preserve">. </w:t>
      </w:r>
    </w:p>
    <w:p w14:paraId="11FC50A1" w14:textId="1B516489" w:rsidR="00AE1A1E" w:rsidRPr="001568E6" w:rsidRDefault="00AE1A1E" w:rsidP="00AE1A1E">
      <w:pPr>
        <w:rPr>
          <w:b/>
          <w:bCs/>
          <w:sz w:val="22"/>
        </w:rPr>
      </w:pPr>
      <w:r>
        <w:rPr>
          <w:sz w:val="22"/>
        </w:rPr>
        <w:t>This could include:</w:t>
      </w:r>
    </w:p>
    <w:p w14:paraId="1D359330" w14:textId="128C5108" w:rsidR="00917201" w:rsidRPr="00917201" w:rsidRDefault="00917201" w:rsidP="00917201">
      <w:pPr>
        <w:pStyle w:val="ListParagraph"/>
        <w:numPr>
          <w:ilvl w:val="0"/>
          <w:numId w:val="42"/>
        </w:numPr>
        <w:rPr>
          <w:sz w:val="22"/>
        </w:rPr>
      </w:pPr>
      <w:r>
        <w:rPr>
          <w:sz w:val="22"/>
        </w:rPr>
        <w:t>e</w:t>
      </w:r>
      <w:r w:rsidRPr="00917201">
        <w:rPr>
          <w:sz w:val="22"/>
        </w:rPr>
        <w:t xml:space="preserve">xamining the situation of </w:t>
      </w:r>
      <w:r w:rsidR="0053629A">
        <w:rPr>
          <w:sz w:val="22"/>
        </w:rPr>
        <w:t xml:space="preserve">older working age New Zealanders </w:t>
      </w:r>
      <w:r>
        <w:rPr>
          <w:sz w:val="22"/>
        </w:rPr>
        <w:t xml:space="preserve">(those aged </w:t>
      </w:r>
      <w:r w:rsidR="00A35561">
        <w:rPr>
          <w:sz w:val="22"/>
        </w:rPr>
        <w:t>50</w:t>
      </w:r>
      <w:r>
        <w:rPr>
          <w:sz w:val="22"/>
        </w:rPr>
        <w:t>-64)</w:t>
      </w:r>
      <w:r w:rsidR="0053629A">
        <w:rPr>
          <w:sz w:val="22"/>
        </w:rPr>
        <w:t xml:space="preserve">, to </w:t>
      </w:r>
      <w:r w:rsidR="001568E6">
        <w:rPr>
          <w:sz w:val="22"/>
        </w:rPr>
        <w:t>consider</w:t>
      </w:r>
      <w:r w:rsidR="0053629A">
        <w:rPr>
          <w:sz w:val="22"/>
        </w:rPr>
        <w:t xml:space="preserve"> what </w:t>
      </w:r>
      <w:r w:rsidR="00EC7A99">
        <w:rPr>
          <w:sz w:val="22"/>
        </w:rPr>
        <w:t xml:space="preserve">older age and </w:t>
      </w:r>
      <w:r w:rsidR="00A35561">
        <w:rPr>
          <w:sz w:val="22"/>
        </w:rPr>
        <w:t xml:space="preserve">a transition away from paid work </w:t>
      </w:r>
      <w:r w:rsidR="0053629A">
        <w:rPr>
          <w:sz w:val="22"/>
        </w:rPr>
        <w:t>may look like in the future</w:t>
      </w:r>
    </w:p>
    <w:p w14:paraId="1B563A64" w14:textId="2C0D4BBE" w:rsidR="007F6AF1" w:rsidRPr="003B684E" w:rsidRDefault="007F6AF1" w:rsidP="007F6AF1">
      <w:pPr>
        <w:pStyle w:val="ListParagraph"/>
        <w:numPr>
          <w:ilvl w:val="0"/>
          <w:numId w:val="42"/>
        </w:numPr>
        <w:rPr>
          <w:sz w:val="22"/>
        </w:rPr>
      </w:pPr>
      <w:r>
        <w:rPr>
          <w:sz w:val="22"/>
        </w:rPr>
        <w:t>summarising trends in housing tenure, supply and affordability,</w:t>
      </w:r>
      <w:r w:rsidRPr="003B684E">
        <w:rPr>
          <w:sz w:val="22"/>
        </w:rPr>
        <w:t xml:space="preserve"> and </w:t>
      </w:r>
      <w:r>
        <w:rPr>
          <w:sz w:val="22"/>
        </w:rPr>
        <w:t xml:space="preserve">any implications for the wellbeing of older people in the future, drawing on the recent LTIB from the Ministry of Housing and Urban Development </w:t>
      </w:r>
    </w:p>
    <w:p w14:paraId="17ADF307" w14:textId="151F7578" w:rsidR="00AE1A1E" w:rsidRDefault="00917201" w:rsidP="00AE1A1E">
      <w:pPr>
        <w:pStyle w:val="ListParagraph"/>
        <w:numPr>
          <w:ilvl w:val="0"/>
          <w:numId w:val="42"/>
        </w:numPr>
        <w:rPr>
          <w:sz w:val="22"/>
        </w:rPr>
      </w:pPr>
      <w:r>
        <w:rPr>
          <w:sz w:val="22"/>
        </w:rPr>
        <w:lastRenderedPageBreak/>
        <w:t xml:space="preserve">considering </w:t>
      </w:r>
      <w:r w:rsidR="0053629A">
        <w:rPr>
          <w:sz w:val="22"/>
        </w:rPr>
        <w:t xml:space="preserve">labour market </w:t>
      </w:r>
      <w:r w:rsidR="000328E4">
        <w:rPr>
          <w:sz w:val="22"/>
        </w:rPr>
        <w:t xml:space="preserve">trends </w:t>
      </w:r>
      <w:r>
        <w:rPr>
          <w:sz w:val="22"/>
        </w:rPr>
        <w:t>for younger generations</w:t>
      </w:r>
      <w:r w:rsidR="00AE1A1E" w:rsidRPr="003B684E">
        <w:rPr>
          <w:sz w:val="22"/>
        </w:rPr>
        <w:t>, and whether</w:t>
      </w:r>
      <w:r w:rsidR="0053629A">
        <w:rPr>
          <w:sz w:val="22"/>
        </w:rPr>
        <w:t xml:space="preserve"> there is</w:t>
      </w:r>
      <w:r w:rsidR="00AE1A1E" w:rsidRPr="003B684E">
        <w:rPr>
          <w:sz w:val="22"/>
        </w:rPr>
        <w:t xml:space="preserve"> evidence of</w:t>
      </w:r>
      <w:r w:rsidR="0053629A">
        <w:rPr>
          <w:sz w:val="22"/>
        </w:rPr>
        <w:t xml:space="preserve"> employment and earnings becoming more polarised</w:t>
      </w:r>
      <w:r w:rsidR="00AE1A1E">
        <w:rPr>
          <w:sz w:val="22"/>
        </w:rPr>
        <w:t>, which may feed through to increased inequality</w:t>
      </w:r>
      <w:r w:rsidR="007F6AF1">
        <w:rPr>
          <w:sz w:val="22"/>
        </w:rPr>
        <w:t xml:space="preserve"> and/or hardship </w:t>
      </w:r>
      <w:r w:rsidR="00AE1A1E">
        <w:rPr>
          <w:sz w:val="22"/>
        </w:rPr>
        <w:t xml:space="preserve">in </w:t>
      </w:r>
      <w:r w:rsidR="00250B66">
        <w:rPr>
          <w:sz w:val="22"/>
        </w:rPr>
        <w:t>later life</w:t>
      </w:r>
    </w:p>
    <w:p w14:paraId="07B09EEA" w14:textId="2E9C3FDD" w:rsidR="007F6AF1" w:rsidRDefault="007F6AF1" w:rsidP="007F6AF1">
      <w:pPr>
        <w:pStyle w:val="ListParagraph"/>
        <w:numPr>
          <w:ilvl w:val="0"/>
          <w:numId w:val="42"/>
        </w:numPr>
        <w:rPr>
          <w:sz w:val="22"/>
        </w:rPr>
      </w:pPr>
      <w:r>
        <w:rPr>
          <w:sz w:val="22"/>
        </w:rPr>
        <w:t xml:space="preserve">summarising trends in receipt of </w:t>
      </w:r>
      <w:r w:rsidR="00250B66">
        <w:rPr>
          <w:sz w:val="22"/>
        </w:rPr>
        <w:t>supplementary MSD</w:t>
      </w:r>
      <w:r>
        <w:rPr>
          <w:sz w:val="22"/>
        </w:rPr>
        <w:t xml:space="preserve"> assistance, including the Accommodation Supplement, Disability Allowance, Temporary Additional Support, and hardship assistance </w:t>
      </w:r>
    </w:p>
    <w:p w14:paraId="4C3C08D5" w14:textId="24D13604" w:rsidR="00AE1A1E" w:rsidRDefault="00917201" w:rsidP="00AE1A1E">
      <w:pPr>
        <w:pStyle w:val="ListParagraph"/>
        <w:numPr>
          <w:ilvl w:val="0"/>
          <w:numId w:val="42"/>
        </w:numPr>
        <w:rPr>
          <w:sz w:val="22"/>
        </w:rPr>
      </w:pPr>
      <w:r>
        <w:rPr>
          <w:sz w:val="22"/>
        </w:rPr>
        <w:t xml:space="preserve">exploring </w:t>
      </w:r>
      <w:r w:rsidR="00AE1A1E">
        <w:rPr>
          <w:sz w:val="22"/>
        </w:rPr>
        <w:t>the role of savings and sources of retirement income other than NZ Superannuation</w:t>
      </w:r>
      <w:r>
        <w:rPr>
          <w:sz w:val="22"/>
        </w:rPr>
        <w:t xml:space="preserve">, including the increasing role of </w:t>
      </w:r>
      <w:proofErr w:type="spellStart"/>
      <w:r>
        <w:rPr>
          <w:sz w:val="22"/>
        </w:rPr>
        <w:t>Kiwisaver</w:t>
      </w:r>
      <w:proofErr w:type="spellEnd"/>
      <w:r>
        <w:rPr>
          <w:sz w:val="22"/>
        </w:rPr>
        <w:t>, drawing on recent and upcoming work from the Retirement Commission</w:t>
      </w:r>
    </w:p>
    <w:p w14:paraId="44225011" w14:textId="091210D9" w:rsidR="00917201" w:rsidRDefault="005A4321" w:rsidP="000328E4">
      <w:pPr>
        <w:pStyle w:val="ListParagraph"/>
        <w:numPr>
          <w:ilvl w:val="0"/>
          <w:numId w:val="42"/>
        </w:numPr>
        <w:rPr>
          <w:sz w:val="22"/>
        </w:rPr>
      </w:pPr>
      <w:r>
        <w:rPr>
          <w:sz w:val="22"/>
        </w:rPr>
        <w:t>c</w:t>
      </w:r>
      <w:r w:rsidR="00917201">
        <w:rPr>
          <w:sz w:val="22"/>
        </w:rPr>
        <w:t>onsidering</w:t>
      </w:r>
      <w:r w:rsidR="001568E6">
        <w:rPr>
          <w:sz w:val="22"/>
        </w:rPr>
        <w:t xml:space="preserve"> other</w:t>
      </w:r>
      <w:r w:rsidR="00917201">
        <w:rPr>
          <w:sz w:val="22"/>
        </w:rPr>
        <w:t xml:space="preserve"> trends </w:t>
      </w:r>
      <w:r w:rsidR="001568E6">
        <w:rPr>
          <w:sz w:val="22"/>
        </w:rPr>
        <w:t xml:space="preserve">that </w:t>
      </w:r>
      <w:r w:rsidR="00917201">
        <w:rPr>
          <w:sz w:val="22"/>
        </w:rPr>
        <w:t>are likely to impact on</w:t>
      </w:r>
      <w:r w:rsidR="00EC7A99">
        <w:rPr>
          <w:sz w:val="22"/>
        </w:rPr>
        <w:t xml:space="preserve"> the wellbeing of older people in New Zealan</w:t>
      </w:r>
      <w:r w:rsidR="001568E6">
        <w:rPr>
          <w:sz w:val="22"/>
        </w:rPr>
        <w:t xml:space="preserve">d, such as trends in the availability of health services, the availability and affordability of care and other changes that could occur at the social and community level. </w:t>
      </w:r>
    </w:p>
    <w:p w14:paraId="7DEDECDD" w14:textId="21983053" w:rsidR="00AE1A1E" w:rsidRPr="008A4C30" w:rsidRDefault="00EE0130" w:rsidP="00AE1A1E">
      <w:pPr>
        <w:rPr>
          <w:sz w:val="22"/>
        </w:rPr>
      </w:pPr>
      <w:bookmarkStart w:id="6" w:name="_Hlk177721020"/>
      <w:r>
        <w:rPr>
          <w:sz w:val="22"/>
        </w:rPr>
        <w:t>We could consider how the issues above interact with one another, and potentially result in compounding disadvantage</w:t>
      </w:r>
      <w:r w:rsidR="004D6C3C">
        <w:rPr>
          <w:sz w:val="22"/>
        </w:rPr>
        <w:t xml:space="preserve"> for some groups of people</w:t>
      </w:r>
      <w:r>
        <w:rPr>
          <w:sz w:val="22"/>
        </w:rPr>
        <w:t xml:space="preserve">. </w:t>
      </w:r>
      <w:bookmarkEnd w:id="6"/>
      <w:r w:rsidR="000328E4">
        <w:rPr>
          <w:sz w:val="22"/>
        </w:rPr>
        <w:t>We could also explore i</w:t>
      </w:r>
      <w:r w:rsidR="00AE1A1E">
        <w:rPr>
          <w:sz w:val="22"/>
        </w:rPr>
        <w:t>nteractions</w:t>
      </w:r>
      <w:r w:rsidR="000328E4">
        <w:rPr>
          <w:sz w:val="22"/>
        </w:rPr>
        <w:t xml:space="preserve"> of the issues above</w:t>
      </w:r>
      <w:r w:rsidR="00AE1A1E">
        <w:rPr>
          <w:sz w:val="22"/>
        </w:rPr>
        <w:t xml:space="preserve"> with other significant future trends, such as climate change, technological change, and so on. </w:t>
      </w:r>
    </w:p>
    <w:p w14:paraId="5E94BF07" w14:textId="0A04078F" w:rsidR="00917201" w:rsidRDefault="00917201" w:rsidP="00AE1A1E">
      <w:pPr>
        <w:rPr>
          <w:b/>
          <w:bCs/>
          <w:sz w:val="22"/>
        </w:rPr>
      </w:pPr>
      <w:r>
        <w:rPr>
          <w:b/>
          <w:bCs/>
          <w:sz w:val="22"/>
        </w:rPr>
        <w:t xml:space="preserve">Considering the implications of the above for policy and services, and the options available to better </w:t>
      </w:r>
      <w:r w:rsidR="00CE2902">
        <w:rPr>
          <w:b/>
          <w:bCs/>
          <w:sz w:val="22"/>
        </w:rPr>
        <w:t xml:space="preserve">address disadvantage in the future. </w:t>
      </w:r>
    </w:p>
    <w:p w14:paraId="21700DFE" w14:textId="62D59EC4" w:rsidR="00CE2902" w:rsidRDefault="00CE2902" w:rsidP="00AE1A1E">
      <w:pPr>
        <w:rPr>
          <w:b/>
          <w:bCs/>
          <w:sz w:val="22"/>
        </w:rPr>
      </w:pPr>
      <w:r>
        <w:rPr>
          <w:sz w:val="22"/>
        </w:rPr>
        <w:t>This could include:</w:t>
      </w:r>
    </w:p>
    <w:p w14:paraId="2BA4DA6A" w14:textId="1D1299DD" w:rsidR="00AE1A1E" w:rsidRPr="00CE2902" w:rsidRDefault="00EA21DC" w:rsidP="00CE2902">
      <w:pPr>
        <w:pStyle w:val="ListParagraph"/>
        <w:numPr>
          <w:ilvl w:val="0"/>
          <w:numId w:val="42"/>
        </w:numPr>
        <w:rPr>
          <w:sz w:val="22"/>
        </w:rPr>
      </w:pPr>
      <w:r>
        <w:rPr>
          <w:sz w:val="22"/>
        </w:rPr>
        <w:t>e</w:t>
      </w:r>
      <w:r w:rsidR="00AE1A1E" w:rsidRPr="00CE2902">
        <w:rPr>
          <w:sz w:val="22"/>
        </w:rPr>
        <w:t xml:space="preserve">xamining how the changing characteristics of older people described in the above analysis will impact MSD supports and services over the next ten years </w:t>
      </w:r>
    </w:p>
    <w:p w14:paraId="54551217" w14:textId="39326277" w:rsidR="00917201" w:rsidRPr="00CE2902" w:rsidRDefault="00EA21DC" w:rsidP="00CE2902">
      <w:pPr>
        <w:pStyle w:val="ListParagraph"/>
        <w:numPr>
          <w:ilvl w:val="0"/>
          <w:numId w:val="42"/>
        </w:numPr>
        <w:rPr>
          <w:sz w:val="22"/>
        </w:rPr>
      </w:pPr>
      <w:r>
        <w:rPr>
          <w:sz w:val="22"/>
        </w:rPr>
        <w:t>i</w:t>
      </w:r>
      <w:r w:rsidR="00AE1A1E" w:rsidRPr="00CE2902">
        <w:rPr>
          <w:sz w:val="22"/>
        </w:rPr>
        <w:t>dentifying ways to mitigate disadvantage for current older New Zealanders and prevent disadvantage among future older New Zealanders.</w:t>
      </w:r>
    </w:p>
    <w:p w14:paraId="4AAD065E" w14:textId="2A67651E" w:rsidR="00F87CBB" w:rsidRPr="003B684E" w:rsidRDefault="00F87CBB" w:rsidP="00F87CBB">
      <w:pPr>
        <w:rPr>
          <w:b/>
          <w:bCs/>
          <w:color w:val="005788"/>
          <w:sz w:val="28"/>
          <w:szCs w:val="28"/>
        </w:rPr>
      </w:pPr>
      <w:bookmarkStart w:id="7" w:name="_Hlk175820902"/>
      <w:r>
        <w:rPr>
          <w:b/>
          <w:bCs/>
          <w:color w:val="005788"/>
          <w:sz w:val="28"/>
          <w:szCs w:val="28"/>
        </w:rPr>
        <w:t xml:space="preserve">How will we manage the scope of the topic? </w:t>
      </w:r>
    </w:p>
    <w:p w14:paraId="2B3F6419" w14:textId="3A663AE5" w:rsidR="00F87CBB" w:rsidRDefault="00EE287B" w:rsidP="00F87CBB">
      <w:pPr>
        <w:rPr>
          <w:sz w:val="22"/>
        </w:rPr>
      </w:pPr>
      <w:r>
        <w:rPr>
          <w:sz w:val="22"/>
        </w:rPr>
        <w:t>The breadth of the proposed topic will limit the level of depth we will be able to go into on some of the proposed analysis above. Our</w:t>
      </w:r>
      <w:r w:rsidR="00F87CBB">
        <w:rPr>
          <w:sz w:val="22"/>
        </w:rPr>
        <w:t xml:space="preserve"> focus </w:t>
      </w:r>
      <w:r w:rsidR="000A2A7B">
        <w:rPr>
          <w:sz w:val="22"/>
        </w:rPr>
        <w:t xml:space="preserve">will </w:t>
      </w:r>
      <w:r w:rsidR="00F87CBB">
        <w:rPr>
          <w:sz w:val="22"/>
        </w:rPr>
        <w:t xml:space="preserve">be on areas directly relevant to </w:t>
      </w:r>
      <w:r>
        <w:rPr>
          <w:sz w:val="22"/>
        </w:rPr>
        <w:t>MSD’s</w:t>
      </w:r>
      <w:r w:rsidR="00F87CBB">
        <w:rPr>
          <w:sz w:val="22"/>
        </w:rPr>
        <w:t xml:space="preserve"> responsibilities in employment services, income support provision, housing supports, and community services funding</w:t>
      </w:r>
      <w:r w:rsidR="006E1E0A">
        <w:rPr>
          <w:sz w:val="22"/>
        </w:rPr>
        <w:t xml:space="preserve"> and provision</w:t>
      </w:r>
      <w:r w:rsidR="00F87CBB">
        <w:rPr>
          <w:sz w:val="22"/>
        </w:rPr>
        <w:t xml:space="preserve">. While the proposed topic is focused on a concept of disadvantage that is broader than just financial issues, we would have a clear emphasis on the material needs of older New Zealanders. </w:t>
      </w:r>
    </w:p>
    <w:p w14:paraId="5BF08286" w14:textId="7E042335" w:rsidR="00AE1A1E" w:rsidRPr="003B684E" w:rsidRDefault="00AE1A1E" w:rsidP="00AE1A1E">
      <w:pPr>
        <w:rPr>
          <w:b/>
          <w:bCs/>
          <w:color w:val="005788"/>
          <w:sz w:val="28"/>
          <w:szCs w:val="28"/>
        </w:rPr>
      </w:pPr>
      <w:r w:rsidRPr="003B684E">
        <w:rPr>
          <w:b/>
          <w:bCs/>
          <w:color w:val="005788"/>
          <w:sz w:val="28"/>
          <w:szCs w:val="28"/>
        </w:rPr>
        <w:t xml:space="preserve">How will we </w:t>
      </w:r>
      <w:proofErr w:type="gramStart"/>
      <w:r w:rsidRPr="003B684E">
        <w:rPr>
          <w:b/>
          <w:bCs/>
          <w:color w:val="005788"/>
          <w:sz w:val="28"/>
          <w:szCs w:val="28"/>
        </w:rPr>
        <w:t>take into account</w:t>
      </w:r>
      <w:proofErr w:type="gramEnd"/>
      <w:r w:rsidRPr="003B684E">
        <w:rPr>
          <w:b/>
          <w:bCs/>
          <w:color w:val="005788"/>
          <w:sz w:val="28"/>
          <w:szCs w:val="28"/>
        </w:rPr>
        <w:t xml:space="preserve"> diverse perspectives</w:t>
      </w:r>
      <w:r w:rsidR="009A7CC9">
        <w:rPr>
          <w:b/>
          <w:bCs/>
          <w:color w:val="005788"/>
          <w:sz w:val="28"/>
          <w:szCs w:val="28"/>
        </w:rPr>
        <w:t xml:space="preserve"> and think about </w:t>
      </w:r>
      <w:r w:rsidR="00FC2952">
        <w:rPr>
          <w:b/>
          <w:bCs/>
          <w:color w:val="005788"/>
          <w:sz w:val="28"/>
          <w:szCs w:val="28"/>
        </w:rPr>
        <w:t>specific</w:t>
      </w:r>
      <w:r w:rsidR="009A7CC9">
        <w:rPr>
          <w:b/>
          <w:bCs/>
          <w:color w:val="005788"/>
          <w:sz w:val="28"/>
          <w:szCs w:val="28"/>
        </w:rPr>
        <w:t xml:space="preserve"> groups</w:t>
      </w:r>
      <w:r w:rsidRPr="003B684E">
        <w:rPr>
          <w:b/>
          <w:bCs/>
          <w:color w:val="005788"/>
          <w:sz w:val="28"/>
          <w:szCs w:val="28"/>
        </w:rPr>
        <w:t xml:space="preserve">? </w:t>
      </w:r>
    </w:p>
    <w:bookmarkEnd w:id="7"/>
    <w:p w14:paraId="02CA4FC9" w14:textId="4D097D12" w:rsidR="009A7CC9" w:rsidRDefault="009A7CC9" w:rsidP="00AE1A1E">
      <w:pPr>
        <w:rPr>
          <w:sz w:val="22"/>
        </w:rPr>
      </w:pPr>
      <w:r>
        <w:rPr>
          <w:sz w:val="22"/>
        </w:rPr>
        <w:t xml:space="preserve">As we develop the briefing, we want to </w:t>
      </w:r>
      <w:proofErr w:type="gramStart"/>
      <w:r>
        <w:rPr>
          <w:sz w:val="22"/>
        </w:rPr>
        <w:t>take into account</w:t>
      </w:r>
      <w:proofErr w:type="gramEnd"/>
      <w:r>
        <w:rPr>
          <w:sz w:val="22"/>
        </w:rPr>
        <w:t xml:space="preserve"> diverse perspectives on retirement and ageing, and consider the position of </w:t>
      </w:r>
      <w:r w:rsidR="00FC2952">
        <w:rPr>
          <w:sz w:val="22"/>
        </w:rPr>
        <w:t xml:space="preserve">specific </w:t>
      </w:r>
      <w:r>
        <w:rPr>
          <w:sz w:val="22"/>
        </w:rPr>
        <w:t xml:space="preserve">groups throughout the analysis, particularly </w:t>
      </w:r>
      <w:r w:rsidR="00376D71">
        <w:rPr>
          <w:sz w:val="22"/>
        </w:rPr>
        <w:t>Māori</w:t>
      </w:r>
      <w:r>
        <w:rPr>
          <w:sz w:val="22"/>
        </w:rPr>
        <w:t xml:space="preserve"> and Pacific people</w:t>
      </w:r>
      <w:r w:rsidR="00F15DCB">
        <w:rPr>
          <w:sz w:val="22"/>
        </w:rPr>
        <w:t>, ethnic minorities, disabled people and rainbow older people</w:t>
      </w:r>
      <w:r>
        <w:rPr>
          <w:sz w:val="22"/>
        </w:rPr>
        <w:t xml:space="preserve">. </w:t>
      </w:r>
    </w:p>
    <w:p w14:paraId="1548C3C6" w14:textId="5100F88A" w:rsidR="00FD6EE1" w:rsidRDefault="00FD6EE1" w:rsidP="00FD6EE1">
      <w:pPr>
        <w:rPr>
          <w:sz w:val="22"/>
        </w:rPr>
      </w:pPr>
      <w:bookmarkStart w:id="8" w:name="_Hlk175820818"/>
      <w:r>
        <w:rPr>
          <w:b/>
          <w:bCs/>
          <w:sz w:val="22"/>
        </w:rPr>
        <w:lastRenderedPageBreak/>
        <w:t>C</w:t>
      </w:r>
      <w:r w:rsidR="00AE1A1E" w:rsidRPr="00FD6EE1">
        <w:rPr>
          <w:b/>
          <w:bCs/>
          <w:sz w:val="22"/>
        </w:rPr>
        <w:t>onsider</w:t>
      </w:r>
      <w:r>
        <w:rPr>
          <w:b/>
          <w:bCs/>
          <w:sz w:val="22"/>
        </w:rPr>
        <w:t>ing</w:t>
      </w:r>
      <w:r w:rsidR="00AE1A1E" w:rsidRPr="00FD6EE1">
        <w:rPr>
          <w:b/>
          <w:bCs/>
          <w:sz w:val="22"/>
        </w:rPr>
        <w:t xml:space="preserve"> how the over-65s population will change, including the ethnic composition of older people.</w:t>
      </w:r>
      <w:r w:rsidR="000328E4" w:rsidRPr="00FD6EE1">
        <w:rPr>
          <w:sz w:val="22"/>
        </w:rPr>
        <w:t xml:space="preserve"> </w:t>
      </w:r>
    </w:p>
    <w:p w14:paraId="18234652" w14:textId="657F01F3" w:rsidR="00E13656" w:rsidRPr="00E13656" w:rsidRDefault="00E13656" w:rsidP="00E13656">
      <w:pPr>
        <w:pStyle w:val="ReportBody"/>
        <w:numPr>
          <w:ilvl w:val="0"/>
          <w:numId w:val="0"/>
        </w:numPr>
      </w:pPr>
      <w:r>
        <w:rPr>
          <w:lang w:eastAsia="x-none"/>
        </w:rPr>
        <w:t xml:space="preserve">As noted on page </w:t>
      </w:r>
      <w:r w:rsidR="00B1591A">
        <w:rPr>
          <w:lang w:eastAsia="x-none"/>
        </w:rPr>
        <w:t xml:space="preserve">eight </w:t>
      </w:r>
      <w:r>
        <w:rPr>
          <w:lang w:eastAsia="x-none"/>
        </w:rPr>
        <w:t>above</w:t>
      </w:r>
      <w:r w:rsidR="006A2F94" w:rsidRPr="00FD6EE1">
        <w:rPr>
          <w:lang w:val="x-none" w:eastAsia="x-none"/>
        </w:rPr>
        <w:t>, we know that the</w:t>
      </w:r>
      <w:r w:rsidR="00AF56A3" w:rsidRPr="00FD6EE1">
        <w:rPr>
          <w:lang w:eastAsia="x-none"/>
        </w:rPr>
        <w:t xml:space="preserve"> ethnic make-up of older New Zealanders is expected to change</w:t>
      </w:r>
      <w:r>
        <w:rPr>
          <w:lang w:eastAsia="x-none"/>
        </w:rPr>
        <w:t>, and we will consider</w:t>
      </w:r>
      <w:r w:rsidR="00FC2952">
        <w:rPr>
          <w:lang w:eastAsia="x-none"/>
        </w:rPr>
        <w:t xml:space="preserve"> any </w:t>
      </w:r>
      <w:r>
        <w:rPr>
          <w:lang w:eastAsia="x-none"/>
        </w:rPr>
        <w:t>implications of</w:t>
      </w:r>
      <w:r w:rsidR="00FC2952">
        <w:rPr>
          <w:lang w:eastAsia="x-none"/>
        </w:rPr>
        <w:t xml:space="preserve"> this changing make-up and </w:t>
      </w:r>
      <w:r w:rsidRPr="00156773">
        <w:rPr>
          <w:szCs w:val="22"/>
        </w:rPr>
        <w:t>increas</w:t>
      </w:r>
      <w:r w:rsidR="00FC2952">
        <w:rPr>
          <w:szCs w:val="22"/>
        </w:rPr>
        <w:t>ed</w:t>
      </w:r>
      <w:r w:rsidRPr="00156773">
        <w:rPr>
          <w:szCs w:val="22"/>
        </w:rPr>
        <w:t xml:space="preserve"> diversity</w:t>
      </w:r>
      <w:r w:rsidR="00FC2952">
        <w:rPr>
          <w:szCs w:val="22"/>
        </w:rPr>
        <w:t xml:space="preserve"> for the topic at hand.  </w:t>
      </w:r>
    </w:p>
    <w:p w14:paraId="2F5861CF" w14:textId="1858F68C" w:rsidR="00905E7E" w:rsidRDefault="00FD6EE1" w:rsidP="00FD6EE1">
      <w:pPr>
        <w:rPr>
          <w:sz w:val="22"/>
        </w:rPr>
      </w:pPr>
      <w:r>
        <w:rPr>
          <w:b/>
          <w:bCs/>
          <w:sz w:val="22"/>
        </w:rPr>
        <w:t>E</w:t>
      </w:r>
      <w:r w:rsidR="00AE1A1E" w:rsidRPr="00FD6EE1">
        <w:rPr>
          <w:b/>
          <w:bCs/>
          <w:sz w:val="22"/>
        </w:rPr>
        <w:t>xplor</w:t>
      </w:r>
      <w:r>
        <w:rPr>
          <w:b/>
          <w:bCs/>
          <w:sz w:val="22"/>
        </w:rPr>
        <w:t>ing</w:t>
      </w:r>
      <w:r w:rsidR="00AE1A1E" w:rsidRPr="00FD6EE1">
        <w:rPr>
          <w:b/>
          <w:bCs/>
          <w:sz w:val="22"/>
        </w:rPr>
        <w:t xml:space="preserve"> perspectives </w:t>
      </w:r>
      <w:r w:rsidR="00FC2952">
        <w:rPr>
          <w:b/>
          <w:bCs/>
          <w:sz w:val="22"/>
        </w:rPr>
        <w:t xml:space="preserve">from across population groups </w:t>
      </w:r>
      <w:r w:rsidR="00AE1A1E" w:rsidRPr="00FD6EE1">
        <w:rPr>
          <w:b/>
          <w:bCs/>
          <w:sz w:val="22"/>
        </w:rPr>
        <w:t>on the underlying concepts such as ag</w:t>
      </w:r>
      <w:r w:rsidR="00F82C0D">
        <w:rPr>
          <w:b/>
          <w:bCs/>
          <w:sz w:val="22"/>
        </w:rPr>
        <w:t>e</w:t>
      </w:r>
      <w:r w:rsidR="00AE1A1E" w:rsidRPr="00FD6EE1">
        <w:rPr>
          <w:b/>
          <w:bCs/>
          <w:sz w:val="22"/>
        </w:rPr>
        <w:t>ing and retirement</w:t>
      </w:r>
      <w:r w:rsidR="00251F22" w:rsidRPr="00FD6EE1">
        <w:rPr>
          <w:sz w:val="22"/>
        </w:rPr>
        <w:t>.</w:t>
      </w:r>
      <w:r w:rsidR="006A2F94" w:rsidRPr="00FD6EE1">
        <w:rPr>
          <w:sz w:val="22"/>
        </w:rPr>
        <w:t xml:space="preserve"> </w:t>
      </w:r>
    </w:p>
    <w:p w14:paraId="4EF155BF" w14:textId="28B83932" w:rsidR="006A2F94" w:rsidRDefault="00905E7E" w:rsidP="00FD6EE1">
      <w:pPr>
        <w:rPr>
          <w:sz w:val="22"/>
        </w:rPr>
      </w:pPr>
      <w:r>
        <w:rPr>
          <w:sz w:val="22"/>
        </w:rPr>
        <w:t>R</w:t>
      </w:r>
      <w:r w:rsidRPr="00905E7E">
        <w:rPr>
          <w:sz w:val="22"/>
        </w:rPr>
        <w:t xml:space="preserve">esearch undertaken </w:t>
      </w:r>
      <w:r>
        <w:rPr>
          <w:sz w:val="22"/>
        </w:rPr>
        <w:t>by the Retirement Commission</w:t>
      </w:r>
      <w:r w:rsidRPr="00905E7E">
        <w:rPr>
          <w:sz w:val="22"/>
        </w:rPr>
        <w:t xml:space="preserve"> suggests that the</w:t>
      </w:r>
      <w:r>
        <w:rPr>
          <w:sz w:val="22"/>
        </w:rPr>
        <w:t xml:space="preserve"> </w:t>
      </w:r>
      <w:r w:rsidRPr="00905E7E">
        <w:rPr>
          <w:sz w:val="22"/>
        </w:rPr>
        <w:t xml:space="preserve">concept of ‘retirement’ </w:t>
      </w:r>
      <w:r>
        <w:rPr>
          <w:sz w:val="22"/>
        </w:rPr>
        <w:t xml:space="preserve">has less currency for some </w:t>
      </w:r>
      <w:r w:rsidRPr="00905E7E">
        <w:rPr>
          <w:sz w:val="22"/>
        </w:rPr>
        <w:t>Māori.</w:t>
      </w:r>
      <w:r>
        <w:rPr>
          <w:rStyle w:val="FootnoteReference"/>
          <w:sz w:val="22"/>
        </w:rPr>
        <w:footnoteReference w:id="16"/>
      </w:r>
      <w:r>
        <w:rPr>
          <w:sz w:val="22"/>
        </w:rPr>
        <w:t xml:space="preserve"> F</w:t>
      </w:r>
      <w:r w:rsidR="006A2F94" w:rsidRPr="00FD6EE1">
        <w:rPr>
          <w:sz w:val="22"/>
        </w:rPr>
        <w:t xml:space="preserve">or some Pacific groups, eldership may be a more relevant conceptualisation than retirement or being elderly. </w:t>
      </w:r>
      <w:proofErr w:type="spellStart"/>
      <w:r w:rsidR="006A2F94" w:rsidRPr="00FD6EE1">
        <w:rPr>
          <w:sz w:val="22"/>
        </w:rPr>
        <w:t>Tamasese</w:t>
      </w:r>
      <w:proofErr w:type="spellEnd"/>
      <w:r w:rsidR="006A2F94" w:rsidRPr="00FD6EE1">
        <w:rPr>
          <w:sz w:val="22"/>
        </w:rPr>
        <w:t xml:space="preserve"> et al (2014) describe that older Pacific peoples are considered at their most ‘optimum’; they are busy, and active in their families, churches, communities. They are not resting; their lives are not minimised</w:t>
      </w:r>
      <w:r w:rsidR="0059116D">
        <w:rPr>
          <w:rStyle w:val="FootnoteReference"/>
          <w:sz w:val="22"/>
        </w:rPr>
        <w:footnoteReference w:id="17"/>
      </w:r>
      <w:r w:rsidR="006A2F94" w:rsidRPr="00FD6EE1">
        <w:rPr>
          <w:sz w:val="22"/>
        </w:rPr>
        <w:t>.</w:t>
      </w:r>
    </w:p>
    <w:p w14:paraId="2C7BC628" w14:textId="09138FDF" w:rsidR="00905E7E" w:rsidRDefault="00FD6EE1" w:rsidP="00FD6EE1">
      <w:pPr>
        <w:rPr>
          <w:sz w:val="22"/>
        </w:rPr>
      </w:pPr>
      <w:r>
        <w:rPr>
          <w:b/>
          <w:bCs/>
          <w:sz w:val="22"/>
        </w:rPr>
        <w:t>E</w:t>
      </w:r>
      <w:r w:rsidR="00AE1A1E" w:rsidRPr="00FD6EE1">
        <w:rPr>
          <w:b/>
          <w:bCs/>
          <w:sz w:val="22"/>
        </w:rPr>
        <w:t>xplicit</w:t>
      </w:r>
      <w:r w:rsidR="00251F22" w:rsidRPr="00FD6EE1">
        <w:rPr>
          <w:b/>
          <w:bCs/>
          <w:sz w:val="22"/>
        </w:rPr>
        <w:t>ly</w:t>
      </w:r>
      <w:r w:rsidR="00AE1A1E" w:rsidRPr="00FD6EE1">
        <w:rPr>
          <w:b/>
          <w:bCs/>
          <w:sz w:val="22"/>
        </w:rPr>
        <w:t xml:space="preserve"> consider</w:t>
      </w:r>
      <w:r>
        <w:rPr>
          <w:b/>
          <w:bCs/>
          <w:sz w:val="22"/>
        </w:rPr>
        <w:t>ing</w:t>
      </w:r>
      <w:r w:rsidR="00FC2952">
        <w:rPr>
          <w:b/>
          <w:bCs/>
          <w:sz w:val="22"/>
        </w:rPr>
        <w:t xml:space="preserve"> specific</w:t>
      </w:r>
      <w:r w:rsidR="00AE1A1E" w:rsidRPr="00FD6EE1">
        <w:rPr>
          <w:b/>
          <w:bCs/>
          <w:sz w:val="22"/>
        </w:rPr>
        <w:t xml:space="preserve"> population groups, including Māori and Pacific </w:t>
      </w:r>
      <w:r w:rsidR="00EA21DC" w:rsidRPr="00FD6EE1">
        <w:rPr>
          <w:b/>
          <w:bCs/>
          <w:sz w:val="22"/>
        </w:rPr>
        <w:t>p</w:t>
      </w:r>
      <w:r w:rsidR="00AE1A1E" w:rsidRPr="00FD6EE1">
        <w:rPr>
          <w:b/>
          <w:bCs/>
          <w:sz w:val="22"/>
        </w:rPr>
        <w:t>eoples, through each of the proposed stages of the analysis.</w:t>
      </w:r>
      <w:r w:rsidR="000328E4" w:rsidRPr="00FD6EE1">
        <w:rPr>
          <w:sz w:val="22"/>
        </w:rPr>
        <w:t xml:space="preserve"> </w:t>
      </w:r>
      <w:bookmarkEnd w:id="8"/>
    </w:p>
    <w:p w14:paraId="4E47F8B9" w14:textId="77777777" w:rsidR="00FC2952" w:rsidRDefault="006A2F94" w:rsidP="00874A31">
      <w:pPr>
        <w:rPr>
          <w:sz w:val="22"/>
        </w:rPr>
      </w:pPr>
      <w:r w:rsidRPr="00FD6EE1">
        <w:rPr>
          <w:sz w:val="22"/>
        </w:rPr>
        <w:t>For example</w:t>
      </w:r>
      <w:r w:rsidR="00905E7E">
        <w:rPr>
          <w:sz w:val="22"/>
        </w:rPr>
        <w:t xml:space="preserve">, </w:t>
      </w:r>
      <w:r w:rsidRPr="00FD6EE1">
        <w:rPr>
          <w:sz w:val="22"/>
        </w:rPr>
        <w:t>the Retirement Commission</w:t>
      </w:r>
      <w:r w:rsidR="00251F22" w:rsidRPr="00FD6EE1">
        <w:rPr>
          <w:sz w:val="22"/>
        </w:rPr>
        <w:t xml:space="preserve"> has</w:t>
      </w:r>
      <w:r w:rsidR="00874A31" w:rsidRPr="00FD6EE1">
        <w:rPr>
          <w:sz w:val="22"/>
        </w:rPr>
        <w:t xml:space="preserve"> noted that</w:t>
      </w:r>
      <w:r w:rsidRPr="00FD6EE1">
        <w:rPr>
          <w:sz w:val="22"/>
        </w:rPr>
        <w:t xml:space="preserve"> the process of colonisation, which included the dispossession of land, has contributed to health and wellbeing inequities for Māori, including lower rates of home ownership and shorter life expectancy. </w:t>
      </w:r>
    </w:p>
    <w:p w14:paraId="2BB23BF3" w14:textId="5829FD96" w:rsidR="00636C08" w:rsidRPr="00874A31" w:rsidRDefault="00EA21DC" w:rsidP="00874A31">
      <w:pPr>
        <w:rPr>
          <w:sz w:val="22"/>
        </w:rPr>
      </w:pPr>
      <w:r w:rsidRPr="00EA21DC">
        <w:rPr>
          <w:sz w:val="22"/>
        </w:rPr>
        <w:t>We are</w:t>
      </w:r>
      <w:r w:rsidR="00FC2952" w:rsidRPr="00FC2952">
        <w:rPr>
          <w:sz w:val="22"/>
        </w:rPr>
        <w:t xml:space="preserve"> </w:t>
      </w:r>
      <w:r w:rsidR="00FC2952">
        <w:rPr>
          <w:sz w:val="22"/>
        </w:rPr>
        <w:t>particularly interested in the views of specific ethnic communities</w:t>
      </w:r>
      <w:r w:rsidR="000F2DB7">
        <w:rPr>
          <w:sz w:val="22"/>
        </w:rPr>
        <w:t>, as well as women, disabled people and those with diverse gender and sexual identit</w:t>
      </w:r>
      <w:r w:rsidR="00B1591A">
        <w:rPr>
          <w:sz w:val="22"/>
        </w:rPr>
        <w:t>i</w:t>
      </w:r>
      <w:r w:rsidR="000F2DB7">
        <w:rPr>
          <w:sz w:val="22"/>
        </w:rPr>
        <w:t>es</w:t>
      </w:r>
      <w:r w:rsidR="00FC2952">
        <w:rPr>
          <w:sz w:val="22"/>
        </w:rPr>
        <w:t xml:space="preserve"> within New Zealand and would appreciate any </w:t>
      </w:r>
      <w:r w:rsidRPr="00EA21DC">
        <w:rPr>
          <w:sz w:val="22"/>
        </w:rPr>
        <w:t>feedback</w:t>
      </w:r>
      <w:r w:rsidR="00FC2952">
        <w:rPr>
          <w:sz w:val="22"/>
        </w:rPr>
        <w:t xml:space="preserve"> from organisations </w:t>
      </w:r>
      <w:r w:rsidR="000F2DB7">
        <w:rPr>
          <w:sz w:val="22"/>
        </w:rPr>
        <w:t xml:space="preserve">with knowledge of or </w:t>
      </w:r>
      <w:r w:rsidR="00FC2952">
        <w:rPr>
          <w:sz w:val="22"/>
        </w:rPr>
        <w:t>representing such groups</w:t>
      </w:r>
      <w:r w:rsidR="00636C08">
        <w:rPr>
          <w:sz w:val="22"/>
        </w:rPr>
        <w:t xml:space="preserve">. </w:t>
      </w:r>
    </w:p>
    <w:p w14:paraId="7101C5BE" w14:textId="77777777" w:rsidR="002973FF" w:rsidRDefault="002973FF">
      <w:pPr>
        <w:spacing w:after="0" w:line="240" w:lineRule="auto"/>
        <w:rPr>
          <w:b/>
          <w:bCs/>
          <w:color w:val="005788"/>
          <w:sz w:val="28"/>
          <w:szCs w:val="28"/>
        </w:rPr>
      </w:pPr>
      <w:r>
        <w:rPr>
          <w:b/>
          <w:bCs/>
          <w:color w:val="005788"/>
          <w:sz w:val="28"/>
          <w:szCs w:val="28"/>
        </w:rPr>
        <w:br w:type="page"/>
      </w:r>
    </w:p>
    <w:p w14:paraId="7DF1E184" w14:textId="313F3028" w:rsidR="002973FF" w:rsidRPr="003B684E" w:rsidRDefault="002973FF" w:rsidP="002973FF">
      <w:pPr>
        <w:rPr>
          <w:b/>
          <w:bCs/>
          <w:color w:val="121F6B"/>
          <w:sz w:val="32"/>
          <w:szCs w:val="32"/>
        </w:rPr>
      </w:pPr>
      <w:r>
        <w:rPr>
          <w:b/>
          <w:bCs/>
          <w:color w:val="121F6B"/>
          <w:sz w:val="32"/>
          <w:szCs w:val="32"/>
        </w:rPr>
        <w:lastRenderedPageBreak/>
        <w:t>Seeking your feedback</w:t>
      </w:r>
    </w:p>
    <w:p w14:paraId="0A8128E7" w14:textId="20ED64C6" w:rsidR="00AE1A1E" w:rsidRPr="003B684E" w:rsidRDefault="00AE1A1E" w:rsidP="00AE1A1E">
      <w:pPr>
        <w:rPr>
          <w:b/>
          <w:bCs/>
          <w:color w:val="005788"/>
          <w:sz w:val="28"/>
          <w:szCs w:val="28"/>
        </w:rPr>
      </w:pPr>
      <w:r w:rsidRPr="003B684E">
        <w:rPr>
          <w:b/>
          <w:bCs/>
          <w:color w:val="005788"/>
          <w:sz w:val="28"/>
          <w:szCs w:val="28"/>
        </w:rPr>
        <w:t>We are seeking your views on the proposed topic and scope</w:t>
      </w:r>
    </w:p>
    <w:p w14:paraId="5F014040" w14:textId="77777777" w:rsidR="000328E4" w:rsidRPr="000328E4" w:rsidRDefault="000328E4" w:rsidP="000328E4">
      <w:pPr>
        <w:rPr>
          <w:b/>
          <w:bCs/>
          <w:sz w:val="22"/>
        </w:rPr>
      </w:pPr>
      <w:r w:rsidRPr="000328E4">
        <w:rPr>
          <w:b/>
          <w:bCs/>
          <w:sz w:val="22"/>
        </w:rPr>
        <w:t xml:space="preserve">Do we have the right topic? To what extent is the issue an important thing for the Ministry of Social Development to consider? </w:t>
      </w:r>
    </w:p>
    <w:p w14:paraId="4C150F85" w14:textId="77B74D45" w:rsidR="000328E4" w:rsidRDefault="0079280B" w:rsidP="00AE1A1E">
      <w:pPr>
        <w:rPr>
          <w:b/>
          <w:bCs/>
          <w:sz w:val="22"/>
        </w:rPr>
      </w:pPr>
      <w:r>
        <w:rPr>
          <w:sz w:val="22"/>
        </w:rPr>
        <w:t xml:space="preserve">The key thing we want to know now is whether we have landed on the right topic, or whether we should make changes to how we approach this. </w:t>
      </w:r>
    </w:p>
    <w:p w14:paraId="180ACAB6" w14:textId="6B202AC1" w:rsidR="00AE1A1E" w:rsidRPr="00156773" w:rsidRDefault="00AE1A1E" w:rsidP="00AE1A1E">
      <w:pPr>
        <w:rPr>
          <w:b/>
          <w:bCs/>
          <w:sz w:val="22"/>
        </w:rPr>
      </w:pPr>
      <w:r w:rsidRPr="00156773">
        <w:rPr>
          <w:b/>
          <w:bCs/>
          <w:sz w:val="22"/>
        </w:rPr>
        <w:t xml:space="preserve">How can we think about the diverse needs of older people? Are there particular groups of older people we need to think about in different ways? </w:t>
      </w:r>
    </w:p>
    <w:p w14:paraId="3E786A4C" w14:textId="067BEF16" w:rsidR="00636C08" w:rsidRPr="009A7CC9" w:rsidRDefault="00636C08" w:rsidP="00636C08">
      <w:pPr>
        <w:rPr>
          <w:b/>
          <w:bCs/>
          <w:color w:val="0070C0"/>
          <w:sz w:val="22"/>
        </w:rPr>
      </w:pPr>
      <w:r>
        <w:rPr>
          <w:sz w:val="22"/>
        </w:rPr>
        <w:t xml:space="preserve">As noted on </w:t>
      </w:r>
      <w:r w:rsidR="00AC0145">
        <w:rPr>
          <w:sz w:val="22"/>
        </w:rPr>
        <w:t xml:space="preserve">page </w:t>
      </w:r>
      <w:r w:rsidR="0059116D">
        <w:rPr>
          <w:sz w:val="22"/>
        </w:rPr>
        <w:t>12</w:t>
      </w:r>
      <w:r w:rsidR="00AC0145">
        <w:rPr>
          <w:sz w:val="22"/>
        </w:rPr>
        <w:t xml:space="preserve"> </w:t>
      </w:r>
      <w:r>
        <w:rPr>
          <w:sz w:val="22"/>
        </w:rPr>
        <w:t xml:space="preserve">above, we want to </w:t>
      </w:r>
      <w:proofErr w:type="gramStart"/>
      <w:r>
        <w:rPr>
          <w:sz w:val="22"/>
        </w:rPr>
        <w:t>take into account</w:t>
      </w:r>
      <w:proofErr w:type="gramEnd"/>
      <w:r>
        <w:rPr>
          <w:sz w:val="22"/>
        </w:rPr>
        <w:t xml:space="preserve"> diverse perspectives on retirement and ageing, and consider the position of </w:t>
      </w:r>
      <w:r w:rsidR="00FC2952">
        <w:rPr>
          <w:sz w:val="22"/>
        </w:rPr>
        <w:t xml:space="preserve">specific </w:t>
      </w:r>
      <w:r>
        <w:rPr>
          <w:sz w:val="22"/>
        </w:rPr>
        <w:t xml:space="preserve">groups throughout the analysis, particularly </w:t>
      </w:r>
      <w:r w:rsidR="00AB56A3">
        <w:rPr>
          <w:sz w:val="22"/>
        </w:rPr>
        <w:t>Māori</w:t>
      </w:r>
      <w:r>
        <w:rPr>
          <w:sz w:val="22"/>
        </w:rPr>
        <w:t xml:space="preserve"> and Pacific people</w:t>
      </w:r>
      <w:r w:rsidR="00231CC3">
        <w:rPr>
          <w:sz w:val="22"/>
        </w:rPr>
        <w:t>, ethnic minorities, disabled people and rainbow older people</w:t>
      </w:r>
      <w:r>
        <w:rPr>
          <w:sz w:val="22"/>
        </w:rPr>
        <w:t xml:space="preserve">. We are seeking feedback on whether we have the right approach to thinking about the needs and aspirations of </w:t>
      </w:r>
      <w:r w:rsidR="00263C10">
        <w:rPr>
          <w:sz w:val="22"/>
        </w:rPr>
        <w:t xml:space="preserve">specific </w:t>
      </w:r>
      <w:r>
        <w:rPr>
          <w:sz w:val="22"/>
        </w:rPr>
        <w:t xml:space="preserve">groups of older people now and in the future. </w:t>
      </w:r>
    </w:p>
    <w:p w14:paraId="78ACEEED" w14:textId="5079A853" w:rsidR="00AE1A1E" w:rsidRPr="00156773" w:rsidRDefault="000328E4" w:rsidP="00AE1A1E">
      <w:pPr>
        <w:rPr>
          <w:sz w:val="22"/>
        </w:rPr>
      </w:pPr>
      <w:r w:rsidRPr="000328E4">
        <w:rPr>
          <w:b/>
          <w:bCs/>
          <w:sz w:val="22"/>
        </w:rPr>
        <w:t xml:space="preserve">What are the most critical changes we expect in the coming decades that would impact on the wellbeing of </w:t>
      </w:r>
      <w:r w:rsidR="009A7CC9">
        <w:rPr>
          <w:b/>
          <w:bCs/>
          <w:sz w:val="22"/>
        </w:rPr>
        <w:t xml:space="preserve">older </w:t>
      </w:r>
      <w:r w:rsidR="009A7CC9" w:rsidRPr="009A7CC9">
        <w:rPr>
          <w:b/>
          <w:bCs/>
          <w:sz w:val="22"/>
        </w:rPr>
        <w:t>people in the future?</w:t>
      </w:r>
      <w:r w:rsidR="00874A31">
        <w:rPr>
          <w:b/>
          <w:bCs/>
          <w:sz w:val="22"/>
        </w:rPr>
        <w:t xml:space="preserve"> Have we missed any critical</w:t>
      </w:r>
      <w:r w:rsidR="002973FF">
        <w:rPr>
          <w:b/>
          <w:bCs/>
          <w:sz w:val="22"/>
        </w:rPr>
        <w:t xml:space="preserve"> future trends</w:t>
      </w:r>
      <w:r w:rsidR="00874A31">
        <w:rPr>
          <w:b/>
          <w:bCs/>
          <w:sz w:val="22"/>
        </w:rPr>
        <w:t xml:space="preserve"> in our proposed analysis? </w:t>
      </w:r>
    </w:p>
    <w:p w14:paraId="21C96F22" w14:textId="5B8FD5FD" w:rsidR="00636C08" w:rsidRDefault="00636C08" w:rsidP="00636C08">
      <w:pPr>
        <w:rPr>
          <w:sz w:val="22"/>
        </w:rPr>
      </w:pPr>
      <w:r>
        <w:rPr>
          <w:sz w:val="22"/>
        </w:rPr>
        <w:t>We have outlined some of the key changes we propose to look into, which include changes in housing, employment, and other future trends such as climate change or emerging technology. We are seeking feedback on whether these are the right trends to explore, and/or if there are other important changes to consider.</w:t>
      </w:r>
    </w:p>
    <w:p w14:paraId="0C0CDC1F" w14:textId="0311DABC" w:rsidR="002973FF" w:rsidRDefault="00625B92" w:rsidP="002973FF">
      <w:pPr>
        <w:rPr>
          <w:b/>
          <w:bCs/>
          <w:sz w:val="22"/>
        </w:rPr>
      </w:pPr>
      <w:bookmarkStart w:id="9" w:name="_Hlk176259780"/>
      <w:r w:rsidRPr="00625B92">
        <w:rPr>
          <w:b/>
          <w:bCs/>
          <w:sz w:val="22"/>
        </w:rPr>
        <w:t xml:space="preserve">Do you think there are </w:t>
      </w:r>
      <w:r w:rsidR="002973FF">
        <w:rPr>
          <w:b/>
          <w:bCs/>
          <w:sz w:val="22"/>
        </w:rPr>
        <w:t xml:space="preserve">other </w:t>
      </w:r>
      <w:r w:rsidRPr="00625B92">
        <w:rPr>
          <w:b/>
          <w:bCs/>
          <w:sz w:val="22"/>
        </w:rPr>
        <w:t>significant aspects of the proposed</w:t>
      </w:r>
      <w:r w:rsidR="002973FF">
        <w:rPr>
          <w:b/>
          <w:bCs/>
          <w:sz w:val="22"/>
        </w:rPr>
        <w:t xml:space="preserve"> topic</w:t>
      </w:r>
      <w:r>
        <w:rPr>
          <w:b/>
          <w:bCs/>
          <w:sz w:val="22"/>
        </w:rPr>
        <w:t xml:space="preserve"> </w:t>
      </w:r>
      <w:r w:rsidRPr="00625B92">
        <w:rPr>
          <w:b/>
          <w:bCs/>
          <w:sz w:val="22"/>
        </w:rPr>
        <w:t xml:space="preserve">that are not captured in the issues </w:t>
      </w:r>
      <w:r w:rsidR="002973FF">
        <w:rPr>
          <w:b/>
          <w:bCs/>
          <w:sz w:val="22"/>
        </w:rPr>
        <w:t xml:space="preserve">and proposed analysis </w:t>
      </w:r>
      <w:r w:rsidRPr="00625B92">
        <w:rPr>
          <w:b/>
          <w:bCs/>
          <w:sz w:val="22"/>
        </w:rPr>
        <w:t xml:space="preserve">on pages </w:t>
      </w:r>
      <w:r>
        <w:rPr>
          <w:b/>
          <w:bCs/>
          <w:sz w:val="22"/>
        </w:rPr>
        <w:t>x</w:t>
      </w:r>
      <w:r w:rsidRPr="00625B92">
        <w:rPr>
          <w:b/>
          <w:bCs/>
          <w:sz w:val="22"/>
        </w:rPr>
        <w:t xml:space="preserve"> and </w:t>
      </w:r>
      <w:r>
        <w:rPr>
          <w:b/>
          <w:bCs/>
          <w:sz w:val="22"/>
        </w:rPr>
        <w:t>x</w:t>
      </w:r>
      <w:r w:rsidRPr="00625B92">
        <w:rPr>
          <w:b/>
          <w:bCs/>
          <w:sz w:val="22"/>
        </w:rPr>
        <w:t xml:space="preserve"> of the consultation document?</w:t>
      </w:r>
      <w:r w:rsidR="002973FF" w:rsidRPr="002973FF">
        <w:rPr>
          <w:b/>
          <w:bCs/>
          <w:sz w:val="22"/>
        </w:rPr>
        <w:t xml:space="preserve"> </w:t>
      </w:r>
      <w:r w:rsidR="002973FF" w:rsidRPr="00FC2952">
        <w:rPr>
          <w:b/>
          <w:bCs/>
          <w:sz w:val="22"/>
        </w:rPr>
        <w:t xml:space="preserve">Is there any other feedback you want to provide? </w:t>
      </w:r>
    </w:p>
    <w:p w14:paraId="7168D3E9" w14:textId="599A4FA4" w:rsidR="00625B92" w:rsidRDefault="002973FF" w:rsidP="00636C08">
      <w:pPr>
        <w:rPr>
          <w:sz w:val="22"/>
        </w:rPr>
      </w:pPr>
      <w:r>
        <w:rPr>
          <w:sz w:val="22"/>
        </w:rPr>
        <w:t xml:space="preserve">Given the topic – current and future disadvantage for older New Zealanders – we would like to know whether there are any key issues or essential analysis that we have missed – noting that the breadth of the proposed topic will limit the level of depth we will be able to go into in some areas. </w:t>
      </w:r>
    </w:p>
    <w:p w14:paraId="3F0DA725" w14:textId="438D3282" w:rsidR="002973FF" w:rsidRPr="00977A96" w:rsidRDefault="002973FF" w:rsidP="00636C08">
      <w:pPr>
        <w:rPr>
          <w:sz w:val="22"/>
        </w:rPr>
      </w:pPr>
      <w:r>
        <w:rPr>
          <w:sz w:val="22"/>
        </w:rPr>
        <w:t xml:space="preserve">You are also welcome to provide any other feedback on our proposed topic and scope that is not covered by the questions above. </w:t>
      </w:r>
    </w:p>
    <w:bookmarkEnd w:id="9"/>
    <w:p w14:paraId="019AE57F" w14:textId="77777777" w:rsidR="00F85C0D" w:rsidRDefault="00F85C0D" w:rsidP="00AE1A1E">
      <w:pPr>
        <w:rPr>
          <w:b/>
          <w:bCs/>
          <w:color w:val="005788"/>
          <w:sz w:val="28"/>
          <w:szCs w:val="28"/>
        </w:rPr>
      </w:pPr>
    </w:p>
    <w:p w14:paraId="5E765850" w14:textId="77777777" w:rsidR="002973FF" w:rsidRDefault="002973FF">
      <w:pPr>
        <w:spacing w:after="0" w:line="240" w:lineRule="auto"/>
        <w:rPr>
          <w:b/>
          <w:bCs/>
          <w:color w:val="005788"/>
          <w:sz w:val="28"/>
          <w:szCs w:val="28"/>
        </w:rPr>
      </w:pPr>
      <w:r>
        <w:rPr>
          <w:b/>
          <w:bCs/>
          <w:color w:val="005788"/>
          <w:sz w:val="28"/>
          <w:szCs w:val="28"/>
        </w:rPr>
        <w:br w:type="page"/>
      </w:r>
    </w:p>
    <w:p w14:paraId="4693771A" w14:textId="2796C7A9" w:rsidR="00AE1A1E" w:rsidRPr="003B684E" w:rsidRDefault="00AE1A1E" w:rsidP="00AE1A1E">
      <w:pPr>
        <w:rPr>
          <w:b/>
          <w:bCs/>
          <w:color w:val="005788"/>
          <w:sz w:val="28"/>
          <w:szCs w:val="28"/>
        </w:rPr>
      </w:pPr>
      <w:r w:rsidRPr="003B684E">
        <w:rPr>
          <w:b/>
          <w:bCs/>
          <w:color w:val="005788"/>
          <w:sz w:val="28"/>
          <w:szCs w:val="28"/>
        </w:rPr>
        <w:lastRenderedPageBreak/>
        <w:t>Next steps</w:t>
      </w:r>
    </w:p>
    <w:p w14:paraId="224CED40" w14:textId="4F29101C" w:rsidR="00AE1A1E" w:rsidRPr="00156773" w:rsidRDefault="00AE1A1E" w:rsidP="00AE1A1E">
      <w:pPr>
        <w:rPr>
          <w:sz w:val="22"/>
        </w:rPr>
      </w:pPr>
      <w:r w:rsidRPr="00156773">
        <w:rPr>
          <w:sz w:val="22"/>
        </w:rPr>
        <w:t>We are formally seek</w:t>
      </w:r>
      <w:r w:rsidR="00D95883">
        <w:rPr>
          <w:sz w:val="22"/>
        </w:rPr>
        <w:t>ing</w:t>
      </w:r>
      <w:r w:rsidRPr="00156773">
        <w:rPr>
          <w:sz w:val="22"/>
        </w:rPr>
        <w:t xml:space="preserve"> feedback at two stages as we develop the </w:t>
      </w:r>
      <w:r w:rsidR="000F45E2">
        <w:rPr>
          <w:sz w:val="22"/>
        </w:rPr>
        <w:t>b</w:t>
      </w:r>
      <w:r w:rsidRPr="00156773">
        <w:rPr>
          <w:sz w:val="22"/>
        </w:rPr>
        <w:t xml:space="preserve">riefing. During October 2024, we will use this consultation document to seek feedback on the </w:t>
      </w:r>
      <w:r w:rsidR="000F45E2">
        <w:rPr>
          <w:sz w:val="22"/>
        </w:rPr>
        <w:t xml:space="preserve">topic and </w:t>
      </w:r>
      <w:r w:rsidRPr="00156773">
        <w:rPr>
          <w:sz w:val="22"/>
        </w:rPr>
        <w:t xml:space="preserve">scope of the </w:t>
      </w:r>
      <w:r w:rsidR="000F45E2">
        <w:rPr>
          <w:sz w:val="22"/>
        </w:rPr>
        <w:t>LTIB</w:t>
      </w:r>
      <w:r w:rsidRPr="00156773">
        <w:rPr>
          <w:sz w:val="22"/>
        </w:rPr>
        <w:t xml:space="preserve">. This will help us develop the first draft of the </w:t>
      </w:r>
      <w:r w:rsidR="000F45E2">
        <w:rPr>
          <w:sz w:val="22"/>
        </w:rPr>
        <w:t>b</w:t>
      </w:r>
      <w:r w:rsidRPr="00156773">
        <w:rPr>
          <w:sz w:val="22"/>
        </w:rPr>
        <w:t>riefing. In early 2025, we will seek</w:t>
      </w:r>
      <w:r w:rsidR="000F45E2">
        <w:rPr>
          <w:sz w:val="22"/>
        </w:rPr>
        <w:t xml:space="preserve"> public</w:t>
      </w:r>
      <w:r w:rsidRPr="00156773">
        <w:rPr>
          <w:sz w:val="22"/>
        </w:rPr>
        <w:t xml:space="preserve"> feedback on the draft </w:t>
      </w:r>
      <w:r w:rsidR="000F45E2">
        <w:rPr>
          <w:sz w:val="22"/>
        </w:rPr>
        <w:t>b</w:t>
      </w:r>
      <w:r w:rsidRPr="00156773">
        <w:rPr>
          <w:sz w:val="22"/>
        </w:rPr>
        <w:t xml:space="preserve">riefing. </w:t>
      </w:r>
    </w:p>
    <w:p w14:paraId="67FE3DD0" w14:textId="542A6876" w:rsidR="00F829F6" w:rsidRPr="00F113EF" w:rsidRDefault="00AE1A1E" w:rsidP="00F113EF">
      <w:r w:rsidRPr="00156773">
        <w:rPr>
          <w:sz w:val="22"/>
        </w:rPr>
        <w:t xml:space="preserve">The final Briefing will go to the Minister for Social Development and Employment and the Minister for Seniors. The final </w:t>
      </w:r>
      <w:r w:rsidR="000F45E2">
        <w:rPr>
          <w:sz w:val="22"/>
        </w:rPr>
        <w:t>LTIB</w:t>
      </w:r>
      <w:r w:rsidRPr="00156773">
        <w:rPr>
          <w:sz w:val="22"/>
        </w:rPr>
        <w:t xml:space="preserve"> will be presented to the House of Representatives </w:t>
      </w:r>
      <w:r w:rsidR="0059116D">
        <w:rPr>
          <w:sz w:val="22"/>
        </w:rPr>
        <w:t>in late 2025</w:t>
      </w:r>
      <w:r w:rsidR="005A5DFB">
        <w:rPr>
          <w:sz w:val="22"/>
        </w:rPr>
        <w:t>.</w:t>
      </w:r>
    </w:p>
    <w:sectPr w:rsidR="00F829F6" w:rsidRPr="00F113EF" w:rsidSect="00304721">
      <w:headerReference w:type="even" r:id="rId9"/>
      <w:headerReference w:type="default" r:id="rId10"/>
      <w:footerReference w:type="default" r:id="rId11"/>
      <w:headerReference w:type="first" r:id="rId12"/>
      <w:footerReference w:type="first" r:id="rId13"/>
      <w:pgSz w:w="11906" w:h="16838" w:code="9"/>
      <w:pgMar w:top="2268" w:right="1134" w:bottom="1134" w:left="1134" w:header="1871"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0DBAC" w14:textId="77777777" w:rsidR="00C12221" w:rsidRDefault="00C12221" w:rsidP="00AE1A1E">
      <w:pPr>
        <w:spacing w:after="0" w:line="240" w:lineRule="auto"/>
      </w:pPr>
      <w:r>
        <w:separator/>
      </w:r>
    </w:p>
  </w:endnote>
  <w:endnote w:type="continuationSeparator" w:id="0">
    <w:p w14:paraId="333C8056" w14:textId="77777777" w:rsidR="00C12221" w:rsidRDefault="00C12221" w:rsidP="00AE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Pro">
    <w:altName w:val="Verdana Pro"/>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90761"/>
      <w:docPartObj>
        <w:docPartGallery w:val="Page Numbers (Bottom of Page)"/>
        <w:docPartUnique/>
      </w:docPartObj>
    </w:sdtPr>
    <w:sdtEndPr>
      <w:rPr>
        <w:noProof/>
      </w:rPr>
    </w:sdtEndPr>
    <w:sdtContent>
      <w:p w14:paraId="50BA4077" w14:textId="77777777" w:rsidR="006C0ACA" w:rsidRDefault="006C0A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47E2A2" w14:textId="77777777" w:rsidR="006C0ACA" w:rsidRDefault="006C0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1323" w14:textId="77777777" w:rsidR="006C0ACA" w:rsidRDefault="006C0ACA">
    <w:pPr>
      <w:pStyle w:val="Footer"/>
    </w:pPr>
    <w:r>
      <w:rPr>
        <w:noProof/>
      </w:rPr>
      <w:drawing>
        <wp:anchor distT="0" distB="0" distL="114300" distR="114300" simplePos="0" relativeHeight="251660288" behindDoc="1" locked="0" layoutInCell="1" allowOverlap="1" wp14:anchorId="1072F7FD" wp14:editId="25A05B16">
          <wp:simplePos x="0" y="0"/>
          <wp:positionH relativeFrom="column">
            <wp:posOffset>4030980</wp:posOffset>
          </wp:positionH>
          <wp:positionV relativeFrom="paragraph">
            <wp:posOffset>-3489325</wp:posOffset>
          </wp:positionV>
          <wp:extent cx="2809240" cy="4109085"/>
          <wp:effectExtent l="0" t="0" r="0"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240" cy="41090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72F2" w14:textId="77777777" w:rsidR="00C12221" w:rsidRDefault="00C12221" w:rsidP="00AE1A1E">
      <w:pPr>
        <w:spacing w:after="0" w:line="240" w:lineRule="auto"/>
      </w:pPr>
      <w:r>
        <w:separator/>
      </w:r>
    </w:p>
  </w:footnote>
  <w:footnote w:type="continuationSeparator" w:id="0">
    <w:p w14:paraId="4EF7C6E7" w14:textId="77777777" w:rsidR="00C12221" w:rsidRDefault="00C12221" w:rsidP="00AE1A1E">
      <w:pPr>
        <w:spacing w:after="0" w:line="240" w:lineRule="auto"/>
      </w:pPr>
      <w:r>
        <w:continuationSeparator/>
      </w:r>
    </w:p>
  </w:footnote>
  <w:footnote w:id="1">
    <w:p w14:paraId="021A44E6" w14:textId="7ED96625" w:rsidR="00FD2828" w:rsidRDefault="00FD2828">
      <w:pPr>
        <w:pStyle w:val="FootnoteText"/>
      </w:pPr>
      <w:r>
        <w:rPr>
          <w:rStyle w:val="FootnoteReference"/>
        </w:rPr>
        <w:footnoteRef/>
      </w:r>
      <w:r>
        <w:t xml:space="preserve"> All from </w:t>
      </w:r>
      <w:proofErr w:type="spellStart"/>
      <w:r>
        <w:t>StatsNZ</w:t>
      </w:r>
      <w:proofErr w:type="spellEnd"/>
      <w:r>
        <w:t xml:space="preserve"> Population projections (2022 base), median scenario</w:t>
      </w:r>
    </w:p>
  </w:footnote>
  <w:footnote w:id="2">
    <w:p w14:paraId="7DF3A1BE" w14:textId="5067C25D" w:rsidR="00FD2828" w:rsidRDefault="00FD2828">
      <w:pPr>
        <w:pStyle w:val="FootnoteText"/>
      </w:pPr>
      <w:r>
        <w:rPr>
          <w:rStyle w:val="FootnoteReference"/>
        </w:rPr>
        <w:footnoteRef/>
      </w:r>
      <w:r>
        <w:t xml:space="preserve"> Stats</w:t>
      </w:r>
      <w:r w:rsidR="00FB5D87">
        <w:t xml:space="preserve"> </w:t>
      </w:r>
      <w:r>
        <w:t>NZ population projections (2022 base) – median scenario</w:t>
      </w:r>
      <w:r w:rsidR="0077261B">
        <w:t xml:space="preserve"> </w:t>
      </w:r>
      <w:hyperlink r:id="rId1" w:history="1">
        <w:r w:rsidR="0077261B" w:rsidRPr="00266ED2">
          <w:rPr>
            <w:rStyle w:val="Hyperlink"/>
          </w:rPr>
          <w:t>www.stats.govt.nz</w:t>
        </w:r>
      </w:hyperlink>
      <w:r w:rsidR="0077261B">
        <w:t xml:space="preserve"> </w:t>
      </w:r>
      <w:r w:rsidR="005F27CE">
        <w:t>Accessed:</w:t>
      </w:r>
      <w:r w:rsidR="0077261B">
        <w:t xml:space="preserve"> 6/9/2024</w:t>
      </w:r>
    </w:p>
  </w:footnote>
  <w:footnote w:id="3">
    <w:p w14:paraId="025FEB2A" w14:textId="5D6D07C9" w:rsidR="003C6DC9" w:rsidRDefault="003C6DC9">
      <w:pPr>
        <w:pStyle w:val="FootnoteText"/>
      </w:pPr>
      <w:r>
        <w:rPr>
          <w:rStyle w:val="FootnoteReference"/>
        </w:rPr>
        <w:footnoteRef/>
      </w:r>
      <w:r>
        <w:t xml:space="preserve"> Stats</w:t>
      </w:r>
      <w:r w:rsidR="00FB5D87">
        <w:t xml:space="preserve"> </w:t>
      </w:r>
      <w:r>
        <w:t>NZ population projections (2022 base) – median scenario</w:t>
      </w:r>
      <w:r w:rsidR="0077261B">
        <w:t xml:space="preserve"> </w:t>
      </w:r>
      <w:hyperlink r:id="rId2" w:history="1">
        <w:r w:rsidR="0077261B" w:rsidRPr="00266ED2">
          <w:rPr>
            <w:rStyle w:val="Hyperlink"/>
          </w:rPr>
          <w:t>www.stats.govt.nz</w:t>
        </w:r>
      </w:hyperlink>
      <w:r w:rsidR="0077261B">
        <w:t xml:space="preserve"> </w:t>
      </w:r>
      <w:r w:rsidR="005F27CE">
        <w:t>Accessed:</w:t>
      </w:r>
      <w:r w:rsidR="0077261B">
        <w:t xml:space="preserve"> 6/9/2024</w:t>
      </w:r>
    </w:p>
  </w:footnote>
  <w:footnote w:id="4">
    <w:p w14:paraId="296EEB7F" w14:textId="1173BBD1" w:rsidR="003C6DC9" w:rsidRDefault="003C6DC9">
      <w:pPr>
        <w:pStyle w:val="FootnoteText"/>
      </w:pPr>
      <w:r>
        <w:rPr>
          <w:rStyle w:val="FootnoteReference"/>
        </w:rPr>
        <w:footnoteRef/>
      </w:r>
      <w:r>
        <w:t xml:space="preserve"> Stats</w:t>
      </w:r>
      <w:r w:rsidR="00FB5D87">
        <w:t xml:space="preserve"> </w:t>
      </w:r>
      <w:r>
        <w:t>NZ</w:t>
      </w:r>
      <w:r w:rsidR="001B131E">
        <w:t xml:space="preserve"> (2022)</w:t>
      </w:r>
      <w:r>
        <w:t xml:space="preserve"> national ethnic population projections (2018 base) – median scenario</w:t>
      </w:r>
      <w:r w:rsidR="0077261B">
        <w:t xml:space="preserve"> </w:t>
      </w:r>
      <w:hyperlink r:id="rId3" w:history="1">
        <w:r w:rsidR="0077261B" w:rsidRPr="00266ED2">
          <w:rPr>
            <w:rStyle w:val="Hyperlink"/>
          </w:rPr>
          <w:t>www.stats.govt.nz</w:t>
        </w:r>
      </w:hyperlink>
      <w:r w:rsidR="0077261B">
        <w:t xml:space="preserve"> </w:t>
      </w:r>
      <w:r w:rsidR="005F27CE">
        <w:t xml:space="preserve">Accessed: </w:t>
      </w:r>
      <w:r w:rsidR="0077261B">
        <w:t>6/9/2024</w:t>
      </w:r>
    </w:p>
  </w:footnote>
  <w:footnote w:id="5">
    <w:p w14:paraId="12B39805" w14:textId="61733C0B" w:rsidR="003C6DC9" w:rsidRDefault="003C6DC9">
      <w:pPr>
        <w:pStyle w:val="FootnoteText"/>
      </w:pPr>
      <w:r>
        <w:rPr>
          <w:rStyle w:val="FootnoteReference"/>
        </w:rPr>
        <w:footnoteRef/>
      </w:r>
      <w:r>
        <w:t xml:space="preserve"> </w:t>
      </w:r>
      <w:r w:rsidR="00FB5D87">
        <w:t>Stats NZ</w:t>
      </w:r>
      <w:r w:rsidR="008C1E25" w:rsidRPr="008C1E25">
        <w:t>, New Zealand General Social Survey</w:t>
      </w:r>
      <w:r w:rsidR="0077261B">
        <w:t xml:space="preserve"> </w:t>
      </w:r>
      <w:hyperlink r:id="rId4" w:history="1">
        <w:r w:rsidR="0077261B" w:rsidRPr="00266ED2">
          <w:rPr>
            <w:rStyle w:val="Hyperlink"/>
          </w:rPr>
          <w:t>www.stats.govt.nz</w:t>
        </w:r>
      </w:hyperlink>
      <w:r w:rsidR="0077261B">
        <w:t xml:space="preserve"> </w:t>
      </w:r>
      <w:r w:rsidR="005F27CE">
        <w:t xml:space="preserve">Accessed: </w:t>
      </w:r>
      <w:r w:rsidR="0077261B">
        <w:t>6/9/2024</w:t>
      </w:r>
    </w:p>
  </w:footnote>
  <w:footnote w:id="6">
    <w:p w14:paraId="6AD986CA" w14:textId="6199CA5B" w:rsidR="003C6DC9" w:rsidRDefault="003C6DC9">
      <w:pPr>
        <w:pStyle w:val="FootnoteText"/>
      </w:pPr>
      <w:r>
        <w:rPr>
          <w:rStyle w:val="FootnoteReference"/>
        </w:rPr>
        <w:footnoteRef/>
      </w:r>
      <w:r>
        <w:t xml:space="preserve"> </w:t>
      </w:r>
      <w:r w:rsidR="00FB5D87">
        <w:t>Labour market statistics (volunteer work): June 2018</w:t>
      </w:r>
      <w:r w:rsidR="001B131E">
        <w:t xml:space="preserve"> </w:t>
      </w:r>
      <w:hyperlink r:id="rId5" w:history="1">
        <w:r w:rsidR="001B131E" w:rsidRPr="00266ED2">
          <w:rPr>
            <w:rStyle w:val="Hyperlink"/>
          </w:rPr>
          <w:t>www.stats.govt.nz</w:t>
        </w:r>
      </w:hyperlink>
      <w:r w:rsidR="001B131E">
        <w:t xml:space="preserve"> </w:t>
      </w:r>
      <w:r w:rsidR="005F27CE">
        <w:t xml:space="preserve">Accessed: </w:t>
      </w:r>
      <w:r w:rsidR="001B131E">
        <w:t>6/9/2024</w:t>
      </w:r>
    </w:p>
  </w:footnote>
  <w:footnote w:id="7">
    <w:p w14:paraId="17B97530" w14:textId="22E55FC4" w:rsidR="003C6DC9" w:rsidRDefault="003C6DC9">
      <w:pPr>
        <w:pStyle w:val="FootnoteText"/>
      </w:pPr>
      <w:r>
        <w:rPr>
          <w:rStyle w:val="FootnoteReference"/>
        </w:rPr>
        <w:footnoteRef/>
      </w:r>
      <w:r>
        <w:t xml:space="preserve"> Br</w:t>
      </w:r>
      <w:r w:rsidR="001B131E">
        <w:t>y</w:t>
      </w:r>
      <w:r>
        <w:t>an Perry</w:t>
      </w:r>
      <w:r w:rsidR="001B131E">
        <w:t xml:space="preserve"> (2019), Household Incomes in New Zealand, p. </w:t>
      </w:r>
      <w:r w:rsidR="0010460A">
        <w:t>186</w:t>
      </w:r>
    </w:p>
  </w:footnote>
  <w:footnote w:id="8">
    <w:p w14:paraId="7424CE72" w14:textId="425F71A3" w:rsidR="003C6DC9" w:rsidRDefault="003C6DC9" w:rsidP="003C6DC9">
      <w:pPr>
        <w:pStyle w:val="FootnoteText"/>
      </w:pPr>
      <w:r>
        <w:rPr>
          <w:rStyle w:val="FootnoteReference"/>
        </w:rPr>
        <w:footnoteRef/>
      </w:r>
      <w:r>
        <w:t xml:space="preserve"> </w:t>
      </w:r>
      <w:r w:rsidR="005E438D">
        <w:t xml:space="preserve">Stats NZ, </w:t>
      </w:r>
      <w:r>
        <w:t>Census 2018</w:t>
      </w:r>
      <w:r w:rsidR="005E438D" w:rsidRPr="005E438D">
        <w:t xml:space="preserve"> </w:t>
      </w:r>
      <w:hyperlink r:id="rId6" w:history="1">
        <w:r w:rsidR="005E438D" w:rsidRPr="00266ED2">
          <w:rPr>
            <w:rStyle w:val="Hyperlink"/>
          </w:rPr>
          <w:t>www.stats.govt.nz</w:t>
        </w:r>
      </w:hyperlink>
      <w:r w:rsidR="005E438D">
        <w:t xml:space="preserve"> Accessed: </w:t>
      </w:r>
    </w:p>
  </w:footnote>
  <w:footnote w:id="9">
    <w:p w14:paraId="29EA0E98" w14:textId="77777777" w:rsidR="000945F3" w:rsidRDefault="000945F3" w:rsidP="000945F3">
      <w:pPr>
        <w:pStyle w:val="FootnoteText"/>
      </w:pPr>
      <w:r>
        <w:rPr>
          <w:rStyle w:val="FootnoteReference"/>
        </w:rPr>
        <w:footnoteRef/>
      </w:r>
      <w:r>
        <w:t xml:space="preserve"> Bryan Perry (2019), Household Incomes in New Zealand, p. 184</w:t>
      </w:r>
    </w:p>
  </w:footnote>
  <w:footnote w:id="10">
    <w:p w14:paraId="40ECECB3" w14:textId="0847D097" w:rsidR="003C6DC9" w:rsidRDefault="003C6DC9">
      <w:pPr>
        <w:pStyle w:val="FootnoteText"/>
      </w:pPr>
      <w:r>
        <w:rPr>
          <w:rStyle w:val="FootnoteReference"/>
        </w:rPr>
        <w:footnoteRef/>
      </w:r>
      <w:r>
        <w:t xml:space="preserve"> </w:t>
      </w:r>
      <w:r w:rsidR="0010460A">
        <w:t xml:space="preserve">Pinto S, Mok, P and Warn V, Older people experiencing vulnerability and multiple </w:t>
      </w:r>
      <w:proofErr w:type="gramStart"/>
      <w:r w:rsidR="0010460A">
        <w:t>disadvantage</w:t>
      </w:r>
      <w:proofErr w:type="gramEnd"/>
      <w:r w:rsidR="0010460A">
        <w:t xml:space="preserve"> in New Zealand, Social Wellbeing Agency and the Ministry of Social Development, </w:t>
      </w:r>
      <w:r w:rsidR="003B458D">
        <w:t>p. 5</w:t>
      </w:r>
    </w:p>
  </w:footnote>
  <w:footnote w:id="11">
    <w:p w14:paraId="76F151E8" w14:textId="7547D1BC" w:rsidR="003A1C81" w:rsidRDefault="003A1C81">
      <w:pPr>
        <w:pStyle w:val="FootnoteText"/>
      </w:pPr>
      <w:r>
        <w:rPr>
          <w:rStyle w:val="FootnoteReference"/>
        </w:rPr>
        <w:footnoteRef/>
      </w:r>
      <w:r w:rsidR="005F27CE">
        <w:t>Retirement Commission (2022) Review of Retirement Income Policies p. 69</w:t>
      </w:r>
    </w:p>
  </w:footnote>
  <w:footnote w:id="12">
    <w:p w14:paraId="1DE7C6C3" w14:textId="77777777" w:rsidR="000945F3" w:rsidRDefault="000945F3" w:rsidP="000945F3">
      <w:pPr>
        <w:pStyle w:val="FootnoteText"/>
        <w:rPr>
          <w:lang w:val="mi-NZ"/>
        </w:rPr>
      </w:pPr>
      <w:r>
        <w:rPr>
          <w:rStyle w:val="FootnoteReference"/>
        </w:rPr>
        <w:footnoteRef/>
      </w:r>
      <w:r>
        <w:t xml:space="preserve"> OECD (2017c), Preventing Ageing Unequally. Paris: OECD.</w:t>
      </w:r>
    </w:p>
  </w:footnote>
  <w:footnote w:id="13">
    <w:p w14:paraId="5FC0EDCC" w14:textId="77777777" w:rsidR="000945F3" w:rsidRDefault="000945F3" w:rsidP="000945F3">
      <w:pPr>
        <w:pStyle w:val="FootnoteText"/>
      </w:pPr>
      <w:r>
        <w:rPr>
          <w:rStyle w:val="FootnoteReference"/>
        </w:rPr>
        <w:footnoteRef/>
      </w:r>
      <w:r>
        <w:t xml:space="preserve"> Bryan Perry (2019), Household Incomes in New Zealand, p. 192</w:t>
      </w:r>
    </w:p>
  </w:footnote>
  <w:footnote w:id="14">
    <w:p w14:paraId="02334467" w14:textId="70B8BFAA" w:rsidR="00BD7E82" w:rsidRPr="00F85C0D" w:rsidRDefault="00BD7E82" w:rsidP="00BD7E82">
      <w:pPr>
        <w:pStyle w:val="FootnoteText"/>
        <w:rPr>
          <w:lang w:val="mi-NZ"/>
        </w:rPr>
      </w:pPr>
      <w:r>
        <w:rPr>
          <w:rStyle w:val="FootnoteReference"/>
        </w:rPr>
        <w:footnoteRef/>
      </w:r>
      <w:r>
        <w:t xml:space="preserve">NZ Treasury, </w:t>
      </w:r>
      <w:r w:rsidRPr="00BD7E82">
        <w:t xml:space="preserve">He </w:t>
      </w:r>
      <w:proofErr w:type="spellStart"/>
      <w:r w:rsidRPr="00BD7E82">
        <w:t>Tirohanga</w:t>
      </w:r>
      <w:proofErr w:type="spellEnd"/>
      <w:r w:rsidRPr="00BD7E82">
        <w:t xml:space="preserve"> Mokopuna 2021</w:t>
      </w:r>
      <w:r>
        <w:t xml:space="preserve"> </w:t>
      </w:r>
      <w:hyperlink r:id="rId7" w:history="1">
        <w:r w:rsidRPr="00266ED2">
          <w:rPr>
            <w:rStyle w:val="Hyperlink"/>
          </w:rPr>
          <w:t>www.treasury.govt.nz</w:t>
        </w:r>
      </w:hyperlink>
      <w:r>
        <w:t xml:space="preserve"> </w:t>
      </w:r>
      <w:r w:rsidR="005E438D">
        <w:t xml:space="preserve">Accessed: </w:t>
      </w:r>
      <w:r>
        <w:t>6/9/2024 p. 18</w:t>
      </w:r>
    </w:p>
  </w:footnote>
  <w:footnote w:id="15">
    <w:p w14:paraId="43BBF84F" w14:textId="54F5AC10" w:rsidR="00222306" w:rsidRPr="00F85C0D" w:rsidRDefault="00222306">
      <w:pPr>
        <w:pStyle w:val="FootnoteText"/>
        <w:rPr>
          <w:lang w:val="mi-NZ"/>
        </w:rPr>
      </w:pPr>
      <w:r>
        <w:rPr>
          <w:rStyle w:val="FootnoteReference"/>
        </w:rPr>
        <w:footnoteRef/>
      </w:r>
      <w:r>
        <w:t xml:space="preserve"> </w:t>
      </w:r>
      <w:r w:rsidR="004D43EA">
        <w:t xml:space="preserve">Ministry of Housing and Urban Development (2023), Te </w:t>
      </w:r>
      <w:proofErr w:type="spellStart"/>
      <w:r w:rsidR="004D43EA">
        <w:t>hua</w:t>
      </w:r>
      <w:proofErr w:type="spellEnd"/>
      <w:r w:rsidR="004D43EA">
        <w:t xml:space="preserve"> o </w:t>
      </w:r>
      <w:proofErr w:type="spellStart"/>
      <w:r w:rsidR="004D43EA">
        <w:t>tō</w:t>
      </w:r>
      <w:proofErr w:type="spellEnd"/>
      <w:r w:rsidR="004D43EA">
        <w:t xml:space="preserve"> </w:t>
      </w:r>
      <w:proofErr w:type="spellStart"/>
      <w:r w:rsidR="004D43EA">
        <w:t>tātou</w:t>
      </w:r>
      <w:proofErr w:type="spellEnd"/>
      <w:r w:rsidR="004D43EA">
        <w:t xml:space="preserve"> </w:t>
      </w:r>
      <w:proofErr w:type="spellStart"/>
      <w:r w:rsidR="004D43EA">
        <w:t>taupori</w:t>
      </w:r>
      <w:proofErr w:type="spellEnd"/>
      <w:r w:rsidR="004D43EA">
        <w:t xml:space="preserve"> </w:t>
      </w:r>
      <w:proofErr w:type="spellStart"/>
      <w:r w:rsidR="004D43EA">
        <w:t>kaumātuatanga</w:t>
      </w:r>
      <w:proofErr w:type="spellEnd"/>
      <w:r w:rsidR="004D43EA">
        <w:t xml:space="preserve"> ki </w:t>
      </w:r>
      <w:proofErr w:type="spellStart"/>
      <w:r w:rsidR="004D43EA">
        <w:t>ngā</w:t>
      </w:r>
      <w:proofErr w:type="spellEnd"/>
      <w:r w:rsidR="004D43EA">
        <w:t xml:space="preserve"> </w:t>
      </w:r>
      <w:proofErr w:type="spellStart"/>
      <w:r w:rsidR="004D43EA">
        <w:t>anamata</w:t>
      </w:r>
      <w:proofErr w:type="spellEnd"/>
      <w:r w:rsidR="004D43EA">
        <w:t xml:space="preserve"> </w:t>
      </w:r>
      <w:proofErr w:type="spellStart"/>
      <w:r w:rsidR="004D43EA">
        <w:t>whanake</w:t>
      </w:r>
      <w:proofErr w:type="spellEnd"/>
      <w:r w:rsidR="004D43EA">
        <w:t xml:space="preserve"> whare, </w:t>
      </w:r>
      <w:proofErr w:type="spellStart"/>
      <w:r w:rsidR="004D43EA">
        <w:t>tāone</w:t>
      </w:r>
      <w:proofErr w:type="spellEnd"/>
      <w:r w:rsidR="004D43EA">
        <w:t xml:space="preserve"> </w:t>
      </w:r>
      <w:proofErr w:type="spellStart"/>
      <w:r w:rsidR="004D43EA">
        <w:t>anō</w:t>
      </w:r>
      <w:proofErr w:type="spellEnd"/>
      <w:r w:rsidR="004D43EA">
        <w:t xml:space="preserve"> </w:t>
      </w:r>
      <w:proofErr w:type="spellStart"/>
      <w:r w:rsidR="004D43EA">
        <w:t>hok</w:t>
      </w:r>
      <w:r w:rsidR="005E438D">
        <w:t>i</w:t>
      </w:r>
      <w:proofErr w:type="spellEnd"/>
      <w:r w:rsidR="005E438D">
        <w:t xml:space="preserve"> </w:t>
      </w:r>
      <w:hyperlink r:id="rId8" w:history="1">
        <w:r w:rsidR="004D43EA" w:rsidRPr="00266ED2">
          <w:rPr>
            <w:rStyle w:val="Hyperlink"/>
          </w:rPr>
          <w:t>https://www.hud.govt.nz</w:t>
        </w:r>
      </w:hyperlink>
      <w:r w:rsidR="004D43EA">
        <w:t xml:space="preserve">. </w:t>
      </w:r>
      <w:r w:rsidR="005E438D">
        <w:t>Accessed</w:t>
      </w:r>
      <w:r w:rsidR="004D43EA">
        <w:t>: 6/9/2024</w:t>
      </w:r>
    </w:p>
  </w:footnote>
  <w:footnote w:id="16">
    <w:p w14:paraId="0844F4BB" w14:textId="350C8284" w:rsidR="00905E7E" w:rsidRDefault="00905E7E">
      <w:pPr>
        <w:pStyle w:val="FootnoteText"/>
      </w:pPr>
      <w:r>
        <w:rPr>
          <w:rStyle w:val="FootnoteReference"/>
        </w:rPr>
        <w:footnoteRef/>
      </w:r>
      <w:r>
        <w:t xml:space="preserve"> </w:t>
      </w:r>
      <w:hyperlink r:id="rId9" w:history="1">
        <w:r>
          <w:rPr>
            <w:rStyle w:val="Hyperlink"/>
          </w:rPr>
          <w:t>RRIP_2022.pdf (retirement.govt.nz)</w:t>
        </w:r>
      </w:hyperlink>
      <w:r>
        <w:t xml:space="preserve"> p. 40</w:t>
      </w:r>
    </w:p>
  </w:footnote>
  <w:footnote w:id="17">
    <w:p w14:paraId="3E7701B0" w14:textId="7EAD6D97" w:rsidR="0059116D" w:rsidRDefault="0059116D">
      <w:pPr>
        <w:pStyle w:val="FootnoteText"/>
      </w:pPr>
      <w:r>
        <w:rPr>
          <w:rStyle w:val="FootnoteReference"/>
        </w:rPr>
        <w:footnoteRef/>
      </w:r>
      <w:r>
        <w:t xml:space="preserve"> </w:t>
      </w:r>
      <w:proofErr w:type="spellStart"/>
      <w:r>
        <w:t>Tamasese</w:t>
      </w:r>
      <w:proofErr w:type="spellEnd"/>
      <w:r>
        <w:t>, T.K., Parsons, L., Waldegrave, C. (2014) Pacific Perspectives on Ageing in New Zealand. Lower Hutt: the Family Centre. p. 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D66C" w14:textId="75B67DD9" w:rsidR="006C0ACA" w:rsidRDefault="000328E4">
    <w:pPr>
      <w:pStyle w:val="Header1"/>
    </w:pPr>
    <w:r>
      <w:rPr>
        <w:noProof/>
        <w14:ligatures w14:val="standardContextual"/>
      </w:rPr>
      <mc:AlternateContent>
        <mc:Choice Requires="wps">
          <w:drawing>
            <wp:anchor distT="0" distB="0" distL="0" distR="0" simplePos="0" relativeHeight="251666432" behindDoc="0" locked="0" layoutInCell="1" allowOverlap="1" wp14:anchorId="7506F17A" wp14:editId="752D816B">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62FDDB" w14:textId="2CB19CDE" w:rsidR="000328E4" w:rsidRPr="000328E4" w:rsidRDefault="000328E4" w:rsidP="000328E4">
                          <w:pPr>
                            <w:spacing w:after="0"/>
                            <w:rPr>
                              <w:rFonts w:ascii="Calibri" w:hAnsi="Calibri" w:cs="Calibri"/>
                              <w:noProof/>
                              <w:color w:val="000000"/>
                              <w:szCs w:val="20"/>
                            </w:rPr>
                          </w:pPr>
                          <w:r w:rsidRPr="000328E4">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06F17A"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C62FDDB" w14:textId="2CB19CDE" w:rsidR="000328E4" w:rsidRPr="000328E4" w:rsidRDefault="000328E4" w:rsidP="000328E4">
                    <w:pPr>
                      <w:spacing w:after="0"/>
                      <w:rPr>
                        <w:rFonts w:ascii="Calibri" w:hAnsi="Calibri" w:cs="Calibri"/>
                        <w:noProof/>
                        <w:color w:val="000000"/>
                        <w:szCs w:val="20"/>
                      </w:rPr>
                    </w:pPr>
                    <w:r w:rsidRPr="000328E4">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6BA1" w14:textId="1B53BF60" w:rsidR="006C0ACA" w:rsidRDefault="000328E4">
    <w:pPr>
      <w:pStyle w:val="Header1"/>
    </w:pPr>
    <w:r>
      <w:rPr>
        <w:noProof/>
        <w14:ligatures w14:val="standardContextual"/>
      </w:rPr>
      <mc:AlternateContent>
        <mc:Choice Requires="wps">
          <w:drawing>
            <wp:anchor distT="0" distB="0" distL="0" distR="0" simplePos="0" relativeHeight="251667456" behindDoc="0" locked="0" layoutInCell="1" allowOverlap="1" wp14:anchorId="76E1966B" wp14:editId="4DE347ED">
              <wp:simplePos x="724395" y="1187532"/>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2C445" w14:textId="0C4038C7" w:rsidR="000328E4" w:rsidRPr="000328E4" w:rsidRDefault="000328E4" w:rsidP="000328E4">
                          <w:pPr>
                            <w:spacing w:after="0"/>
                            <w:rPr>
                              <w:rFonts w:ascii="Calibri" w:hAnsi="Calibri" w:cs="Calibri"/>
                              <w:noProof/>
                              <w:color w:val="000000"/>
                              <w:szCs w:val="20"/>
                            </w:rPr>
                          </w:pPr>
                          <w:r w:rsidRPr="000328E4">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E1966B"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252C445" w14:textId="0C4038C7" w:rsidR="000328E4" w:rsidRPr="000328E4" w:rsidRDefault="000328E4" w:rsidP="000328E4">
                    <w:pPr>
                      <w:spacing w:after="0"/>
                      <w:rPr>
                        <w:rFonts w:ascii="Calibri" w:hAnsi="Calibri" w:cs="Calibri"/>
                        <w:noProof/>
                        <w:color w:val="000000"/>
                        <w:szCs w:val="20"/>
                      </w:rPr>
                    </w:pPr>
                    <w:r w:rsidRPr="000328E4">
                      <w:rPr>
                        <w:rFonts w:ascii="Calibri" w:hAnsi="Calibri" w:cs="Calibri"/>
                        <w:noProof/>
                        <w:color w:val="000000"/>
                        <w:szCs w:val="20"/>
                      </w:rPr>
                      <w:t>IN-CONFIDENCE</w:t>
                    </w:r>
                  </w:p>
                </w:txbxContent>
              </v:textbox>
              <w10:wrap anchorx="page" anchory="page"/>
            </v:shape>
          </w:pict>
        </mc:Fallback>
      </mc:AlternateContent>
    </w:r>
    <w:r w:rsidR="006C0ACA" w:rsidRPr="003E73FB">
      <w:rPr>
        <w:noProof/>
      </w:rPr>
      <w:drawing>
        <wp:anchor distT="0" distB="0" distL="114300" distR="114300" simplePos="0" relativeHeight="251662336" behindDoc="1" locked="0" layoutInCell="1" allowOverlap="1" wp14:anchorId="5B799812" wp14:editId="62CBC62D">
          <wp:simplePos x="0" y="0"/>
          <wp:positionH relativeFrom="column">
            <wp:posOffset>4592955</wp:posOffset>
          </wp:positionH>
          <wp:positionV relativeFrom="paragraph">
            <wp:posOffset>-772160</wp:posOffset>
          </wp:positionV>
          <wp:extent cx="1961515" cy="450215"/>
          <wp:effectExtent l="0" t="0" r="0" b="0"/>
          <wp:wrapNone/>
          <wp:docPr id="26" name="Picture 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1515" cy="450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E229" w14:textId="214D3341" w:rsidR="006C0ACA" w:rsidRDefault="000328E4">
    <w:pPr>
      <w:pStyle w:val="Header1"/>
    </w:pPr>
    <w:r>
      <w:rPr>
        <w:noProof/>
        <w14:ligatures w14:val="standardContextual"/>
      </w:rPr>
      <mc:AlternateContent>
        <mc:Choice Requires="wps">
          <w:drawing>
            <wp:anchor distT="0" distB="0" distL="0" distR="0" simplePos="0" relativeHeight="251665408" behindDoc="0" locked="0" layoutInCell="1" allowOverlap="1" wp14:anchorId="29B4165D" wp14:editId="517F6FFF">
              <wp:simplePos x="720725" y="1188720"/>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36DC4" w14:textId="03E69E0C" w:rsidR="000328E4" w:rsidRPr="000328E4" w:rsidRDefault="000328E4" w:rsidP="000328E4">
                          <w:pPr>
                            <w:spacing w:after="0"/>
                            <w:rPr>
                              <w:rFonts w:ascii="Calibri" w:hAnsi="Calibri" w:cs="Calibri"/>
                              <w:noProof/>
                              <w:color w:val="000000"/>
                              <w:szCs w:val="20"/>
                            </w:rPr>
                          </w:pPr>
                          <w:r w:rsidRPr="000328E4">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B4165D"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5936DC4" w14:textId="03E69E0C" w:rsidR="000328E4" w:rsidRPr="000328E4" w:rsidRDefault="000328E4" w:rsidP="000328E4">
                    <w:pPr>
                      <w:spacing w:after="0"/>
                      <w:rPr>
                        <w:rFonts w:ascii="Calibri" w:hAnsi="Calibri" w:cs="Calibri"/>
                        <w:noProof/>
                        <w:color w:val="000000"/>
                        <w:szCs w:val="20"/>
                      </w:rPr>
                    </w:pPr>
                    <w:r w:rsidRPr="000328E4">
                      <w:rPr>
                        <w:rFonts w:ascii="Calibri" w:hAnsi="Calibri" w:cs="Calibri"/>
                        <w:noProof/>
                        <w:color w:val="000000"/>
                        <w:szCs w:val="20"/>
                      </w:rPr>
                      <w:t>IN-CONFIDENCE</w:t>
                    </w:r>
                  </w:p>
                </w:txbxContent>
              </v:textbox>
              <w10:wrap anchorx="page" anchory="page"/>
            </v:shape>
          </w:pict>
        </mc:Fallback>
      </mc:AlternateContent>
    </w:r>
    <w:r w:rsidR="006C0ACA" w:rsidRPr="003E73FB">
      <w:rPr>
        <w:noProof/>
      </w:rPr>
      <w:drawing>
        <wp:anchor distT="0" distB="0" distL="114300" distR="114300" simplePos="0" relativeHeight="251664384" behindDoc="1" locked="0" layoutInCell="1" allowOverlap="1" wp14:anchorId="5CBC448F" wp14:editId="3D9F096D">
          <wp:simplePos x="0" y="0"/>
          <wp:positionH relativeFrom="column">
            <wp:posOffset>-583894</wp:posOffset>
          </wp:positionH>
          <wp:positionV relativeFrom="paragraph">
            <wp:posOffset>3073706</wp:posOffset>
          </wp:positionV>
          <wp:extent cx="1961515" cy="450215"/>
          <wp:effectExtent l="0" t="0" r="0" b="0"/>
          <wp:wrapNone/>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1515" cy="450215"/>
                  </a:xfrm>
                  <a:prstGeom prst="rect">
                    <a:avLst/>
                  </a:prstGeom>
                </pic:spPr>
              </pic:pic>
            </a:graphicData>
          </a:graphic>
          <wp14:sizeRelH relativeFrom="margin">
            <wp14:pctWidth>0</wp14:pctWidth>
          </wp14:sizeRelH>
          <wp14:sizeRelV relativeFrom="margin">
            <wp14:pctHeight>0</wp14:pctHeight>
          </wp14:sizeRelV>
        </wp:anchor>
      </w:drawing>
    </w:r>
    <w:r w:rsidR="006C0ACA">
      <w:rPr>
        <w:noProof/>
      </w:rPr>
      <w:drawing>
        <wp:anchor distT="0" distB="0" distL="114300" distR="114300" simplePos="0" relativeHeight="251659264" behindDoc="1" locked="0" layoutInCell="1" allowOverlap="1" wp14:anchorId="19396E85" wp14:editId="4B51A893">
          <wp:simplePos x="0" y="0"/>
          <wp:positionH relativeFrom="column">
            <wp:posOffset>4026535</wp:posOffset>
          </wp:positionH>
          <wp:positionV relativeFrom="paragraph">
            <wp:posOffset>-1188085</wp:posOffset>
          </wp:positionV>
          <wp:extent cx="2813685" cy="6511925"/>
          <wp:effectExtent l="0" t="0" r="571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3685" cy="6511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922F46"/>
    <w:multiLevelType w:val="hybridMultilevel"/>
    <w:tmpl w:val="B888C4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F57114"/>
    <w:multiLevelType w:val="hybridMultilevel"/>
    <w:tmpl w:val="993AD092"/>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4" w15:restartNumberingAfterBreak="0">
    <w:nsid w:val="0CF70166"/>
    <w:multiLevelType w:val="hybridMultilevel"/>
    <w:tmpl w:val="AECC3992"/>
    <w:lvl w:ilvl="0" w:tplc="14DA402A">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1DC00F4C"/>
    <w:multiLevelType w:val="hybridMultilevel"/>
    <w:tmpl w:val="36280F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F66525B"/>
    <w:multiLevelType w:val="hybridMultilevel"/>
    <w:tmpl w:val="78B89D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2"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174597C"/>
    <w:multiLevelType w:val="multilevel"/>
    <w:tmpl w:val="B502918A"/>
    <w:lvl w:ilvl="0">
      <w:start w:val="1"/>
      <w:numFmt w:val="decimal"/>
      <w:pStyle w:val="ReportBody"/>
      <w:lvlText w:val="%1"/>
      <w:lvlJc w:val="left"/>
      <w:pPr>
        <w:tabs>
          <w:tab w:val="num" w:pos="493"/>
        </w:tabs>
        <w:ind w:left="493" w:hanging="493"/>
      </w:pPr>
    </w:lvl>
    <w:lvl w:ilvl="1">
      <w:start w:val="1"/>
      <w:numFmt w:val="decimal"/>
      <w:pStyle w:val="ReportBody2"/>
      <w:lvlText w:val="%1.%2"/>
      <w:lvlJc w:val="left"/>
      <w:pPr>
        <w:tabs>
          <w:tab w:val="num" w:pos="493"/>
        </w:tabs>
        <w:ind w:left="987" w:hanging="494"/>
      </w:pPr>
    </w:lvl>
    <w:lvl w:ilvl="2">
      <w:start w:val="1"/>
      <w:numFmt w:val="decimal"/>
      <w:lvlText w:val="%1.%2.%3"/>
      <w:lvlJc w:val="left"/>
      <w:pPr>
        <w:tabs>
          <w:tab w:val="num" w:pos="1554"/>
        </w:tabs>
        <w:ind w:left="1554" w:hanging="567"/>
      </w:pPr>
    </w:lvl>
    <w:lvl w:ilvl="3">
      <w:start w:val="1"/>
      <w:numFmt w:val="decimal"/>
      <w:lvlText w:val="%1.%2.%3.%4."/>
      <w:lvlJc w:val="left"/>
      <w:pPr>
        <w:tabs>
          <w:tab w:val="num" w:pos="2133"/>
        </w:tabs>
        <w:ind w:left="1701" w:hanging="648"/>
      </w:pPr>
    </w:lvl>
    <w:lvl w:ilvl="4">
      <w:start w:val="1"/>
      <w:numFmt w:val="decimal"/>
      <w:lvlText w:val="%1.%2.%3.%4.%5."/>
      <w:lvlJc w:val="left"/>
      <w:pPr>
        <w:tabs>
          <w:tab w:val="num" w:pos="2493"/>
        </w:tabs>
        <w:ind w:left="2205" w:hanging="792"/>
      </w:pPr>
    </w:lvl>
    <w:lvl w:ilvl="5">
      <w:start w:val="1"/>
      <w:numFmt w:val="decimal"/>
      <w:lvlText w:val="%1.%2.%3.%4.%5.%6."/>
      <w:lvlJc w:val="left"/>
      <w:pPr>
        <w:tabs>
          <w:tab w:val="num" w:pos="3213"/>
        </w:tabs>
        <w:ind w:left="2709" w:hanging="936"/>
      </w:pPr>
    </w:lvl>
    <w:lvl w:ilvl="6">
      <w:start w:val="1"/>
      <w:numFmt w:val="decimal"/>
      <w:lvlText w:val="%1.%2.%3.%4.%5.%6.%7."/>
      <w:lvlJc w:val="left"/>
      <w:pPr>
        <w:tabs>
          <w:tab w:val="num" w:pos="3573"/>
        </w:tabs>
        <w:ind w:left="3213" w:hanging="1080"/>
      </w:pPr>
    </w:lvl>
    <w:lvl w:ilvl="7">
      <w:start w:val="1"/>
      <w:numFmt w:val="decimal"/>
      <w:lvlText w:val="%1.%2.%3.%4.%5.%6.%7.%8."/>
      <w:lvlJc w:val="left"/>
      <w:pPr>
        <w:tabs>
          <w:tab w:val="num" w:pos="4293"/>
        </w:tabs>
        <w:ind w:left="3717" w:hanging="1224"/>
      </w:pPr>
    </w:lvl>
    <w:lvl w:ilvl="8">
      <w:start w:val="1"/>
      <w:numFmt w:val="decimal"/>
      <w:lvlText w:val="%1.%2.%3.%4.%5.%6.%7.%8.%9."/>
      <w:lvlJc w:val="left"/>
      <w:pPr>
        <w:tabs>
          <w:tab w:val="num" w:pos="4653"/>
        </w:tabs>
        <w:ind w:left="4293" w:hanging="1440"/>
      </w:pPr>
    </w:lvl>
  </w:abstractNum>
  <w:abstractNum w:abstractNumId="24"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497CA6"/>
    <w:multiLevelType w:val="hybridMultilevel"/>
    <w:tmpl w:val="8D6291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D45520F"/>
    <w:multiLevelType w:val="hybridMultilevel"/>
    <w:tmpl w:val="9A7049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67A0ADD"/>
    <w:multiLevelType w:val="hybridMultilevel"/>
    <w:tmpl w:val="F50097D0"/>
    <w:lvl w:ilvl="0" w:tplc="0481000F">
      <w:start w:val="1"/>
      <w:numFmt w:val="decimal"/>
      <w:lvlText w:val="%1."/>
      <w:lvlJc w:val="left"/>
      <w:pPr>
        <w:ind w:left="720" w:hanging="360"/>
      </w:pPr>
    </w:lvl>
    <w:lvl w:ilvl="1" w:tplc="04810019">
      <w:start w:val="1"/>
      <w:numFmt w:val="lowerLetter"/>
      <w:lvlText w:val="%2."/>
      <w:lvlJc w:val="left"/>
      <w:pPr>
        <w:ind w:left="1440" w:hanging="360"/>
      </w:pPr>
    </w:lvl>
    <w:lvl w:ilvl="2" w:tplc="0481001B" w:tentative="1">
      <w:start w:val="1"/>
      <w:numFmt w:val="lowerRoman"/>
      <w:lvlText w:val="%3."/>
      <w:lvlJc w:val="right"/>
      <w:pPr>
        <w:ind w:left="2160" w:hanging="180"/>
      </w:pPr>
    </w:lvl>
    <w:lvl w:ilvl="3" w:tplc="0481000F" w:tentative="1">
      <w:start w:val="1"/>
      <w:numFmt w:val="decimal"/>
      <w:lvlText w:val="%4."/>
      <w:lvlJc w:val="left"/>
      <w:pPr>
        <w:ind w:left="2880" w:hanging="360"/>
      </w:pPr>
    </w:lvl>
    <w:lvl w:ilvl="4" w:tplc="04810019" w:tentative="1">
      <w:start w:val="1"/>
      <w:numFmt w:val="lowerLetter"/>
      <w:lvlText w:val="%5."/>
      <w:lvlJc w:val="left"/>
      <w:pPr>
        <w:ind w:left="3600" w:hanging="360"/>
      </w:pPr>
    </w:lvl>
    <w:lvl w:ilvl="5" w:tplc="0481001B" w:tentative="1">
      <w:start w:val="1"/>
      <w:numFmt w:val="lowerRoman"/>
      <w:lvlText w:val="%6."/>
      <w:lvlJc w:val="right"/>
      <w:pPr>
        <w:ind w:left="4320" w:hanging="180"/>
      </w:pPr>
    </w:lvl>
    <w:lvl w:ilvl="6" w:tplc="0481000F" w:tentative="1">
      <w:start w:val="1"/>
      <w:numFmt w:val="decimal"/>
      <w:lvlText w:val="%7."/>
      <w:lvlJc w:val="left"/>
      <w:pPr>
        <w:ind w:left="5040" w:hanging="360"/>
      </w:pPr>
    </w:lvl>
    <w:lvl w:ilvl="7" w:tplc="04810019" w:tentative="1">
      <w:start w:val="1"/>
      <w:numFmt w:val="lowerLetter"/>
      <w:lvlText w:val="%8."/>
      <w:lvlJc w:val="left"/>
      <w:pPr>
        <w:ind w:left="5760" w:hanging="360"/>
      </w:pPr>
    </w:lvl>
    <w:lvl w:ilvl="8" w:tplc="0481001B" w:tentative="1">
      <w:start w:val="1"/>
      <w:numFmt w:val="lowerRoman"/>
      <w:lvlText w:val="%9."/>
      <w:lvlJc w:val="right"/>
      <w:pPr>
        <w:ind w:left="6480" w:hanging="180"/>
      </w:pPr>
    </w:lvl>
  </w:abstractNum>
  <w:abstractNum w:abstractNumId="29" w15:restartNumberingAfterBreak="0">
    <w:nsid w:val="48BB64D3"/>
    <w:multiLevelType w:val="hybridMultilevel"/>
    <w:tmpl w:val="945AC178"/>
    <w:lvl w:ilvl="0" w:tplc="04810001">
      <w:start w:val="1"/>
      <w:numFmt w:val="bullet"/>
      <w:lvlText w:val=""/>
      <w:lvlJc w:val="left"/>
      <w:pPr>
        <w:ind w:left="1080" w:hanging="360"/>
      </w:pPr>
      <w:rPr>
        <w:rFonts w:ascii="Symbol" w:hAnsi="Symbol" w:hint="default"/>
      </w:rPr>
    </w:lvl>
    <w:lvl w:ilvl="1" w:tplc="04810003" w:tentative="1">
      <w:start w:val="1"/>
      <w:numFmt w:val="bullet"/>
      <w:lvlText w:val="o"/>
      <w:lvlJc w:val="left"/>
      <w:pPr>
        <w:ind w:left="1800" w:hanging="360"/>
      </w:pPr>
      <w:rPr>
        <w:rFonts w:ascii="Courier New" w:hAnsi="Courier New" w:cs="Courier New" w:hint="default"/>
      </w:rPr>
    </w:lvl>
    <w:lvl w:ilvl="2" w:tplc="04810005" w:tentative="1">
      <w:start w:val="1"/>
      <w:numFmt w:val="bullet"/>
      <w:lvlText w:val=""/>
      <w:lvlJc w:val="left"/>
      <w:pPr>
        <w:ind w:left="2520" w:hanging="360"/>
      </w:pPr>
      <w:rPr>
        <w:rFonts w:ascii="Wingdings" w:hAnsi="Wingdings" w:hint="default"/>
      </w:rPr>
    </w:lvl>
    <w:lvl w:ilvl="3" w:tplc="04810001" w:tentative="1">
      <w:start w:val="1"/>
      <w:numFmt w:val="bullet"/>
      <w:lvlText w:val=""/>
      <w:lvlJc w:val="left"/>
      <w:pPr>
        <w:ind w:left="3240" w:hanging="360"/>
      </w:pPr>
      <w:rPr>
        <w:rFonts w:ascii="Symbol" w:hAnsi="Symbol" w:hint="default"/>
      </w:rPr>
    </w:lvl>
    <w:lvl w:ilvl="4" w:tplc="04810003" w:tentative="1">
      <w:start w:val="1"/>
      <w:numFmt w:val="bullet"/>
      <w:lvlText w:val="o"/>
      <w:lvlJc w:val="left"/>
      <w:pPr>
        <w:ind w:left="3960" w:hanging="360"/>
      </w:pPr>
      <w:rPr>
        <w:rFonts w:ascii="Courier New" w:hAnsi="Courier New" w:cs="Courier New" w:hint="default"/>
      </w:rPr>
    </w:lvl>
    <w:lvl w:ilvl="5" w:tplc="04810005" w:tentative="1">
      <w:start w:val="1"/>
      <w:numFmt w:val="bullet"/>
      <w:lvlText w:val=""/>
      <w:lvlJc w:val="left"/>
      <w:pPr>
        <w:ind w:left="4680" w:hanging="360"/>
      </w:pPr>
      <w:rPr>
        <w:rFonts w:ascii="Wingdings" w:hAnsi="Wingdings" w:hint="default"/>
      </w:rPr>
    </w:lvl>
    <w:lvl w:ilvl="6" w:tplc="04810001" w:tentative="1">
      <w:start w:val="1"/>
      <w:numFmt w:val="bullet"/>
      <w:lvlText w:val=""/>
      <w:lvlJc w:val="left"/>
      <w:pPr>
        <w:ind w:left="5400" w:hanging="360"/>
      </w:pPr>
      <w:rPr>
        <w:rFonts w:ascii="Symbol" w:hAnsi="Symbol" w:hint="default"/>
      </w:rPr>
    </w:lvl>
    <w:lvl w:ilvl="7" w:tplc="04810003" w:tentative="1">
      <w:start w:val="1"/>
      <w:numFmt w:val="bullet"/>
      <w:lvlText w:val="o"/>
      <w:lvlJc w:val="left"/>
      <w:pPr>
        <w:ind w:left="6120" w:hanging="360"/>
      </w:pPr>
      <w:rPr>
        <w:rFonts w:ascii="Courier New" w:hAnsi="Courier New" w:cs="Courier New" w:hint="default"/>
      </w:rPr>
    </w:lvl>
    <w:lvl w:ilvl="8" w:tplc="04810005" w:tentative="1">
      <w:start w:val="1"/>
      <w:numFmt w:val="bullet"/>
      <w:lvlText w:val=""/>
      <w:lvlJc w:val="left"/>
      <w:pPr>
        <w:ind w:left="6840" w:hanging="360"/>
      </w:pPr>
      <w:rPr>
        <w:rFonts w:ascii="Wingdings" w:hAnsi="Wingdings" w:hint="default"/>
      </w:rPr>
    </w:lvl>
  </w:abstractNum>
  <w:abstractNum w:abstractNumId="30"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4FD414B"/>
    <w:multiLevelType w:val="hybridMultilevel"/>
    <w:tmpl w:val="5BA4F4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56D0E73"/>
    <w:multiLevelType w:val="hybridMultilevel"/>
    <w:tmpl w:val="0464EC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4"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AE22A33"/>
    <w:multiLevelType w:val="hybridMultilevel"/>
    <w:tmpl w:val="4B94C7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8BD2E26"/>
    <w:multiLevelType w:val="hybridMultilevel"/>
    <w:tmpl w:val="5A5844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1578400">
    <w:abstractNumId w:val="21"/>
  </w:num>
  <w:num w:numId="2" w16cid:durableId="15659194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02328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4747824">
    <w:abstractNumId w:val="17"/>
  </w:num>
  <w:num w:numId="5" w16cid:durableId="710032124">
    <w:abstractNumId w:val="9"/>
  </w:num>
  <w:num w:numId="6" w16cid:durableId="488865079">
    <w:abstractNumId w:val="7"/>
  </w:num>
  <w:num w:numId="7" w16cid:durableId="350303588">
    <w:abstractNumId w:val="34"/>
  </w:num>
  <w:num w:numId="8" w16cid:durableId="5887327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3665267">
    <w:abstractNumId w:val="9"/>
  </w:num>
  <w:num w:numId="10" w16cid:durableId="1512799553">
    <w:abstractNumId w:val="15"/>
  </w:num>
  <w:num w:numId="11" w16cid:durableId="1188910339">
    <w:abstractNumId w:val="15"/>
  </w:num>
  <w:num w:numId="12" w16cid:durableId="477888558">
    <w:abstractNumId w:val="9"/>
  </w:num>
  <w:num w:numId="13" w16cid:durableId="1582175079">
    <w:abstractNumId w:val="10"/>
  </w:num>
  <w:num w:numId="14" w16cid:durableId="1850484597">
    <w:abstractNumId w:val="25"/>
  </w:num>
  <w:num w:numId="15" w16cid:durableId="626591797">
    <w:abstractNumId w:val="16"/>
  </w:num>
  <w:num w:numId="16" w16cid:durableId="1156919228">
    <w:abstractNumId w:val="6"/>
  </w:num>
  <w:num w:numId="17" w16cid:durableId="4018112">
    <w:abstractNumId w:val="5"/>
  </w:num>
  <w:num w:numId="18" w16cid:durableId="1255628562">
    <w:abstractNumId w:val="4"/>
  </w:num>
  <w:num w:numId="19" w16cid:durableId="752820558">
    <w:abstractNumId w:val="8"/>
  </w:num>
  <w:num w:numId="20" w16cid:durableId="318507653">
    <w:abstractNumId w:val="3"/>
  </w:num>
  <w:num w:numId="21" w16cid:durableId="105394878">
    <w:abstractNumId w:val="2"/>
  </w:num>
  <w:num w:numId="22" w16cid:durableId="268241996">
    <w:abstractNumId w:val="1"/>
  </w:num>
  <w:num w:numId="23" w16cid:durableId="1900095669">
    <w:abstractNumId w:val="0"/>
  </w:num>
  <w:num w:numId="24" w16cid:durableId="1937637811">
    <w:abstractNumId w:val="20"/>
  </w:num>
  <w:num w:numId="25" w16cid:durableId="661860569">
    <w:abstractNumId w:val="36"/>
  </w:num>
  <w:num w:numId="26" w16cid:durableId="87194143">
    <w:abstractNumId w:val="38"/>
  </w:num>
  <w:num w:numId="27" w16cid:durableId="1536891654">
    <w:abstractNumId w:val="35"/>
  </w:num>
  <w:num w:numId="28" w16cid:durableId="382677147">
    <w:abstractNumId w:val="22"/>
  </w:num>
  <w:num w:numId="29" w16cid:durableId="1757700849">
    <w:abstractNumId w:val="12"/>
  </w:num>
  <w:num w:numId="30" w16cid:durableId="1352033184">
    <w:abstractNumId w:val="24"/>
  </w:num>
  <w:num w:numId="31" w16cid:durableId="928579836">
    <w:abstractNumId w:val="39"/>
  </w:num>
  <w:num w:numId="32" w16cid:durableId="1427267153">
    <w:abstractNumId w:val="30"/>
  </w:num>
  <w:num w:numId="33" w16cid:durableId="1023940488">
    <w:abstractNumId w:val="32"/>
  </w:num>
  <w:num w:numId="34" w16cid:durableId="2103144399">
    <w:abstractNumId w:val="31"/>
  </w:num>
  <w:num w:numId="35" w16cid:durableId="822434580">
    <w:abstractNumId w:val="13"/>
  </w:num>
  <w:num w:numId="36" w16cid:durableId="1751847252">
    <w:abstractNumId w:val="19"/>
  </w:num>
  <w:num w:numId="37" w16cid:durableId="415713328">
    <w:abstractNumId w:val="23"/>
    <w:lvlOverride w:ilvl="0">
      <w:lvl w:ilvl="0">
        <w:start w:val="1"/>
        <w:numFmt w:val="decimal"/>
        <w:pStyle w:val="ReportBody"/>
        <w:lvlText w:val="%1"/>
        <w:lvlJc w:val="left"/>
        <w:pPr>
          <w:tabs>
            <w:tab w:val="num" w:pos="493"/>
          </w:tabs>
          <w:ind w:left="493" w:hanging="493"/>
        </w:pPr>
      </w:lvl>
    </w:lvlOverride>
    <w:lvlOverride w:ilvl="1">
      <w:lvl w:ilvl="1">
        <w:start w:val="1"/>
        <w:numFmt w:val="decimal"/>
        <w:pStyle w:val="ReportBody2"/>
        <w:lvlText w:val="%1.%2"/>
        <w:lvlJc w:val="left"/>
        <w:pPr>
          <w:tabs>
            <w:tab w:val="num" w:pos="493"/>
          </w:tabs>
          <w:ind w:left="987" w:hanging="494"/>
        </w:pPr>
      </w:lvl>
    </w:lvlOverride>
    <w:lvlOverride w:ilvl="2">
      <w:lvl w:ilvl="2">
        <w:start w:val="1"/>
        <w:numFmt w:val="decimal"/>
        <w:lvlText w:val="%1.%2.%3"/>
        <w:lvlJc w:val="left"/>
        <w:pPr>
          <w:tabs>
            <w:tab w:val="num" w:pos="1554"/>
          </w:tabs>
          <w:ind w:left="1554" w:hanging="567"/>
        </w:pPr>
      </w:lvl>
    </w:lvlOverride>
    <w:lvlOverride w:ilvl="3">
      <w:lvl w:ilvl="3">
        <w:start w:val="1"/>
        <w:numFmt w:val="decimal"/>
        <w:lvlText w:val="%1.%2.%3.%4."/>
        <w:lvlJc w:val="left"/>
        <w:pPr>
          <w:tabs>
            <w:tab w:val="num" w:pos="2133"/>
          </w:tabs>
          <w:ind w:left="1701" w:hanging="648"/>
        </w:pPr>
      </w:lvl>
    </w:lvlOverride>
    <w:lvlOverride w:ilvl="4">
      <w:lvl w:ilvl="4">
        <w:start w:val="1"/>
        <w:numFmt w:val="decimal"/>
        <w:lvlText w:val="%1.%2.%3.%4.%5."/>
        <w:lvlJc w:val="left"/>
        <w:pPr>
          <w:tabs>
            <w:tab w:val="num" w:pos="2493"/>
          </w:tabs>
          <w:ind w:left="2205" w:hanging="792"/>
        </w:pPr>
      </w:lvl>
    </w:lvlOverride>
    <w:lvlOverride w:ilvl="5">
      <w:lvl w:ilvl="5">
        <w:start w:val="1"/>
        <w:numFmt w:val="decimal"/>
        <w:lvlText w:val="%1.%2.%3.%4.%5.%6."/>
        <w:lvlJc w:val="left"/>
        <w:pPr>
          <w:tabs>
            <w:tab w:val="num" w:pos="3213"/>
          </w:tabs>
          <w:ind w:left="2709" w:hanging="936"/>
        </w:pPr>
      </w:lvl>
    </w:lvlOverride>
    <w:lvlOverride w:ilvl="6">
      <w:lvl w:ilvl="6">
        <w:start w:val="1"/>
        <w:numFmt w:val="decimal"/>
        <w:lvlText w:val="%1.%2.%3.%4.%5.%6.%7."/>
        <w:lvlJc w:val="left"/>
        <w:pPr>
          <w:tabs>
            <w:tab w:val="num" w:pos="3573"/>
          </w:tabs>
          <w:ind w:left="3213" w:hanging="1080"/>
        </w:pPr>
      </w:lvl>
    </w:lvlOverride>
    <w:lvlOverride w:ilvl="7">
      <w:lvl w:ilvl="7">
        <w:start w:val="1"/>
        <w:numFmt w:val="decimal"/>
        <w:lvlText w:val="%1.%2.%3.%4.%5.%6.%7.%8."/>
        <w:lvlJc w:val="left"/>
        <w:pPr>
          <w:tabs>
            <w:tab w:val="num" w:pos="4293"/>
          </w:tabs>
          <w:ind w:left="3717" w:hanging="1224"/>
        </w:pPr>
      </w:lvl>
    </w:lvlOverride>
    <w:lvlOverride w:ilvl="8">
      <w:lvl w:ilvl="8">
        <w:start w:val="1"/>
        <w:numFmt w:val="decimal"/>
        <w:lvlText w:val="%1.%2.%3.%4.%5.%6.%7.%8.%9."/>
        <w:lvlJc w:val="left"/>
        <w:pPr>
          <w:tabs>
            <w:tab w:val="num" w:pos="4653"/>
          </w:tabs>
          <w:ind w:left="4293" w:hanging="1440"/>
        </w:pPr>
      </w:lvl>
    </w:lvlOverride>
  </w:num>
  <w:num w:numId="38" w16cid:durableId="316954677">
    <w:abstractNumId w:val="11"/>
  </w:num>
  <w:num w:numId="39" w16cid:durableId="1042287594">
    <w:abstractNumId w:val="37"/>
  </w:num>
  <w:num w:numId="40" w16cid:durableId="1220939830">
    <w:abstractNumId w:val="26"/>
  </w:num>
  <w:num w:numId="41" w16cid:durableId="669872447">
    <w:abstractNumId w:val="40"/>
  </w:num>
  <w:num w:numId="42" w16cid:durableId="1422530202">
    <w:abstractNumId w:val="27"/>
  </w:num>
  <w:num w:numId="43" w16cid:durableId="1176920603">
    <w:abstractNumId w:val="18"/>
  </w:num>
  <w:num w:numId="44" w16cid:durableId="1490903745">
    <w:abstractNumId w:val="14"/>
  </w:num>
  <w:num w:numId="45" w16cid:durableId="1333531031">
    <w:abstractNumId w:val="28"/>
  </w:num>
  <w:num w:numId="46" w16cid:durableId="2109814840">
    <w:abstractNumId w:val="29"/>
  </w:num>
  <w:num w:numId="47" w16cid:durableId="521820621">
    <w:abstractNumId w:val="23"/>
    <w:lvlOverride w:ilvl="0">
      <w:lvl w:ilvl="0">
        <w:start w:val="1"/>
        <w:numFmt w:val="decimal"/>
        <w:pStyle w:val="ReportBody"/>
        <w:lvlText w:val="%1"/>
        <w:lvlJc w:val="left"/>
        <w:pPr>
          <w:tabs>
            <w:tab w:val="num" w:pos="493"/>
          </w:tabs>
          <w:ind w:left="493" w:hanging="493"/>
        </w:pPr>
      </w:lvl>
    </w:lvlOverride>
    <w:lvlOverride w:ilvl="1">
      <w:lvl w:ilvl="1">
        <w:start w:val="1"/>
        <w:numFmt w:val="decimal"/>
        <w:pStyle w:val="ReportBody2"/>
        <w:lvlText w:val="%1.%2"/>
        <w:lvlJc w:val="left"/>
        <w:pPr>
          <w:tabs>
            <w:tab w:val="num" w:pos="493"/>
          </w:tabs>
          <w:ind w:left="987" w:hanging="494"/>
        </w:pPr>
      </w:lvl>
    </w:lvlOverride>
    <w:lvlOverride w:ilvl="2">
      <w:lvl w:ilvl="2">
        <w:start w:val="1"/>
        <w:numFmt w:val="decimal"/>
        <w:lvlText w:val="%1.%2.%3"/>
        <w:lvlJc w:val="left"/>
        <w:pPr>
          <w:tabs>
            <w:tab w:val="num" w:pos="1554"/>
          </w:tabs>
          <w:ind w:left="1554" w:hanging="567"/>
        </w:pPr>
      </w:lvl>
    </w:lvlOverride>
    <w:lvlOverride w:ilvl="3">
      <w:lvl w:ilvl="3">
        <w:start w:val="1"/>
        <w:numFmt w:val="decimal"/>
        <w:lvlText w:val="%1.%2.%3.%4."/>
        <w:lvlJc w:val="left"/>
        <w:pPr>
          <w:tabs>
            <w:tab w:val="num" w:pos="2133"/>
          </w:tabs>
          <w:ind w:left="1701" w:hanging="648"/>
        </w:pPr>
      </w:lvl>
    </w:lvlOverride>
    <w:lvlOverride w:ilvl="4">
      <w:lvl w:ilvl="4">
        <w:start w:val="1"/>
        <w:numFmt w:val="decimal"/>
        <w:lvlText w:val="%1.%2.%3.%4.%5."/>
        <w:lvlJc w:val="left"/>
        <w:pPr>
          <w:tabs>
            <w:tab w:val="num" w:pos="2493"/>
          </w:tabs>
          <w:ind w:left="2205" w:hanging="792"/>
        </w:pPr>
      </w:lvl>
    </w:lvlOverride>
    <w:lvlOverride w:ilvl="5">
      <w:lvl w:ilvl="5">
        <w:start w:val="1"/>
        <w:numFmt w:val="decimal"/>
        <w:lvlText w:val="%1.%2.%3.%4.%5.%6."/>
        <w:lvlJc w:val="left"/>
        <w:pPr>
          <w:tabs>
            <w:tab w:val="num" w:pos="3213"/>
          </w:tabs>
          <w:ind w:left="2709" w:hanging="936"/>
        </w:pPr>
      </w:lvl>
    </w:lvlOverride>
    <w:lvlOverride w:ilvl="6">
      <w:lvl w:ilvl="6">
        <w:start w:val="1"/>
        <w:numFmt w:val="decimal"/>
        <w:lvlText w:val="%1.%2.%3.%4.%5.%6.%7."/>
        <w:lvlJc w:val="left"/>
        <w:pPr>
          <w:tabs>
            <w:tab w:val="num" w:pos="3573"/>
          </w:tabs>
          <w:ind w:left="3213" w:hanging="1080"/>
        </w:pPr>
      </w:lvl>
    </w:lvlOverride>
    <w:lvlOverride w:ilvl="7">
      <w:lvl w:ilvl="7">
        <w:start w:val="1"/>
        <w:numFmt w:val="decimal"/>
        <w:lvlText w:val="%1.%2.%3.%4.%5.%6.%7.%8."/>
        <w:lvlJc w:val="left"/>
        <w:pPr>
          <w:tabs>
            <w:tab w:val="num" w:pos="4293"/>
          </w:tabs>
          <w:ind w:left="3717" w:hanging="1224"/>
        </w:pPr>
      </w:lvl>
    </w:lvlOverride>
    <w:lvlOverride w:ilvl="8">
      <w:lvl w:ilvl="8">
        <w:start w:val="1"/>
        <w:numFmt w:val="decimal"/>
        <w:lvlText w:val="%1.%2.%3.%4.%5.%6.%7.%8.%9."/>
        <w:lvlJc w:val="left"/>
        <w:pPr>
          <w:tabs>
            <w:tab w:val="num" w:pos="4653"/>
          </w:tabs>
          <w:ind w:left="4293" w:hanging="1440"/>
        </w:pPr>
      </w:lvl>
    </w:lvlOverride>
  </w:num>
  <w:num w:numId="48" w16cid:durableId="1710915056">
    <w:abstractNumId w:val="40"/>
  </w:num>
  <w:num w:numId="49" w16cid:durableId="14474586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1E"/>
    <w:rsid w:val="00000B4C"/>
    <w:rsid w:val="00005BBE"/>
    <w:rsid w:val="000106D0"/>
    <w:rsid w:val="0002624E"/>
    <w:rsid w:val="000315A5"/>
    <w:rsid w:val="000328E4"/>
    <w:rsid w:val="00034336"/>
    <w:rsid w:val="00037CB0"/>
    <w:rsid w:val="00052D4A"/>
    <w:rsid w:val="00061EAD"/>
    <w:rsid w:val="00063985"/>
    <w:rsid w:val="0007353E"/>
    <w:rsid w:val="00093932"/>
    <w:rsid w:val="000945F3"/>
    <w:rsid w:val="000A0573"/>
    <w:rsid w:val="000A2A7B"/>
    <w:rsid w:val="000A576B"/>
    <w:rsid w:val="000D15C1"/>
    <w:rsid w:val="000E2054"/>
    <w:rsid w:val="000E3BB9"/>
    <w:rsid w:val="000E73BD"/>
    <w:rsid w:val="000F2DB7"/>
    <w:rsid w:val="000F3BD3"/>
    <w:rsid w:val="000F45E2"/>
    <w:rsid w:val="0010460A"/>
    <w:rsid w:val="00106AED"/>
    <w:rsid w:val="001324BB"/>
    <w:rsid w:val="00143573"/>
    <w:rsid w:val="0015545A"/>
    <w:rsid w:val="001568E6"/>
    <w:rsid w:val="00170FF9"/>
    <w:rsid w:val="00183E45"/>
    <w:rsid w:val="00184ED6"/>
    <w:rsid w:val="001944A1"/>
    <w:rsid w:val="001B131E"/>
    <w:rsid w:val="001D24BA"/>
    <w:rsid w:val="001D3744"/>
    <w:rsid w:val="00201608"/>
    <w:rsid w:val="00213DA6"/>
    <w:rsid w:val="00216302"/>
    <w:rsid w:val="00222306"/>
    <w:rsid w:val="002260FE"/>
    <w:rsid w:val="00231CC3"/>
    <w:rsid w:val="00236D2D"/>
    <w:rsid w:val="00243ED0"/>
    <w:rsid w:val="00245A2B"/>
    <w:rsid w:val="00250B66"/>
    <w:rsid w:val="00251F22"/>
    <w:rsid w:val="002542B5"/>
    <w:rsid w:val="00254A01"/>
    <w:rsid w:val="00263C10"/>
    <w:rsid w:val="00274F2D"/>
    <w:rsid w:val="002973FF"/>
    <w:rsid w:val="002B0A3E"/>
    <w:rsid w:val="002B1366"/>
    <w:rsid w:val="002B7921"/>
    <w:rsid w:val="002C66C1"/>
    <w:rsid w:val="002D1C62"/>
    <w:rsid w:val="002D367B"/>
    <w:rsid w:val="002E46C0"/>
    <w:rsid w:val="00320389"/>
    <w:rsid w:val="00320A8B"/>
    <w:rsid w:val="00324103"/>
    <w:rsid w:val="00334332"/>
    <w:rsid w:val="00344CF6"/>
    <w:rsid w:val="00354EC2"/>
    <w:rsid w:val="00375938"/>
    <w:rsid w:val="00376D71"/>
    <w:rsid w:val="00385FA7"/>
    <w:rsid w:val="00392449"/>
    <w:rsid w:val="00393C74"/>
    <w:rsid w:val="00397220"/>
    <w:rsid w:val="003A1C81"/>
    <w:rsid w:val="003A3F56"/>
    <w:rsid w:val="003B0A38"/>
    <w:rsid w:val="003B458D"/>
    <w:rsid w:val="003C6DC9"/>
    <w:rsid w:val="003E2869"/>
    <w:rsid w:val="003E3722"/>
    <w:rsid w:val="003F551C"/>
    <w:rsid w:val="00401AD7"/>
    <w:rsid w:val="00402EF1"/>
    <w:rsid w:val="004227ED"/>
    <w:rsid w:val="00445BCE"/>
    <w:rsid w:val="00454AFB"/>
    <w:rsid w:val="00454F25"/>
    <w:rsid w:val="00466210"/>
    <w:rsid w:val="004710B8"/>
    <w:rsid w:val="00484831"/>
    <w:rsid w:val="004905B8"/>
    <w:rsid w:val="004A75C4"/>
    <w:rsid w:val="004C4309"/>
    <w:rsid w:val="004D43EA"/>
    <w:rsid w:val="004D6C3C"/>
    <w:rsid w:val="00533E65"/>
    <w:rsid w:val="0053629A"/>
    <w:rsid w:val="0056681E"/>
    <w:rsid w:val="00570063"/>
    <w:rsid w:val="00572AA9"/>
    <w:rsid w:val="0059116D"/>
    <w:rsid w:val="00595906"/>
    <w:rsid w:val="005A4321"/>
    <w:rsid w:val="005A5DFB"/>
    <w:rsid w:val="005B11F9"/>
    <w:rsid w:val="005C48FD"/>
    <w:rsid w:val="005D1CEC"/>
    <w:rsid w:val="005D5FA8"/>
    <w:rsid w:val="005E438D"/>
    <w:rsid w:val="005F1CEA"/>
    <w:rsid w:val="005F27CE"/>
    <w:rsid w:val="005F5C7E"/>
    <w:rsid w:val="00615F3A"/>
    <w:rsid w:val="00625B92"/>
    <w:rsid w:val="00631D73"/>
    <w:rsid w:val="00636C08"/>
    <w:rsid w:val="00637272"/>
    <w:rsid w:val="0064174F"/>
    <w:rsid w:val="00650929"/>
    <w:rsid w:val="006741FF"/>
    <w:rsid w:val="00685A3D"/>
    <w:rsid w:val="006A2037"/>
    <w:rsid w:val="006A2F94"/>
    <w:rsid w:val="006A4EF2"/>
    <w:rsid w:val="006A6FEB"/>
    <w:rsid w:val="006B19BD"/>
    <w:rsid w:val="006C0ACA"/>
    <w:rsid w:val="006C0EE6"/>
    <w:rsid w:val="006D169C"/>
    <w:rsid w:val="006E1E0A"/>
    <w:rsid w:val="006F36DF"/>
    <w:rsid w:val="007047F7"/>
    <w:rsid w:val="00727799"/>
    <w:rsid w:val="00747966"/>
    <w:rsid w:val="00747A6A"/>
    <w:rsid w:val="00752359"/>
    <w:rsid w:val="00760550"/>
    <w:rsid w:val="0077261B"/>
    <w:rsid w:val="0079280B"/>
    <w:rsid w:val="00793F03"/>
    <w:rsid w:val="007956D7"/>
    <w:rsid w:val="007A241D"/>
    <w:rsid w:val="007B201A"/>
    <w:rsid w:val="007B2BA9"/>
    <w:rsid w:val="007C2143"/>
    <w:rsid w:val="007C67FF"/>
    <w:rsid w:val="007E072E"/>
    <w:rsid w:val="007F3ACD"/>
    <w:rsid w:val="007F6AF1"/>
    <w:rsid w:val="0080133F"/>
    <w:rsid w:val="0080282E"/>
    <w:rsid w:val="0080498F"/>
    <w:rsid w:val="00812C0F"/>
    <w:rsid w:val="00816F42"/>
    <w:rsid w:val="008322B0"/>
    <w:rsid w:val="0083626C"/>
    <w:rsid w:val="00860654"/>
    <w:rsid w:val="00862940"/>
    <w:rsid w:val="00866DED"/>
    <w:rsid w:val="00874A31"/>
    <w:rsid w:val="00883BCC"/>
    <w:rsid w:val="0088596F"/>
    <w:rsid w:val="008B0B53"/>
    <w:rsid w:val="008B2A4B"/>
    <w:rsid w:val="008C1E25"/>
    <w:rsid w:val="008C6035"/>
    <w:rsid w:val="00903467"/>
    <w:rsid w:val="00905E7E"/>
    <w:rsid w:val="00906EAA"/>
    <w:rsid w:val="009110D4"/>
    <w:rsid w:val="00917201"/>
    <w:rsid w:val="00926461"/>
    <w:rsid w:val="00967DD1"/>
    <w:rsid w:val="00970DD2"/>
    <w:rsid w:val="00973413"/>
    <w:rsid w:val="00977A96"/>
    <w:rsid w:val="00985409"/>
    <w:rsid w:val="0099075B"/>
    <w:rsid w:val="00991F42"/>
    <w:rsid w:val="009A7CC9"/>
    <w:rsid w:val="009A7E2A"/>
    <w:rsid w:val="009C6918"/>
    <w:rsid w:val="009D15F1"/>
    <w:rsid w:val="009D2B10"/>
    <w:rsid w:val="009E099D"/>
    <w:rsid w:val="00A2199C"/>
    <w:rsid w:val="00A35561"/>
    <w:rsid w:val="00A35944"/>
    <w:rsid w:val="00A43896"/>
    <w:rsid w:val="00A52E08"/>
    <w:rsid w:val="00A56A63"/>
    <w:rsid w:val="00A6244E"/>
    <w:rsid w:val="00A67375"/>
    <w:rsid w:val="00A842E1"/>
    <w:rsid w:val="00A95ACD"/>
    <w:rsid w:val="00AA5A77"/>
    <w:rsid w:val="00AA5BCA"/>
    <w:rsid w:val="00AB56A3"/>
    <w:rsid w:val="00AC0145"/>
    <w:rsid w:val="00AC4687"/>
    <w:rsid w:val="00AD3F4B"/>
    <w:rsid w:val="00AE05E5"/>
    <w:rsid w:val="00AE1A1E"/>
    <w:rsid w:val="00AF56A3"/>
    <w:rsid w:val="00B03387"/>
    <w:rsid w:val="00B15371"/>
    <w:rsid w:val="00B1591A"/>
    <w:rsid w:val="00B36F84"/>
    <w:rsid w:val="00B41635"/>
    <w:rsid w:val="00B5357A"/>
    <w:rsid w:val="00B60B34"/>
    <w:rsid w:val="00BA39E7"/>
    <w:rsid w:val="00BB2E04"/>
    <w:rsid w:val="00BC346D"/>
    <w:rsid w:val="00BC659B"/>
    <w:rsid w:val="00BD7E82"/>
    <w:rsid w:val="00BE2BE5"/>
    <w:rsid w:val="00BE497B"/>
    <w:rsid w:val="00C10C5D"/>
    <w:rsid w:val="00C12221"/>
    <w:rsid w:val="00C13BD0"/>
    <w:rsid w:val="00C40DB2"/>
    <w:rsid w:val="00C503A7"/>
    <w:rsid w:val="00C5215F"/>
    <w:rsid w:val="00C74CF0"/>
    <w:rsid w:val="00C93D87"/>
    <w:rsid w:val="00CB1145"/>
    <w:rsid w:val="00CB4A28"/>
    <w:rsid w:val="00CC2465"/>
    <w:rsid w:val="00CC6C74"/>
    <w:rsid w:val="00CC6FC5"/>
    <w:rsid w:val="00CD4E9C"/>
    <w:rsid w:val="00CE2902"/>
    <w:rsid w:val="00CE367B"/>
    <w:rsid w:val="00D02D2D"/>
    <w:rsid w:val="00D30CF3"/>
    <w:rsid w:val="00D34EA0"/>
    <w:rsid w:val="00D36C56"/>
    <w:rsid w:val="00D37FBB"/>
    <w:rsid w:val="00D40A5C"/>
    <w:rsid w:val="00D443F4"/>
    <w:rsid w:val="00D5645A"/>
    <w:rsid w:val="00D84142"/>
    <w:rsid w:val="00D84280"/>
    <w:rsid w:val="00D95883"/>
    <w:rsid w:val="00DA5713"/>
    <w:rsid w:val="00DB1E75"/>
    <w:rsid w:val="00DB6F9D"/>
    <w:rsid w:val="00DD024D"/>
    <w:rsid w:val="00DD2E2A"/>
    <w:rsid w:val="00DD6907"/>
    <w:rsid w:val="00DD7526"/>
    <w:rsid w:val="00DF7632"/>
    <w:rsid w:val="00E070C0"/>
    <w:rsid w:val="00E07935"/>
    <w:rsid w:val="00E13656"/>
    <w:rsid w:val="00E43579"/>
    <w:rsid w:val="00E671C3"/>
    <w:rsid w:val="00E90142"/>
    <w:rsid w:val="00E9269E"/>
    <w:rsid w:val="00EA21DC"/>
    <w:rsid w:val="00EC7A99"/>
    <w:rsid w:val="00EE0130"/>
    <w:rsid w:val="00EE2111"/>
    <w:rsid w:val="00EE287B"/>
    <w:rsid w:val="00EF27EE"/>
    <w:rsid w:val="00EF74A9"/>
    <w:rsid w:val="00F06EE8"/>
    <w:rsid w:val="00F07349"/>
    <w:rsid w:val="00F113EF"/>
    <w:rsid w:val="00F126F3"/>
    <w:rsid w:val="00F15DCB"/>
    <w:rsid w:val="00F22AE5"/>
    <w:rsid w:val="00F36103"/>
    <w:rsid w:val="00F43995"/>
    <w:rsid w:val="00F47C8C"/>
    <w:rsid w:val="00F7510D"/>
    <w:rsid w:val="00F76C71"/>
    <w:rsid w:val="00F829C0"/>
    <w:rsid w:val="00F829F6"/>
    <w:rsid w:val="00F82C0D"/>
    <w:rsid w:val="00F85C0D"/>
    <w:rsid w:val="00F8767E"/>
    <w:rsid w:val="00F87CBB"/>
    <w:rsid w:val="00F90CBC"/>
    <w:rsid w:val="00FA3258"/>
    <w:rsid w:val="00FA6722"/>
    <w:rsid w:val="00FB5D87"/>
    <w:rsid w:val="00FC0492"/>
    <w:rsid w:val="00FC2952"/>
    <w:rsid w:val="00FC4D7F"/>
    <w:rsid w:val="00FD2828"/>
    <w:rsid w:val="00FD6EE1"/>
    <w:rsid w:val="00FD72E8"/>
    <w:rsid w:val="00FF79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9568E"/>
  <w15:chartTrackingRefBased/>
  <w15:docId w15:val="{2DCF1AB8-EC5F-4E7A-A57F-B4E68579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A1E"/>
    <w:pPr>
      <w:spacing w:after="120" w:line="288" w:lineRule="auto"/>
    </w:pPr>
    <w:rPr>
      <w:rFonts w:ascii="Verdana" w:hAnsi="Verdana" w:cs="Arial"/>
      <w:kern w:val="0"/>
      <w:szCs w:val="22"/>
      <w14:ligatures w14:val="none"/>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Para - number,Rec para,Dot pt,F5 List Paragraph,List Paragraph1,No Spacing1,List Paragraph Char Char Char,Indicator Text,Numbered Para 1,Colorful List - Accent 11,MAIN CONTENT,List Paragraph12,List Paragraph2,Normal numbered,OBC Bullet,L"/>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FootnoteReference">
    <w:name w:val="footnote reference"/>
    <w:basedOn w:val="DefaultParagraphFont"/>
    <w:uiPriority w:val="99"/>
    <w:rsid w:val="00AE1A1E"/>
    <w:rPr>
      <w:vertAlign w:val="superscript"/>
    </w:rPr>
  </w:style>
  <w:style w:type="paragraph" w:customStyle="1" w:styleId="Header1">
    <w:name w:val="Header1"/>
    <w:basedOn w:val="Normal"/>
    <w:next w:val="Header"/>
    <w:link w:val="HeaderChar"/>
    <w:unhideWhenUsed/>
    <w:rsid w:val="00AE1A1E"/>
    <w:pPr>
      <w:tabs>
        <w:tab w:val="center" w:pos="4513"/>
        <w:tab w:val="right" w:pos="9026"/>
      </w:tabs>
      <w:spacing w:after="0" w:line="240" w:lineRule="auto"/>
    </w:pPr>
    <w:rPr>
      <w:rFonts w:ascii="Verdana Pro" w:hAnsi="Verdana Pro" w:cs="Times New Roman"/>
      <w:sz w:val="22"/>
      <w:szCs w:val="20"/>
    </w:rPr>
  </w:style>
  <w:style w:type="character" w:customStyle="1" w:styleId="HeaderChar">
    <w:name w:val="Header Char"/>
    <w:basedOn w:val="DefaultParagraphFont"/>
    <w:link w:val="Header1"/>
    <w:rsid w:val="00AE1A1E"/>
    <w:rPr>
      <w:rFonts w:ascii="Verdana Pro" w:hAnsi="Verdana Pro"/>
      <w:kern w:val="0"/>
      <w:sz w:val="22"/>
      <w14:ligatures w14:val="none"/>
    </w:rPr>
  </w:style>
  <w:style w:type="character" w:styleId="Hyperlink">
    <w:name w:val="Hyperlink"/>
    <w:basedOn w:val="DefaultParagraphFont"/>
    <w:uiPriority w:val="99"/>
    <w:unhideWhenUsed/>
    <w:rsid w:val="00AE1A1E"/>
    <w:rPr>
      <w:color w:val="0000FF" w:themeColor="hyperlink"/>
      <w:u w:val="single"/>
    </w:rPr>
  </w:style>
  <w:style w:type="character" w:customStyle="1" w:styleId="ListParagraphChar">
    <w:name w:val="List Paragraph Char"/>
    <w:aliases w:val="Para - number Char,Rec para Char,Dot pt Char,F5 List Paragraph Char,List Paragraph1 Char,No Spacing1 Char,List Paragraph Char Char Char Char,Indicator Text Char,Numbered Para 1 Char,Colorful List - Accent 11 Char,MAIN CONTENT Char"/>
    <w:link w:val="ListParagraph"/>
    <w:uiPriority w:val="34"/>
    <w:qFormat/>
    <w:locked/>
    <w:rsid w:val="00AE1A1E"/>
    <w:rPr>
      <w:rFonts w:ascii="Verdana" w:hAnsi="Verdana" w:cs="Arial"/>
      <w:szCs w:val="22"/>
    </w:rPr>
  </w:style>
  <w:style w:type="character" w:customStyle="1" w:styleId="normaltextrun">
    <w:name w:val="normaltextrun"/>
    <w:basedOn w:val="DefaultParagraphFont"/>
    <w:rsid w:val="00AE1A1E"/>
  </w:style>
  <w:style w:type="character" w:customStyle="1" w:styleId="ReportBodyChar">
    <w:name w:val="Report Body Char"/>
    <w:basedOn w:val="DefaultParagraphFont"/>
    <w:link w:val="ReportBody"/>
    <w:locked/>
    <w:rsid w:val="00AE1A1E"/>
    <w:rPr>
      <w:rFonts w:ascii="Verdana" w:eastAsia="Times New Roman" w:hAnsi="Verdana" w:cs="Arial"/>
      <w:color w:val="000000"/>
      <w:kern w:val="22"/>
      <w:sz w:val="22"/>
      <w:lang w:eastAsia="en-NZ"/>
    </w:rPr>
  </w:style>
  <w:style w:type="paragraph" w:customStyle="1" w:styleId="ReportBody">
    <w:name w:val="Report Body"/>
    <w:basedOn w:val="Normal"/>
    <w:link w:val="ReportBodyChar"/>
    <w:qFormat/>
    <w:rsid w:val="00AE1A1E"/>
    <w:pPr>
      <w:numPr>
        <w:numId w:val="37"/>
      </w:numPr>
      <w:spacing w:before="120"/>
    </w:pPr>
    <w:rPr>
      <w:rFonts w:eastAsia="Times New Roman"/>
      <w:color w:val="000000"/>
      <w:kern w:val="22"/>
      <w:sz w:val="22"/>
      <w:szCs w:val="20"/>
      <w:lang w:eastAsia="en-NZ"/>
      <w14:ligatures w14:val="standardContextual"/>
    </w:rPr>
  </w:style>
  <w:style w:type="paragraph" w:customStyle="1" w:styleId="ReportBody2">
    <w:name w:val="Report Body 2"/>
    <w:basedOn w:val="ReportBody"/>
    <w:qFormat/>
    <w:rsid w:val="00AE1A1E"/>
    <w:pPr>
      <w:numPr>
        <w:ilvl w:val="1"/>
      </w:numPr>
      <w:tabs>
        <w:tab w:val="clear" w:pos="493"/>
        <w:tab w:val="num" w:pos="360"/>
        <w:tab w:val="num" w:pos="1440"/>
      </w:tabs>
      <w:ind w:left="1287" w:hanging="360"/>
    </w:pPr>
  </w:style>
  <w:style w:type="character" w:customStyle="1" w:styleId="eop">
    <w:name w:val="eop"/>
    <w:basedOn w:val="DefaultParagraphFont"/>
    <w:rsid w:val="00AE1A1E"/>
  </w:style>
  <w:style w:type="paragraph" w:styleId="Header">
    <w:name w:val="header"/>
    <w:basedOn w:val="Normal"/>
    <w:link w:val="HeaderChar1"/>
    <w:uiPriority w:val="99"/>
    <w:semiHidden/>
    <w:unhideWhenUsed/>
    <w:rsid w:val="00AE1A1E"/>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AE1A1E"/>
    <w:rPr>
      <w:rFonts w:ascii="Verdana" w:hAnsi="Verdana" w:cs="Arial"/>
      <w:kern w:val="0"/>
      <w:szCs w:val="22"/>
      <w14:ligatures w14:val="none"/>
    </w:rPr>
  </w:style>
  <w:style w:type="paragraph" w:styleId="CommentSubject">
    <w:name w:val="annotation subject"/>
    <w:basedOn w:val="CommentText"/>
    <w:next w:val="CommentText"/>
    <w:link w:val="CommentSubjectChar"/>
    <w:uiPriority w:val="99"/>
    <w:semiHidden/>
    <w:unhideWhenUsed/>
    <w:rsid w:val="00CC6C74"/>
    <w:rPr>
      <w:b/>
      <w:bCs/>
    </w:rPr>
  </w:style>
  <w:style w:type="character" w:customStyle="1" w:styleId="CommentSubjectChar">
    <w:name w:val="Comment Subject Char"/>
    <w:basedOn w:val="CommentTextChar"/>
    <w:link w:val="CommentSubject"/>
    <w:uiPriority w:val="99"/>
    <w:semiHidden/>
    <w:rsid w:val="00CC6C74"/>
    <w:rPr>
      <w:rFonts w:ascii="Verdana" w:hAnsi="Verdana" w:cs="Arial"/>
      <w:b/>
      <w:bCs/>
      <w:kern w:val="0"/>
      <w14:ligatures w14:val="none"/>
    </w:rPr>
  </w:style>
  <w:style w:type="paragraph" w:styleId="Revision">
    <w:name w:val="Revision"/>
    <w:hidden/>
    <w:uiPriority w:val="99"/>
    <w:semiHidden/>
    <w:rsid w:val="00393C74"/>
    <w:rPr>
      <w:rFonts w:ascii="Verdana" w:hAnsi="Verdana" w:cs="Arial"/>
      <w:kern w:val="0"/>
      <w:szCs w:val="22"/>
      <w14:ligatures w14:val="none"/>
    </w:rPr>
  </w:style>
  <w:style w:type="character" w:styleId="UnresolvedMention">
    <w:name w:val="Unresolved Mention"/>
    <w:basedOn w:val="DefaultParagraphFont"/>
    <w:uiPriority w:val="99"/>
    <w:semiHidden/>
    <w:unhideWhenUsed/>
    <w:rsid w:val="001B131E"/>
    <w:rPr>
      <w:color w:val="605E5C"/>
      <w:shd w:val="clear" w:color="auto" w:fill="E1DFDD"/>
    </w:rPr>
  </w:style>
  <w:style w:type="character" w:styleId="FollowedHyperlink">
    <w:name w:val="FollowedHyperlink"/>
    <w:basedOn w:val="DefaultParagraphFont"/>
    <w:uiPriority w:val="99"/>
    <w:semiHidden/>
    <w:unhideWhenUsed/>
    <w:rsid w:val="00BC34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9527">
      <w:bodyDiv w:val="1"/>
      <w:marLeft w:val="0"/>
      <w:marRight w:val="0"/>
      <w:marTop w:val="0"/>
      <w:marBottom w:val="0"/>
      <w:divBdr>
        <w:top w:val="none" w:sz="0" w:space="0" w:color="auto"/>
        <w:left w:val="none" w:sz="0" w:space="0" w:color="auto"/>
        <w:bottom w:val="none" w:sz="0" w:space="0" w:color="auto"/>
        <w:right w:val="none" w:sz="0" w:space="0" w:color="auto"/>
      </w:divBdr>
    </w:div>
    <w:div w:id="241188105">
      <w:bodyDiv w:val="1"/>
      <w:marLeft w:val="0"/>
      <w:marRight w:val="0"/>
      <w:marTop w:val="0"/>
      <w:marBottom w:val="0"/>
      <w:divBdr>
        <w:top w:val="none" w:sz="0" w:space="0" w:color="auto"/>
        <w:left w:val="none" w:sz="0" w:space="0" w:color="auto"/>
        <w:bottom w:val="none" w:sz="0" w:space="0" w:color="auto"/>
        <w:right w:val="none" w:sz="0" w:space="0" w:color="auto"/>
      </w:divBdr>
    </w:div>
    <w:div w:id="621493803">
      <w:bodyDiv w:val="1"/>
      <w:marLeft w:val="0"/>
      <w:marRight w:val="0"/>
      <w:marTop w:val="0"/>
      <w:marBottom w:val="0"/>
      <w:divBdr>
        <w:top w:val="none" w:sz="0" w:space="0" w:color="auto"/>
        <w:left w:val="none" w:sz="0" w:space="0" w:color="auto"/>
        <w:bottom w:val="none" w:sz="0" w:space="0" w:color="auto"/>
        <w:right w:val="none" w:sz="0" w:space="0" w:color="auto"/>
      </w:divBdr>
    </w:div>
    <w:div w:id="646057602">
      <w:bodyDiv w:val="1"/>
      <w:marLeft w:val="0"/>
      <w:marRight w:val="0"/>
      <w:marTop w:val="0"/>
      <w:marBottom w:val="0"/>
      <w:divBdr>
        <w:top w:val="none" w:sz="0" w:space="0" w:color="auto"/>
        <w:left w:val="none" w:sz="0" w:space="0" w:color="auto"/>
        <w:bottom w:val="none" w:sz="0" w:space="0" w:color="auto"/>
        <w:right w:val="none" w:sz="0" w:space="0" w:color="auto"/>
      </w:divBdr>
    </w:div>
    <w:div w:id="1405647157">
      <w:bodyDiv w:val="1"/>
      <w:marLeft w:val="0"/>
      <w:marRight w:val="0"/>
      <w:marTop w:val="0"/>
      <w:marBottom w:val="0"/>
      <w:divBdr>
        <w:top w:val="none" w:sz="0" w:space="0" w:color="auto"/>
        <w:left w:val="none" w:sz="0" w:space="0" w:color="auto"/>
        <w:bottom w:val="none" w:sz="0" w:space="0" w:color="auto"/>
        <w:right w:val="none" w:sz="0" w:space="0" w:color="auto"/>
      </w:divBdr>
    </w:div>
    <w:div w:id="1465075652">
      <w:bodyDiv w:val="1"/>
      <w:marLeft w:val="0"/>
      <w:marRight w:val="0"/>
      <w:marTop w:val="0"/>
      <w:marBottom w:val="0"/>
      <w:divBdr>
        <w:top w:val="none" w:sz="0" w:space="0" w:color="auto"/>
        <w:left w:val="none" w:sz="0" w:space="0" w:color="auto"/>
        <w:bottom w:val="none" w:sz="0" w:space="0" w:color="auto"/>
        <w:right w:val="none" w:sz="0" w:space="0" w:color="auto"/>
      </w:divBdr>
    </w:div>
    <w:div w:id="2044743343">
      <w:bodyDiv w:val="1"/>
      <w:marLeft w:val="0"/>
      <w:marRight w:val="0"/>
      <w:marTop w:val="0"/>
      <w:marBottom w:val="0"/>
      <w:divBdr>
        <w:top w:val="none" w:sz="0" w:space="0" w:color="auto"/>
        <w:left w:val="none" w:sz="0" w:space="0" w:color="auto"/>
        <w:bottom w:val="none" w:sz="0" w:space="0" w:color="auto"/>
        <w:right w:val="none" w:sz="0" w:space="0" w:color="auto"/>
      </w:divBdr>
    </w:div>
    <w:div w:id="213910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publicservice.govt.nz%2Fpublications%2Flong-term-insights-briefings%2Fopen-consultations&amp;data=05%7C02%7CGeorge.Minton001%40msd.govt.nz%7Ce42a766660cc49fa598408dcd79224f3%7Ce40c4f5299bd4d4fbf7ed001a2ca6556%7C0%7C0%7C638622269904414645%7CUnknown%7CTWFpbGZsb3d8eyJWIjoiMC4wLjAwMDAiLCJQIjoiV2luMzIiLCJBTiI6Ik1haWwiLCJXVCI6Mn0%3D%7C0%7C%7C%7C&amp;sdata=Qq%2FDHAOWUi4pfbAk0bC8OfptvWoVc%2BK%2FMUKjoo1he5U%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hud.govt.nz" TargetMode="External"/><Relationship Id="rId3" Type="http://schemas.openxmlformats.org/officeDocument/2006/relationships/hyperlink" Target="http://www.stats.govt.nz" TargetMode="External"/><Relationship Id="rId7" Type="http://schemas.openxmlformats.org/officeDocument/2006/relationships/hyperlink" Target="http://www.treasury.govt.nz" TargetMode="External"/><Relationship Id="rId2" Type="http://schemas.openxmlformats.org/officeDocument/2006/relationships/hyperlink" Target="http://www.stats.govt.nz" TargetMode="External"/><Relationship Id="rId1" Type="http://schemas.openxmlformats.org/officeDocument/2006/relationships/hyperlink" Target="http://www.stats.govt.nz" TargetMode="External"/><Relationship Id="rId6" Type="http://schemas.openxmlformats.org/officeDocument/2006/relationships/hyperlink" Target="http://www.stats.govt.nz" TargetMode="External"/><Relationship Id="rId5" Type="http://schemas.openxmlformats.org/officeDocument/2006/relationships/hyperlink" Target="http://www.stats.govt.nz" TargetMode="External"/><Relationship Id="rId4" Type="http://schemas.openxmlformats.org/officeDocument/2006/relationships/hyperlink" Target="http://www.stats.govt.nz" TargetMode="External"/><Relationship Id="rId9" Type="http://schemas.openxmlformats.org/officeDocument/2006/relationships/hyperlink" Target="https://assets.retirement.govt.nz/public/Uploads/Retirement-Income-Policy-Review/2022-RRIP/RRIP_202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4251</Words>
  <Characters>24233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Garlick</dc:creator>
  <cp:keywords/>
  <dc:description/>
  <cp:lastModifiedBy>Shelley Stephens</cp:lastModifiedBy>
  <cp:revision>2</cp:revision>
  <dcterms:created xsi:type="dcterms:W3CDTF">2024-10-21T23:40:00Z</dcterms:created>
  <dcterms:modified xsi:type="dcterms:W3CDTF">2024-10-21T23:40:00Z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2024-08-27T22:51:27Z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a8c12929-51b1-4e5b-960c-d1dc18fd7f45</vt:lpwstr>
  </property>
  <property fmtid="{D5CDD505-2E9C-101B-9397-08002B2CF9AE}" pid="11" name="MSIP_Label_f43e46a9-9901-46e9-bfae-bb6189d4cb66_ContentBits">
    <vt:lpwstr>1</vt:lpwstr>
  </property>
</Properties>
</file>