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rsidRPr="00CC57E8">
              <w:rPr>
                <w:color w:val="auto"/>
              </w:rP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44934639" w:rsidR="00FC072D" w:rsidRPr="00F116F3" w:rsidRDefault="00717B50" w:rsidP="00717B50">
      <w:pPr>
        <w:pStyle w:val="Heading1"/>
        <w:spacing w:before="240" w:after="240"/>
        <w:jc w:val="left"/>
      </w:pPr>
      <w:r>
        <w:t>Social Security (Mandatory Reviews) Amendment Regulations 2025</w:t>
      </w:r>
    </w:p>
    <w:p w14:paraId="42B7D235" w14:textId="686F88A3" w:rsidR="00412144" w:rsidRPr="00D27436" w:rsidRDefault="00717B50" w:rsidP="00412144">
      <w:pPr>
        <w:pStyle w:val="NormalWeb"/>
        <w:shd w:val="clear" w:color="auto" w:fill="FFFFFF"/>
        <w:spacing w:after="210"/>
        <w:rPr>
          <w:rFonts w:cs="Helvetica"/>
          <w:b/>
          <w:bCs/>
          <w:sz w:val="22"/>
          <w:szCs w:val="22"/>
        </w:rPr>
      </w:pPr>
      <w:r w:rsidRPr="00D27436">
        <w:rPr>
          <w:rFonts w:cs="Helvetica"/>
          <w:b/>
          <w:bCs/>
          <w:szCs w:val="20"/>
        </w:rPr>
        <w:t>Hon Louise Upston, Minister for Social Development</w:t>
      </w:r>
      <w:r w:rsidR="0035438C">
        <w:rPr>
          <w:rFonts w:cs="Helvetica"/>
          <w:b/>
          <w:bCs/>
          <w:szCs w:val="20"/>
        </w:rPr>
        <w:t xml:space="preserve"> and Employment</w:t>
      </w:r>
    </w:p>
    <w:p w14:paraId="21080CDA" w14:textId="77777777" w:rsidR="00412144" w:rsidRPr="00CC57E8" w:rsidRDefault="00865736" w:rsidP="00412144">
      <w:pPr>
        <w:pStyle w:val="NormalWeb"/>
        <w:shd w:val="clear" w:color="auto" w:fill="FFFFFF"/>
        <w:spacing w:after="210"/>
        <w:rPr>
          <w:rFonts w:cs="Helvetica"/>
          <w:szCs w:val="20"/>
        </w:rPr>
      </w:pPr>
      <w:r w:rsidRPr="00CC57E8">
        <w:rPr>
          <w:rFonts w:cs="Helvetica"/>
          <w:szCs w:val="20"/>
        </w:rPr>
        <w:t>These</w:t>
      </w:r>
      <w:r w:rsidR="00412144" w:rsidRPr="00CC57E8">
        <w:rPr>
          <w:rFonts w:cs="Helvetica"/>
          <w:szCs w:val="20"/>
        </w:rPr>
        <w:t xml:space="preserve"> document</w:t>
      </w:r>
      <w:r w:rsidR="00093FDA" w:rsidRPr="00CC57E8">
        <w:rPr>
          <w:rFonts w:cs="Helvetica"/>
          <w:szCs w:val="20"/>
        </w:rPr>
        <w:t>s have</w:t>
      </w:r>
      <w:r w:rsidR="00412144" w:rsidRPr="00CC57E8">
        <w:rPr>
          <w:rFonts w:cs="Helvetica"/>
          <w:szCs w:val="20"/>
        </w:rPr>
        <w:t xml:space="preserve"> been proactively released.</w:t>
      </w:r>
      <w:r w:rsidR="00777027" w:rsidRPr="00CC57E8">
        <w:rPr>
          <w:rFonts w:cs="Helvetica"/>
          <w:szCs w:val="20"/>
        </w:rPr>
        <w:t xml:space="preserve"> </w:t>
      </w:r>
    </w:p>
    <w:p w14:paraId="63CDEEC3" w14:textId="5BBAF023" w:rsidR="00865736" w:rsidRPr="00B8600F" w:rsidRDefault="00D27436" w:rsidP="00B8600F">
      <w:pPr>
        <w:spacing w:after="120"/>
        <w:rPr>
          <w:rFonts w:ascii="Verdana" w:hAnsi="Verdana"/>
          <w:i/>
          <w:sz w:val="20"/>
          <w:szCs w:val="20"/>
        </w:rPr>
      </w:pPr>
      <w:r>
        <w:rPr>
          <w:rFonts w:ascii="Verdana" w:hAnsi="Verdana"/>
          <w:i/>
          <w:sz w:val="20"/>
          <w:szCs w:val="20"/>
        </w:rPr>
        <w:t>6</w:t>
      </w:r>
      <w:r w:rsidR="00717B50">
        <w:rPr>
          <w:rFonts w:ascii="Verdana" w:hAnsi="Verdana"/>
          <w:i/>
          <w:sz w:val="20"/>
          <w:szCs w:val="20"/>
        </w:rPr>
        <w:t xml:space="preserve"> November 2025</w:t>
      </w:r>
      <w:r w:rsidR="00865736" w:rsidRPr="00B8600F">
        <w:rPr>
          <w:rFonts w:ascii="Verdana" w:hAnsi="Verdana"/>
          <w:i/>
          <w:sz w:val="20"/>
          <w:szCs w:val="20"/>
        </w:rPr>
        <w:t>, Cabinet paper</w:t>
      </w:r>
      <w:r w:rsidR="00B8600F">
        <w:rPr>
          <w:rFonts w:ascii="Verdana" w:hAnsi="Verdana"/>
          <w:i/>
          <w:sz w:val="20"/>
          <w:szCs w:val="20"/>
        </w:rPr>
        <w:t xml:space="preserve"> -</w:t>
      </w:r>
      <w:r w:rsidR="00717B50" w:rsidRPr="00717B50">
        <w:t xml:space="preserve"> </w:t>
      </w:r>
      <w:r w:rsidR="00717B50" w:rsidRPr="00717B50">
        <w:rPr>
          <w:rFonts w:ascii="Verdana" w:hAnsi="Verdana"/>
          <w:i/>
          <w:sz w:val="20"/>
          <w:szCs w:val="20"/>
        </w:rPr>
        <w:t>Social Security (Mandatory Reviews) Amendment Regulations 2025</w:t>
      </w:r>
    </w:p>
    <w:p w14:paraId="6E4DA4B3" w14:textId="6D4EC5A4" w:rsidR="00865736" w:rsidRPr="00B8600F" w:rsidRDefault="00D27436" w:rsidP="00B8600F">
      <w:pPr>
        <w:spacing w:after="120"/>
        <w:rPr>
          <w:rFonts w:ascii="Verdana" w:hAnsi="Verdana"/>
          <w:i/>
          <w:sz w:val="20"/>
          <w:szCs w:val="20"/>
        </w:rPr>
      </w:pPr>
      <w:r>
        <w:rPr>
          <w:rFonts w:ascii="Verdana" w:hAnsi="Verdana"/>
          <w:i/>
          <w:sz w:val="20"/>
          <w:szCs w:val="20"/>
        </w:rPr>
        <w:t>6</w:t>
      </w:r>
      <w:r w:rsidR="00865736" w:rsidRPr="00B8600F">
        <w:rPr>
          <w:rFonts w:ascii="Verdana" w:hAnsi="Verdana"/>
          <w:i/>
          <w:sz w:val="20"/>
          <w:szCs w:val="20"/>
        </w:rPr>
        <w:t xml:space="preserve"> </w:t>
      </w:r>
      <w:r w:rsidR="00717B50">
        <w:rPr>
          <w:rFonts w:ascii="Verdana" w:hAnsi="Verdana"/>
          <w:i/>
          <w:sz w:val="20"/>
          <w:szCs w:val="20"/>
        </w:rPr>
        <w:t>November 2025</w:t>
      </w:r>
      <w:r w:rsidR="00865736" w:rsidRPr="00B8600F">
        <w:rPr>
          <w:rFonts w:ascii="Verdana" w:hAnsi="Verdana"/>
          <w:i/>
          <w:sz w:val="20"/>
          <w:szCs w:val="20"/>
        </w:rPr>
        <w:t xml:space="preserve">, </w:t>
      </w:r>
      <w:r w:rsidR="000B2805">
        <w:rPr>
          <w:rFonts w:ascii="Verdana" w:hAnsi="Verdana"/>
          <w:i/>
          <w:sz w:val="20"/>
          <w:szCs w:val="20"/>
        </w:rPr>
        <w:t xml:space="preserve">Cabinet </w:t>
      </w:r>
      <w:r w:rsidR="00717B50">
        <w:rPr>
          <w:rFonts w:ascii="Verdana" w:hAnsi="Verdana"/>
          <w:i/>
          <w:sz w:val="20"/>
          <w:szCs w:val="20"/>
        </w:rPr>
        <w:t>Legislat</w:t>
      </w:r>
      <w:r w:rsidR="000B2805">
        <w:rPr>
          <w:rFonts w:ascii="Verdana" w:hAnsi="Verdana"/>
          <w:i/>
          <w:sz w:val="20"/>
          <w:szCs w:val="20"/>
        </w:rPr>
        <w:t>ion</w:t>
      </w:r>
      <w:r w:rsidR="00717B50">
        <w:rPr>
          <w:rFonts w:ascii="Verdana" w:hAnsi="Verdana"/>
          <w:i/>
          <w:sz w:val="20"/>
          <w:szCs w:val="20"/>
        </w:rPr>
        <w:t xml:space="preserve"> Committee</w:t>
      </w:r>
      <w:r w:rsidR="000B2805">
        <w:rPr>
          <w:rFonts w:ascii="Verdana" w:hAnsi="Verdana"/>
          <w:i/>
          <w:sz w:val="20"/>
          <w:szCs w:val="20"/>
        </w:rPr>
        <w:t xml:space="preserve"> Minute</w:t>
      </w:r>
      <w:r w:rsidR="00865736" w:rsidRPr="00B8600F">
        <w:rPr>
          <w:rFonts w:ascii="Verdana" w:hAnsi="Verdana"/>
          <w:i/>
          <w:sz w:val="20"/>
          <w:szCs w:val="20"/>
        </w:rPr>
        <w:t xml:space="preserve"> </w:t>
      </w:r>
      <w:r w:rsidR="00717B50">
        <w:rPr>
          <w:rFonts w:ascii="Verdana" w:hAnsi="Verdana"/>
          <w:i/>
          <w:sz w:val="20"/>
          <w:szCs w:val="20"/>
        </w:rPr>
        <w:t>LEG-25-MIN-</w:t>
      </w:r>
      <w:r w:rsidR="000B2805">
        <w:rPr>
          <w:rFonts w:ascii="Verdana" w:hAnsi="Verdana"/>
          <w:i/>
          <w:sz w:val="20"/>
          <w:szCs w:val="20"/>
        </w:rPr>
        <w:t>0</w:t>
      </w:r>
      <w:r w:rsidR="00717B50">
        <w:rPr>
          <w:rFonts w:ascii="Verdana" w:hAnsi="Verdana"/>
          <w:i/>
          <w:sz w:val="20"/>
          <w:szCs w:val="20"/>
        </w:rPr>
        <w:t>216</w:t>
      </w:r>
      <w:r w:rsidR="00777027">
        <w:rPr>
          <w:rFonts w:ascii="Verdana" w:hAnsi="Verdana"/>
          <w:i/>
          <w:sz w:val="20"/>
          <w:szCs w:val="20"/>
        </w:rPr>
        <w:t>, Cabinet Office.</w:t>
      </w:r>
    </w:p>
    <w:p w14:paraId="294E069A" w14:textId="77777777" w:rsidR="00B8600F" w:rsidRPr="00F014A1" w:rsidRDefault="00B8600F" w:rsidP="00B8600F">
      <w:pPr>
        <w:pStyle w:val="ListParagraph"/>
        <w:rPr>
          <w:rFonts w:ascii="Verdana" w:hAnsi="Verdana"/>
          <w:i/>
          <w:sz w:val="20"/>
          <w:szCs w:val="20"/>
        </w:rPr>
      </w:pPr>
    </w:p>
    <w:p w14:paraId="02884F24" w14:textId="6BAEA7CB" w:rsidR="00717B50" w:rsidRDefault="00717B50" w:rsidP="00412144">
      <w:pPr>
        <w:pStyle w:val="NormalWeb"/>
        <w:shd w:val="clear" w:color="auto" w:fill="FFFFFF"/>
        <w:spacing w:after="210"/>
        <w:rPr>
          <w:rFonts w:cs="Helvetica"/>
          <w:szCs w:val="20"/>
        </w:rPr>
      </w:pPr>
      <w:r>
        <w:rPr>
          <w:rFonts w:cs="Helvetica"/>
          <w:szCs w:val="20"/>
        </w:rPr>
        <w:t>These papers relate to the Social Security (Mandatory Reviews) Amendment Act that was passed in June 2025 which</w:t>
      </w:r>
      <w:r w:rsidRPr="00717B50">
        <w:rPr>
          <w:rFonts w:cs="Helvetica"/>
          <w:szCs w:val="20"/>
        </w:rPr>
        <w:t xml:space="preserve"> amends the Social Security Act 2018</w:t>
      </w:r>
      <w:r>
        <w:rPr>
          <w:rFonts w:cs="Helvetica"/>
          <w:szCs w:val="20"/>
        </w:rPr>
        <w:t>. This Act</w:t>
      </w:r>
      <w:r w:rsidRPr="00717B50">
        <w:rPr>
          <w:rFonts w:cs="Helvetica"/>
          <w:szCs w:val="20"/>
        </w:rPr>
        <w:t xml:space="preserve"> introduce</w:t>
      </w:r>
      <w:r>
        <w:rPr>
          <w:rFonts w:cs="Helvetica"/>
          <w:szCs w:val="20"/>
        </w:rPr>
        <w:t>s</w:t>
      </w:r>
      <w:r w:rsidRPr="00717B50">
        <w:rPr>
          <w:rFonts w:cs="Helvetica"/>
          <w:szCs w:val="20"/>
        </w:rPr>
        <w:t xml:space="preserve"> a requirement that MSD must review a specified benefit at least once every 52 weeks.</w:t>
      </w:r>
      <w:r>
        <w:rPr>
          <w:rFonts w:cs="Helvetica"/>
          <w:szCs w:val="20"/>
        </w:rPr>
        <w:t xml:space="preserve"> The Social Security (Mandatory Reviews) Amendment Regulations amend the Social Security Regulations 2018 to specify benefits subject to mandatory reviews and prescribes circumstances for exception from mandatory reviews.</w:t>
      </w:r>
    </w:p>
    <w:p w14:paraId="4B598AC2" w14:textId="4852422C" w:rsidR="00A05C31" w:rsidRPr="0016793D" w:rsidRDefault="00623CE9" w:rsidP="00412144">
      <w:pPr>
        <w:pStyle w:val="NormalWeb"/>
        <w:shd w:val="clear" w:color="auto" w:fill="FFFFFF"/>
        <w:spacing w:after="210"/>
        <w:rPr>
          <w:rFonts w:cs="Helvetica"/>
          <w:szCs w:val="20"/>
        </w:rPr>
      </w:pPr>
      <w:r w:rsidRPr="0016793D">
        <w:rPr>
          <w:rFonts w:cs="Helvetica"/>
          <w:szCs w:val="20"/>
        </w:rPr>
        <w:t>S</w:t>
      </w:r>
      <w:r w:rsidR="00A05C31" w:rsidRPr="0016793D">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16793D">
        <w:rPr>
          <w:rFonts w:cs="Helvetica"/>
          <w:szCs w:val="20"/>
        </w:rPr>
        <w:t xml:space="preserve"> This is the key to the redaction code used for this release:</w:t>
      </w:r>
      <w:r w:rsidR="00777027" w:rsidRPr="0016793D">
        <w:rPr>
          <w:rFonts w:cs="Helvetica"/>
          <w:szCs w:val="20"/>
        </w:rPr>
        <w:t xml:space="preserve"> </w:t>
      </w:r>
    </w:p>
    <w:p w14:paraId="163DDB2F" w14:textId="1BAB1A10" w:rsidR="0052783C" w:rsidRPr="00792FE5" w:rsidRDefault="0052783C" w:rsidP="00F744AA">
      <w:pPr>
        <w:pStyle w:val="NormalWeb"/>
        <w:numPr>
          <w:ilvl w:val="0"/>
          <w:numId w:val="2"/>
        </w:numPr>
        <w:shd w:val="clear" w:color="auto" w:fill="FFFFFF"/>
        <w:spacing w:after="0"/>
        <w:ind w:left="714" w:hanging="357"/>
        <w:rPr>
          <w:rFonts w:cs="Helvetica"/>
          <w:szCs w:val="20"/>
        </w:rPr>
      </w:pPr>
      <w:r w:rsidRPr="00792FE5">
        <w:rPr>
          <w:rFonts w:cs="Helvetica"/>
          <w:szCs w:val="20"/>
        </w:rPr>
        <w:t>Section 9(2)(h)</w:t>
      </w:r>
      <w:r w:rsidR="00D27436">
        <w:rPr>
          <w:rFonts w:cs="Helvetica"/>
          <w:szCs w:val="20"/>
        </w:rPr>
        <w:t xml:space="preserve"> -</w:t>
      </w:r>
      <w:r w:rsidRPr="00792FE5">
        <w:rPr>
          <w:rFonts w:cs="Helvetica"/>
          <w:szCs w:val="20"/>
        </w:rPr>
        <w:t xml:space="preserve"> </w:t>
      </w:r>
      <w:r w:rsidR="00D27436">
        <w:rPr>
          <w:rFonts w:cs="Helvetica"/>
          <w:szCs w:val="20"/>
        </w:rPr>
        <w:t>t</w:t>
      </w:r>
      <w:r w:rsidRPr="00792FE5">
        <w:rPr>
          <w:rFonts w:cs="Helvetica"/>
          <w:szCs w:val="20"/>
        </w:rPr>
        <w:t>his information is legally privileged.</w:t>
      </w:r>
    </w:p>
    <w:p w14:paraId="59619E27" w14:textId="77777777" w:rsidR="000D5FD0" w:rsidRPr="00792FE5" w:rsidRDefault="000D5FD0" w:rsidP="000D5FD0">
      <w:pPr>
        <w:pStyle w:val="NormalWeb"/>
        <w:shd w:val="clear" w:color="auto" w:fill="FFFFFF"/>
        <w:spacing w:after="0"/>
        <w:rPr>
          <w:rFonts w:cs="Helvetica"/>
          <w:szCs w:val="20"/>
        </w:rPr>
      </w:pPr>
    </w:p>
    <w:p w14:paraId="5B8B73FF" w14:textId="00AE04F0" w:rsidR="000D5FD0" w:rsidRPr="00792FE5" w:rsidRDefault="000D5FD0" w:rsidP="000D5FD0">
      <w:pPr>
        <w:pStyle w:val="NormalWeb"/>
        <w:shd w:val="clear" w:color="auto" w:fill="FFFFFF"/>
        <w:spacing w:after="0"/>
        <w:rPr>
          <w:rFonts w:cs="Helvetica"/>
          <w:szCs w:val="20"/>
        </w:rPr>
      </w:pPr>
      <w:r w:rsidRPr="00792FE5">
        <w:rPr>
          <w:rFonts w:cs="Helvetica"/>
          <w:szCs w:val="20"/>
        </w:rPr>
        <w:t xml:space="preserve">Please note there is an error on page </w:t>
      </w:r>
      <w:r w:rsidR="00792FE5" w:rsidRPr="00792FE5">
        <w:rPr>
          <w:rFonts w:cs="Helvetica"/>
          <w:szCs w:val="20"/>
        </w:rPr>
        <w:t>3, para 11.6 which refers to “the prescribed circumstances outlined in paragraphs 7 above” – this should refer to paragraph 8.</w:t>
      </w:r>
    </w:p>
    <w:p w14:paraId="68908B90" w14:textId="77777777" w:rsidR="006B2F47" w:rsidRDefault="006B2F47" w:rsidP="006B2F47">
      <w:pPr>
        <w:pStyle w:val="NormalWeb"/>
        <w:shd w:val="clear" w:color="auto" w:fill="FFFFFF"/>
        <w:spacing w:after="0"/>
        <w:ind w:left="714"/>
        <w:rPr>
          <w:rFonts w:cs="Helvetica"/>
          <w:color w:val="333333"/>
          <w:szCs w:val="20"/>
        </w:rPr>
      </w:pPr>
    </w:p>
    <w:p w14:paraId="0C46F240" w14:textId="192B11B0" w:rsidR="004D6B3F" w:rsidRPr="00777027" w:rsidRDefault="004D6B3F" w:rsidP="00412144">
      <w:pPr>
        <w:pStyle w:val="NormalWeb"/>
        <w:shd w:val="clear" w:color="auto" w:fill="FFFFFF"/>
        <w:spacing w:after="210"/>
        <w:rPr>
          <w:rFonts w:cs="Helvetica"/>
          <w:szCs w:val="20"/>
        </w:rPr>
      </w:pPr>
      <w:r w:rsidRPr="00777027">
        <w:rPr>
          <w:rFonts w:cs="Helvetica"/>
          <w:szCs w:val="20"/>
        </w:rPr>
        <w:t>The following documents that accompanied the Cabinet paper are already public:</w:t>
      </w:r>
    </w:p>
    <w:p w14:paraId="18C83A0C" w14:textId="1A9A0A82" w:rsidR="004D6B3F" w:rsidRPr="00F744AA" w:rsidRDefault="00717B50" w:rsidP="00F744AA">
      <w:pPr>
        <w:pStyle w:val="NormalWeb"/>
        <w:numPr>
          <w:ilvl w:val="0"/>
          <w:numId w:val="1"/>
        </w:numPr>
        <w:shd w:val="clear" w:color="auto" w:fill="FFFFFF"/>
        <w:spacing w:after="0"/>
        <w:ind w:left="760" w:hanging="357"/>
        <w:rPr>
          <w:rFonts w:cs="Helvetica"/>
          <w:color w:val="333333"/>
          <w:szCs w:val="20"/>
        </w:rPr>
      </w:pPr>
      <w:r>
        <w:rPr>
          <w:rFonts w:cs="Helvetica"/>
          <w:i/>
          <w:szCs w:val="20"/>
        </w:rPr>
        <w:t xml:space="preserve">Social Security (Mandatory Reviews) Amendment Bill: Approval for Introduction </w:t>
      </w:r>
      <w:r>
        <w:rPr>
          <w:rFonts w:cs="Helvetica"/>
          <w:iCs/>
          <w:szCs w:val="20"/>
        </w:rPr>
        <w:t xml:space="preserve">and </w:t>
      </w:r>
      <w:r>
        <w:rPr>
          <w:rFonts w:cs="Helvetica"/>
          <w:i/>
          <w:szCs w:val="20"/>
        </w:rPr>
        <w:t>LEG-25-MIN-0085</w:t>
      </w:r>
      <w:r w:rsidR="00F744AA" w:rsidRPr="00777027">
        <w:rPr>
          <w:rFonts w:cs="Helvetica"/>
          <w:szCs w:val="20"/>
        </w:rPr>
        <w:t xml:space="preserve">. </w:t>
      </w:r>
      <w:hyperlink r:id="rId8" w:history="1">
        <w:r w:rsidR="00D27436" w:rsidRPr="00817D78">
          <w:rPr>
            <w:rStyle w:val="Hyperlink"/>
            <w:rFonts w:cs="Helvetica"/>
            <w:szCs w:val="20"/>
          </w:rPr>
          <w:t>www.msd.govt.nz/about-msd-and-our-work/publications-resources/information-releases/cabinet-papers/2025/social-assistance-legislation.html</w:t>
        </w:r>
      </w:hyperlink>
      <w:r>
        <w:rPr>
          <w:rFonts w:cs="Helvetica"/>
          <w:szCs w:val="20"/>
        </w:rPr>
        <w:t xml:space="preserve"> </w:t>
      </w:r>
    </w:p>
    <w:p w14:paraId="5467AC0F" w14:textId="77777777" w:rsidR="00F744AA" w:rsidRDefault="00F744AA" w:rsidP="00412144">
      <w:pPr>
        <w:pStyle w:val="NormalWeb"/>
        <w:shd w:val="clear" w:color="auto" w:fill="FFFFFF"/>
        <w:spacing w:after="210"/>
      </w:pPr>
    </w:p>
    <w:p w14:paraId="52BFD1A1" w14:textId="77777777" w:rsidR="006B2F47" w:rsidRDefault="006B2F47" w:rsidP="006B2F47">
      <w:pPr>
        <w:pStyle w:val="NormalWeb"/>
        <w:shd w:val="clear" w:color="auto" w:fill="FFFFFF"/>
        <w:spacing w:after="210"/>
        <w:rPr>
          <w:rFonts w:cs="Helvetica"/>
          <w:color w:val="333333"/>
          <w:szCs w:val="20"/>
        </w:rPr>
      </w:pPr>
      <w:hyperlink r:id="rId9" w:history="1">
        <w:r>
          <w:rPr>
            <w:rStyle w:val="Hyperlink"/>
            <w:rFonts w:cs="Helvetica"/>
            <w:i/>
            <w:iCs/>
            <w:color w:val="4C2C92"/>
            <w:szCs w:val="20"/>
          </w:rPr>
          <w:t>© Crown Copyright, Creative Commons Attribution 4.0 International (CC BY 4.0)</w:t>
        </w:r>
      </w:hyperlink>
    </w:p>
    <w:p w14:paraId="23D9EBC0" w14:textId="6F59753C"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717B50">
        <w:rPr>
          <w:rFonts w:ascii="Verdana" w:hAnsi="Verdana"/>
          <w:b/>
          <w:sz w:val="20"/>
          <w:szCs w:val="20"/>
        </w:rPr>
        <w:t>Mandatory reviews, automated decision-making, ADM</w:t>
      </w:r>
    </w:p>
    <w:sectPr w:rsidR="00D31EE8" w:rsidRPr="0052783C" w:rsidSect="00C3459A">
      <w:headerReference w:type="even" r:id="rId10"/>
      <w:headerReference w:type="default" r:id="rId11"/>
      <w:headerReference w:type="first" r:id="rId12"/>
      <w:pgSz w:w="11906" w:h="16838"/>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B4B6" w14:textId="77777777" w:rsidR="00CA31D6" w:rsidRDefault="00CA31D6" w:rsidP="00742F0A">
      <w:r>
        <w:separator/>
      </w:r>
    </w:p>
  </w:endnote>
  <w:endnote w:type="continuationSeparator" w:id="0">
    <w:p w14:paraId="643FD918" w14:textId="77777777" w:rsidR="00CA31D6" w:rsidRDefault="00CA31D6"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4C01" w14:textId="77777777" w:rsidR="00CA31D6" w:rsidRDefault="00CA31D6" w:rsidP="00742F0A">
      <w:r>
        <w:separator/>
      </w:r>
    </w:p>
  </w:footnote>
  <w:footnote w:type="continuationSeparator" w:id="0">
    <w:p w14:paraId="4B9D69AB" w14:textId="77777777" w:rsidR="00CA31D6" w:rsidRDefault="00CA31D6"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E60C" w14:textId="7AD5EC55" w:rsidR="00717B50" w:rsidRDefault="00717B50">
    <w:pPr>
      <w:pStyle w:val="Header"/>
    </w:pPr>
    <w:r>
      <w:rPr>
        <w:noProof/>
      </w:rPr>
      <mc:AlternateContent>
        <mc:Choice Requires="wps">
          <w:drawing>
            <wp:anchor distT="0" distB="0" distL="0" distR="0" simplePos="0" relativeHeight="251659264" behindDoc="0" locked="0" layoutInCell="1" allowOverlap="1" wp14:anchorId="7BD86752" wp14:editId="570BA88A">
              <wp:simplePos x="635" y="635"/>
              <wp:positionH relativeFrom="page">
                <wp:align>center</wp:align>
              </wp:positionH>
              <wp:positionV relativeFrom="page">
                <wp:align>top</wp:align>
              </wp:positionV>
              <wp:extent cx="829310" cy="345440"/>
              <wp:effectExtent l="0" t="0" r="8890" b="16510"/>
              <wp:wrapNone/>
              <wp:docPr id="137552975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7738749B" w14:textId="4BDE43B0" w:rsidR="00717B50" w:rsidRPr="00717B50" w:rsidRDefault="00717B50" w:rsidP="00717B50">
                          <w:pPr>
                            <w:rPr>
                              <w:rFonts w:eastAsia="Calibri" w:cs="Calibri"/>
                              <w:noProof/>
                              <w:color w:val="000000"/>
                              <w:sz w:val="20"/>
                              <w:szCs w:val="20"/>
                            </w:rPr>
                          </w:pPr>
                          <w:r w:rsidRPr="00717B50">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86752"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7738749B" w14:textId="4BDE43B0" w:rsidR="00717B50" w:rsidRPr="00717B50" w:rsidRDefault="00717B50" w:rsidP="00717B50">
                    <w:pPr>
                      <w:rPr>
                        <w:rFonts w:eastAsia="Calibri" w:cs="Calibri"/>
                        <w:noProof/>
                        <w:color w:val="000000"/>
                        <w:sz w:val="20"/>
                        <w:szCs w:val="20"/>
                      </w:rPr>
                    </w:pPr>
                    <w:r w:rsidRPr="00717B50">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A51F" w14:textId="3CF4E57B" w:rsidR="00717B50" w:rsidRDefault="00717B50">
    <w:pPr>
      <w:pStyle w:val="Header"/>
    </w:pPr>
    <w:r>
      <w:rPr>
        <w:noProof/>
      </w:rPr>
      <mc:AlternateContent>
        <mc:Choice Requires="wps">
          <w:drawing>
            <wp:anchor distT="0" distB="0" distL="0" distR="0" simplePos="0" relativeHeight="251660288" behindDoc="0" locked="0" layoutInCell="1" allowOverlap="1" wp14:anchorId="1A14793A" wp14:editId="5325F0C6">
              <wp:simplePos x="914400" y="447675"/>
              <wp:positionH relativeFrom="page">
                <wp:align>center</wp:align>
              </wp:positionH>
              <wp:positionV relativeFrom="page">
                <wp:align>top</wp:align>
              </wp:positionV>
              <wp:extent cx="829310" cy="345440"/>
              <wp:effectExtent l="0" t="0" r="8890" b="16510"/>
              <wp:wrapNone/>
              <wp:docPr id="145553041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3BC50A68" w14:textId="1419C203" w:rsidR="00717B50" w:rsidRPr="00717B50" w:rsidRDefault="00717B50" w:rsidP="00717B50">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4793A" id="_x0000_t202" coordsize="21600,21600" o:spt="202" path="m,l,21600r21600,l21600,xe">
              <v:stroke joinstyle="miter"/>
              <v:path gradientshapeok="t" o:connecttype="rect"/>
            </v:shapetype>
            <v:shape id="Text Box 3" o:spid="_x0000_s1027" type="#_x0000_t202" alt="IN-CONFIDENCE" style="position:absolute;margin-left:0;margin-top:0;width:65.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3BC50A68" w14:textId="1419C203" w:rsidR="00717B50" w:rsidRPr="00717B50" w:rsidRDefault="00717B50" w:rsidP="00717B50">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A1E1" w14:textId="273939BA" w:rsidR="00717B50" w:rsidRDefault="00717B50">
    <w:pPr>
      <w:pStyle w:val="Header"/>
    </w:pPr>
    <w:r>
      <w:rPr>
        <w:noProof/>
      </w:rPr>
      <mc:AlternateContent>
        <mc:Choice Requires="wps">
          <w:drawing>
            <wp:anchor distT="0" distB="0" distL="0" distR="0" simplePos="0" relativeHeight="251658240" behindDoc="0" locked="0" layoutInCell="1" allowOverlap="1" wp14:anchorId="596859F4" wp14:editId="5DBF96E6">
              <wp:simplePos x="635" y="635"/>
              <wp:positionH relativeFrom="page">
                <wp:align>center</wp:align>
              </wp:positionH>
              <wp:positionV relativeFrom="page">
                <wp:align>top</wp:align>
              </wp:positionV>
              <wp:extent cx="829310" cy="345440"/>
              <wp:effectExtent l="0" t="0" r="8890" b="16510"/>
              <wp:wrapNone/>
              <wp:docPr id="18763350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13A2E44C" w14:textId="6B1D05C2" w:rsidR="00717B50" w:rsidRPr="00717B50" w:rsidRDefault="00717B50" w:rsidP="00717B50">
                          <w:pPr>
                            <w:rPr>
                              <w:rFonts w:eastAsia="Calibri" w:cs="Calibri"/>
                              <w:noProof/>
                              <w:color w:val="000000"/>
                              <w:sz w:val="20"/>
                              <w:szCs w:val="20"/>
                            </w:rPr>
                          </w:pPr>
                          <w:r w:rsidRPr="00717B50">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859F4" id="_x0000_t202" coordsize="21600,21600" o:spt="202" path="m,l,21600r21600,l21600,xe">
              <v:stroke joinstyle="miter"/>
              <v:path gradientshapeok="t" o:connecttype="rect"/>
            </v:shapetype>
            <v:shape id="Text Box 1" o:spid="_x0000_s1028"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" filled="f" stroked="f">
              <v:textbox style="mso-fit-shape-to-text:t" inset="0,15pt,0,0">
                <w:txbxContent>
                  <w:p w14:paraId="13A2E44C" w14:textId="6B1D05C2" w:rsidR="00717B50" w:rsidRPr="00717B50" w:rsidRDefault="00717B50" w:rsidP="00717B50">
                    <w:pPr>
                      <w:rPr>
                        <w:rFonts w:eastAsia="Calibri" w:cs="Calibri"/>
                        <w:noProof/>
                        <w:color w:val="000000"/>
                        <w:sz w:val="20"/>
                        <w:szCs w:val="20"/>
                      </w:rPr>
                    </w:pPr>
                    <w:r w:rsidRPr="00717B50">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23295371">
    <w:abstractNumId w:val="1"/>
  </w:num>
  <w:num w:numId="2" w16cid:durableId="1149708141">
    <w:abstractNumId w:val="4"/>
  </w:num>
  <w:num w:numId="3" w16cid:durableId="539129391">
    <w:abstractNumId w:val="3"/>
  </w:num>
  <w:num w:numId="4" w16cid:durableId="563949630">
    <w:abstractNumId w:val="0"/>
  </w:num>
  <w:num w:numId="5" w16cid:durableId="188798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379D7"/>
    <w:rsid w:val="00093FDA"/>
    <w:rsid w:val="000B2805"/>
    <w:rsid w:val="000D39E8"/>
    <w:rsid w:val="000D5FD0"/>
    <w:rsid w:val="00123C03"/>
    <w:rsid w:val="001642BD"/>
    <w:rsid w:val="0016793D"/>
    <w:rsid w:val="00185AC5"/>
    <w:rsid w:val="00190FEC"/>
    <w:rsid w:val="00202D7B"/>
    <w:rsid w:val="0025373D"/>
    <w:rsid w:val="002A3F32"/>
    <w:rsid w:val="00311E8E"/>
    <w:rsid w:val="00313F2C"/>
    <w:rsid w:val="0035438C"/>
    <w:rsid w:val="003A0A32"/>
    <w:rsid w:val="003D0606"/>
    <w:rsid w:val="003D752B"/>
    <w:rsid w:val="003F3497"/>
    <w:rsid w:val="00412144"/>
    <w:rsid w:val="004512E3"/>
    <w:rsid w:val="004B7DCA"/>
    <w:rsid w:val="004D6B3F"/>
    <w:rsid w:val="0052783C"/>
    <w:rsid w:val="00532547"/>
    <w:rsid w:val="00585389"/>
    <w:rsid w:val="00623CE9"/>
    <w:rsid w:val="006B2F47"/>
    <w:rsid w:val="00713AE5"/>
    <w:rsid w:val="00717B50"/>
    <w:rsid w:val="00742F0A"/>
    <w:rsid w:val="00777027"/>
    <w:rsid w:val="00792FE5"/>
    <w:rsid w:val="007F117E"/>
    <w:rsid w:val="0080789F"/>
    <w:rsid w:val="00840CAD"/>
    <w:rsid w:val="00865736"/>
    <w:rsid w:val="00894F57"/>
    <w:rsid w:val="008F3935"/>
    <w:rsid w:val="009652CA"/>
    <w:rsid w:val="00A05C31"/>
    <w:rsid w:val="00A13EDF"/>
    <w:rsid w:val="00B01C70"/>
    <w:rsid w:val="00B03E97"/>
    <w:rsid w:val="00B8600F"/>
    <w:rsid w:val="00C3459A"/>
    <w:rsid w:val="00C50DB7"/>
    <w:rsid w:val="00C82047"/>
    <w:rsid w:val="00CA31D6"/>
    <w:rsid w:val="00CC57E8"/>
    <w:rsid w:val="00D27436"/>
    <w:rsid w:val="00D31EE8"/>
    <w:rsid w:val="00D41B7B"/>
    <w:rsid w:val="00F43C0B"/>
    <w:rsid w:val="00F705C1"/>
    <w:rsid w:val="00F744AA"/>
    <w:rsid w:val="00F95C85"/>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character" w:styleId="UnresolvedMention">
    <w:name w:val="Unresolved Mention"/>
    <w:basedOn w:val="DefaultParagraphFont"/>
    <w:uiPriority w:val="99"/>
    <w:semiHidden/>
    <w:unhideWhenUsed/>
    <w:rsid w:val="00717B50"/>
    <w:rPr>
      <w:color w:val="605E5C"/>
      <w:shd w:val="clear" w:color="auto" w:fill="E1DFDD"/>
    </w:rPr>
  </w:style>
  <w:style w:type="paragraph" w:styleId="Header">
    <w:name w:val="header"/>
    <w:basedOn w:val="Normal"/>
    <w:link w:val="HeaderChar"/>
    <w:uiPriority w:val="99"/>
    <w:unhideWhenUsed/>
    <w:rsid w:val="00717B50"/>
    <w:pPr>
      <w:tabs>
        <w:tab w:val="center" w:pos="4513"/>
        <w:tab w:val="right" w:pos="9026"/>
      </w:tabs>
    </w:pPr>
  </w:style>
  <w:style w:type="character" w:customStyle="1" w:styleId="HeaderChar">
    <w:name w:val="Header Char"/>
    <w:basedOn w:val="DefaultParagraphFont"/>
    <w:link w:val="Header"/>
    <w:uiPriority w:val="99"/>
    <w:rsid w:val="00717B50"/>
    <w:rPr>
      <w:rFonts w:ascii="Calibri" w:hAnsi="Calibri" w:cs="Times New Roman"/>
    </w:rPr>
  </w:style>
  <w:style w:type="paragraph" w:styleId="Footer">
    <w:name w:val="footer"/>
    <w:basedOn w:val="Normal"/>
    <w:link w:val="FooterChar"/>
    <w:uiPriority w:val="99"/>
    <w:unhideWhenUsed/>
    <w:rsid w:val="00D27436"/>
    <w:pPr>
      <w:tabs>
        <w:tab w:val="center" w:pos="4513"/>
        <w:tab w:val="right" w:pos="9026"/>
      </w:tabs>
    </w:pPr>
  </w:style>
  <w:style w:type="character" w:customStyle="1" w:styleId="FooterChar">
    <w:name w:val="Footer Char"/>
    <w:basedOn w:val="DefaultParagraphFont"/>
    <w:link w:val="Footer"/>
    <w:uiPriority w:val="99"/>
    <w:rsid w:val="00D2743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d.govt.nz/about-msd-and-our-work/publications-resources/information-releases/cabinet-papers/2025/social-assistance-legisl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Carolyn Vasta</cp:lastModifiedBy>
  <cp:revision>10</cp:revision>
  <cp:lastPrinted>2025-12-02T01:00:00Z</cp:lastPrinted>
  <dcterms:created xsi:type="dcterms:W3CDTF">2025-11-19T01:15:00Z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6fd699e2,51fceb19,56c1a1ad</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2025-11-19T01:15:03Z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6e333120-a945-4569-9cc0-8b0c889556c8</vt:lpwstr>
  </property>
  <property fmtid="{D5CDD505-2E9C-101B-9397-08002B2CF9AE}" pid="32" name="MSIP_Label_f43e46a9-9901-46e9-bfae-bb6189d4cb66_ContentBits">
    <vt:lpwstr>1</vt:lpwstr>
  </property>
  <property fmtid="{D5CDD505-2E9C-101B-9397-08002B2CF9AE}" pid="33" name="MSIP_Label_f43e46a9-9901-46e9-bfae-bb6189d4cb66_Tag">
    <vt:lpwstr>10, 3, 0, 1</vt:lpwstr>
  </property>
</Properties>
</file>