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DDA8" w14:textId="77777777" w:rsidR="00F0111F" w:rsidRDefault="00F0111F"/>
    <w:tbl>
      <w:tblPr>
        <w:tblStyle w:val="TableGrid10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0111F" w:rsidRPr="00F0111F" w14:paraId="1F5867E6" w14:textId="77777777" w:rsidTr="00CE22D0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7409D" w14:textId="77777777" w:rsidR="00F0111F" w:rsidRDefault="00F0111F" w:rsidP="00F0111F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textAlignment w:val="center"/>
              <w:rPr>
                <w:rFonts w:ascii="Georgia" w:hAnsi="Georgia" w:cs="Calibri"/>
                <w:b/>
                <w:color w:val="999999"/>
                <w:sz w:val="52"/>
                <w:szCs w:val="96"/>
              </w:rPr>
            </w:pPr>
          </w:p>
          <w:p w14:paraId="7B000CC2" w14:textId="77777777" w:rsidR="00F0111F" w:rsidRDefault="00F0111F" w:rsidP="00F0111F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textAlignment w:val="center"/>
              <w:rPr>
                <w:rFonts w:ascii="Georgia" w:hAnsi="Georgia" w:cs="Calibri"/>
                <w:b/>
                <w:color w:val="999999"/>
                <w:sz w:val="52"/>
                <w:szCs w:val="96"/>
              </w:rPr>
            </w:pPr>
          </w:p>
          <w:p w14:paraId="1B9E2A4E" w14:textId="6756762A" w:rsidR="00F0111F" w:rsidRPr="00F0111F" w:rsidRDefault="00F0111F" w:rsidP="00F0111F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textAlignment w:val="center"/>
              <w:rPr>
                <w:rFonts w:ascii="Georgia" w:hAnsi="Georgia" w:cs="Calibri"/>
                <w:b/>
                <w:color w:val="999999"/>
                <w:sz w:val="52"/>
                <w:szCs w:val="96"/>
              </w:rPr>
            </w:pPr>
            <w:r w:rsidRPr="00F0111F">
              <w:rPr>
                <w:rFonts w:ascii="Georgia" w:hAnsi="Georgia" w:cs="Calibri"/>
                <w:b/>
                <w:color w:val="999999"/>
                <w:sz w:val="52"/>
                <w:szCs w:val="96"/>
              </w:rP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5E4F32B0" w14:textId="692B2691" w:rsidR="00F0111F" w:rsidRPr="00F0111F" w:rsidRDefault="00F0111F" w:rsidP="00F0111F">
            <w:pPr>
              <w:suppressAutoHyphens/>
              <w:autoSpaceDE w:val="0"/>
              <w:autoSpaceDN w:val="0"/>
              <w:adjustRightInd w:val="0"/>
              <w:spacing w:before="120" w:after="0" w:line="280" w:lineRule="atLeast"/>
              <w:jc w:val="right"/>
              <w:textAlignment w:val="center"/>
              <w:rPr>
                <w:rFonts w:cs="Times New Roman"/>
                <w:szCs w:val="20"/>
              </w:rPr>
            </w:pPr>
            <w:bookmarkStart w:id="0" w:name="bkmBrandingLogo"/>
            <w:r w:rsidRPr="00F0111F">
              <w:rPr>
                <w:rFonts w:cs="Times New Roman"/>
                <w:noProof/>
                <w:szCs w:val="20"/>
              </w:rPr>
              <w:drawing>
                <wp:inline distT="0" distB="0" distL="0" distR="0" wp14:anchorId="6A40337D" wp14:editId="3C042D1C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0111F" w:rsidRPr="00F0111F" w14:paraId="4744E1A4" w14:textId="77777777" w:rsidTr="00CE22D0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96B3DB" w14:textId="77777777" w:rsidR="00F0111F" w:rsidRPr="00F0111F" w:rsidRDefault="00F0111F" w:rsidP="00F0111F">
            <w:pPr>
              <w:spacing w:after="0" w:line="240" w:lineRule="auto"/>
              <w:rPr>
                <w:rFonts w:cs="Calibri"/>
                <w:b/>
                <w:color w:val="000000"/>
                <w:szCs w:val="20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E8F1B" w14:textId="77777777" w:rsidR="00F0111F" w:rsidRPr="00F0111F" w:rsidRDefault="00F0111F" w:rsidP="00F0111F">
            <w:pPr>
              <w:spacing w:after="0" w:line="240" w:lineRule="auto"/>
              <w:rPr>
                <w:rFonts w:ascii="Calibri" w:hAnsi="Calibri" w:cs="Times New Roman"/>
                <w:szCs w:val="20"/>
              </w:rPr>
            </w:pPr>
          </w:p>
        </w:tc>
      </w:tr>
    </w:tbl>
    <w:p w14:paraId="38911A75" w14:textId="77777777" w:rsidR="00F0111F" w:rsidRPr="00F0111F" w:rsidRDefault="00F0111F" w:rsidP="00F0111F">
      <w:pPr>
        <w:keepNext/>
        <w:spacing w:before="240" w:after="240" w:line="259" w:lineRule="auto"/>
        <w:jc w:val="both"/>
        <w:outlineLvl w:val="0"/>
        <w:rPr>
          <w:rFonts w:ascii="Georgia" w:eastAsia="MS Gothic" w:hAnsi="Georgia"/>
          <w:b/>
          <w:bCs/>
          <w:kern w:val="32"/>
          <w:sz w:val="36"/>
          <w:szCs w:val="32"/>
          <w:lang w:eastAsia="en-NZ"/>
          <w14:ligatures w14:val="none"/>
        </w:rPr>
      </w:pPr>
      <w:r w:rsidRPr="00F0111F">
        <w:rPr>
          <w:rFonts w:ascii="Georgia" w:eastAsia="MS Gothic" w:hAnsi="Georgia"/>
          <w:b/>
          <w:bCs/>
          <w:kern w:val="32"/>
          <w:sz w:val="36"/>
          <w:szCs w:val="32"/>
          <w:lang w:eastAsia="en-NZ"/>
          <w14:ligatures w14:val="none"/>
        </w:rPr>
        <w:t>Proactive release: Action to stabilise Disability Support Services: assessments, allocations and flexible funding</w:t>
      </w:r>
    </w:p>
    <w:p w14:paraId="31B0D817" w14:textId="77777777" w:rsidR="00F0111F" w:rsidRPr="00F0111F" w:rsidRDefault="00F0111F" w:rsidP="00F0111F">
      <w:pPr>
        <w:shd w:val="clear" w:color="auto" w:fill="FFFFFF"/>
        <w:spacing w:before="360" w:after="210"/>
        <w:rPr>
          <w:rFonts w:cs="Helvetica"/>
          <w:b/>
          <w:bCs/>
          <w:color w:val="333333"/>
          <w:kern w:val="0"/>
          <w:sz w:val="22"/>
          <w14:ligatures w14:val="none"/>
        </w:rPr>
      </w:pPr>
      <w:r w:rsidRPr="00F0111F">
        <w:rPr>
          <w:rFonts w:cs="Helvetica"/>
          <w:b/>
          <w:bCs/>
          <w:color w:val="333333"/>
          <w:kern w:val="0"/>
          <w:szCs w:val="20"/>
          <w14:ligatures w14:val="none"/>
        </w:rPr>
        <w:t>Hon Louise Upston, Minister for Disability Issues</w:t>
      </w:r>
    </w:p>
    <w:p w14:paraId="685EBF2C" w14:textId="77777777" w:rsidR="00F0111F" w:rsidRPr="00F0111F" w:rsidRDefault="00F0111F" w:rsidP="00F0111F">
      <w:pPr>
        <w:shd w:val="clear" w:color="auto" w:fill="FFFFFF"/>
        <w:spacing w:before="360" w:after="240"/>
        <w:rPr>
          <w:rFonts w:cs="Helvetica"/>
          <w:color w:val="333333"/>
          <w:kern w:val="0"/>
          <w:szCs w:val="20"/>
          <w14:ligatures w14:val="none"/>
        </w:rPr>
      </w:pPr>
      <w:r w:rsidRPr="00F0111F">
        <w:rPr>
          <w:rFonts w:cs="Helvetica"/>
          <w:color w:val="333333"/>
          <w:kern w:val="0"/>
          <w:szCs w:val="20"/>
          <w14:ligatures w14:val="none"/>
        </w:rPr>
        <w:t xml:space="preserve">These documents have been proactively released. </w:t>
      </w:r>
    </w:p>
    <w:p w14:paraId="15D8EC81" w14:textId="49C16FAD" w:rsidR="00F0111F" w:rsidRDefault="00F0111F" w:rsidP="00F0111F">
      <w:pPr>
        <w:spacing w:line="240" w:lineRule="auto"/>
        <w:rPr>
          <w:rFonts w:cs="Times New Roman"/>
          <w:i/>
          <w:kern w:val="0"/>
          <w:szCs w:val="20"/>
          <w14:ligatures w14:val="none"/>
        </w:rPr>
      </w:pPr>
      <w:r w:rsidRPr="00F0111F">
        <w:rPr>
          <w:rFonts w:cs="Times New Roman"/>
          <w:i/>
          <w:kern w:val="0"/>
          <w:szCs w:val="20"/>
          <w14:ligatures w14:val="none"/>
        </w:rPr>
        <w:t>23 July 2025, Cabinet paper – Action to stabilise Disability Support Services: assessments, allocations and flexible funding</w:t>
      </w:r>
      <w:r w:rsidR="00C67FAB">
        <w:rPr>
          <w:rFonts w:cs="Times New Roman"/>
          <w:i/>
          <w:kern w:val="0"/>
          <w:szCs w:val="20"/>
          <w14:ligatures w14:val="none"/>
        </w:rPr>
        <w:t>, including:</w:t>
      </w:r>
    </w:p>
    <w:p w14:paraId="40655D34" w14:textId="407B16F2" w:rsidR="00C67FAB" w:rsidRDefault="00C67FAB" w:rsidP="00C67FAB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i/>
          <w:kern w:val="0"/>
          <w:szCs w:val="20"/>
          <w14:ligatures w14:val="none"/>
        </w:rPr>
      </w:pPr>
      <w:r>
        <w:rPr>
          <w:rFonts w:cs="Times New Roman"/>
          <w:i/>
          <w:kern w:val="0"/>
          <w:szCs w:val="20"/>
          <w14:ligatures w14:val="none"/>
        </w:rPr>
        <w:t>Appendix 1 – Problem definition</w:t>
      </w:r>
    </w:p>
    <w:p w14:paraId="2D5D2D60" w14:textId="582A4A9D" w:rsidR="00C67FAB" w:rsidRDefault="00C67FAB" w:rsidP="00C67FAB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i/>
          <w:kern w:val="0"/>
          <w:szCs w:val="20"/>
          <w14:ligatures w14:val="none"/>
        </w:rPr>
      </w:pPr>
      <w:r>
        <w:rPr>
          <w:rFonts w:cs="Times New Roman"/>
          <w:i/>
          <w:kern w:val="0"/>
          <w:szCs w:val="20"/>
          <w14:ligatures w14:val="none"/>
        </w:rPr>
        <w:t>Appendix 2 – Initial key themes from community engagement</w:t>
      </w:r>
    </w:p>
    <w:p w14:paraId="08BA17AD" w14:textId="383BEEF5" w:rsidR="00C67FAB" w:rsidRPr="00C67FAB" w:rsidRDefault="00C67FAB" w:rsidP="00C67FAB">
      <w:pPr>
        <w:pStyle w:val="ListParagraph"/>
        <w:numPr>
          <w:ilvl w:val="0"/>
          <w:numId w:val="34"/>
        </w:numPr>
        <w:spacing w:line="240" w:lineRule="auto"/>
        <w:rPr>
          <w:rFonts w:cs="Times New Roman"/>
          <w:i/>
          <w:kern w:val="0"/>
          <w:szCs w:val="20"/>
          <w14:ligatures w14:val="none"/>
        </w:rPr>
      </w:pPr>
      <w:r>
        <w:rPr>
          <w:rFonts w:cs="Times New Roman"/>
          <w:i/>
          <w:kern w:val="0"/>
          <w:szCs w:val="20"/>
          <w14:ligatures w14:val="none"/>
        </w:rPr>
        <w:t>Appendix 3 – Summary of changes and impact on DSS users, fiscal control and delivery of public service</w:t>
      </w:r>
    </w:p>
    <w:p w14:paraId="3DF5CB75" w14:textId="07509253" w:rsidR="00F0111F" w:rsidRDefault="00F0111F" w:rsidP="00F0111F">
      <w:pPr>
        <w:spacing w:line="240" w:lineRule="auto"/>
        <w:rPr>
          <w:rFonts w:cs="Times New Roman"/>
          <w:i/>
          <w:kern w:val="0"/>
          <w:szCs w:val="20"/>
          <w14:ligatures w14:val="none"/>
        </w:rPr>
      </w:pPr>
      <w:r w:rsidRPr="00F0111F">
        <w:rPr>
          <w:rFonts w:cs="Times New Roman"/>
          <w:i/>
          <w:kern w:val="0"/>
          <w:szCs w:val="20"/>
          <w14:ligatures w14:val="none"/>
        </w:rPr>
        <w:t>23 July 2025, Cabinet Social Outcomes Committee Minute SOU-25-MIN-0088, Cabinet Office</w:t>
      </w:r>
    </w:p>
    <w:p w14:paraId="56294F4C" w14:textId="3DB5B046" w:rsidR="00BE0641" w:rsidRPr="00F0111F" w:rsidRDefault="00BE0641" w:rsidP="00F0111F">
      <w:pPr>
        <w:spacing w:line="240" w:lineRule="auto"/>
        <w:rPr>
          <w:rFonts w:cs="Times New Roman"/>
          <w:i/>
          <w:kern w:val="0"/>
          <w:szCs w:val="20"/>
          <w14:ligatures w14:val="none"/>
        </w:rPr>
      </w:pPr>
      <w:r>
        <w:rPr>
          <w:rFonts w:cs="Times New Roman"/>
          <w:i/>
          <w:kern w:val="0"/>
          <w:szCs w:val="20"/>
          <w14:ligatures w14:val="none"/>
        </w:rPr>
        <w:t>17 April 2025, REP/25/4/268 – report Back to Cabinet Regarding Recommendations 5 and 6 of the Independent Review of Disability Support Services.</w:t>
      </w:r>
    </w:p>
    <w:p w14:paraId="198B22FE" w14:textId="77777777" w:rsidR="00F0111F" w:rsidRPr="00F0111F" w:rsidRDefault="00F0111F" w:rsidP="00F0111F">
      <w:pPr>
        <w:spacing w:after="0" w:line="240" w:lineRule="auto"/>
        <w:ind w:left="720"/>
        <w:contextualSpacing/>
        <w:rPr>
          <w:rFonts w:cs="Times New Roman"/>
          <w:i/>
          <w:kern w:val="0"/>
          <w:szCs w:val="20"/>
          <w14:ligatures w14:val="none"/>
        </w:rPr>
      </w:pPr>
    </w:p>
    <w:p w14:paraId="09CA3BCD" w14:textId="77777777" w:rsidR="00F0111F" w:rsidRPr="00F0111F" w:rsidRDefault="00F0111F" w:rsidP="00F0111F">
      <w:pPr>
        <w:shd w:val="clear" w:color="auto" w:fill="FFFFFF"/>
        <w:spacing w:after="210"/>
        <w:rPr>
          <w:rFonts w:cs="Helvetica"/>
          <w:kern w:val="0"/>
          <w:szCs w:val="20"/>
          <w14:ligatures w14:val="none"/>
        </w:rPr>
      </w:pPr>
      <w:r w:rsidRPr="00F0111F">
        <w:rPr>
          <w:rFonts w:cs="Helvetica"/>
          <w:kern w:val="0"/>
          <w:szCs w:val="20"/>
          <w14:ligatures w14:val="none"/>
        </w:rPr>
        <w:t>The paper is seeking agreement to stabilise Disability Support Services through amendments to assessments, allocations, and the use of flexible funding.</w:t>
      </w:r>
    </w:p>
    <w:p w14:paraId="2E64CC90" w14:textId="77777777" w:rsidR="00F0111F" w:rsidRPr="00F0111F" w:rsidRDefault="00F0111F" w:rsidP="00F0111F">
      <w:pPr>
        <w:shd w:val="clear" w:color="auto" w:fill="FFFFFF"/>
        <w:spacing w:after="210"/>
        <w:rPr>
          <w:rFonts w:cs="Times New Roman"/>
          <w:kern w:val="0"/>
          <w:szCs w:val="24"/>
          <w14:ligatures w14:val="none"/>
        </w:rPr>
      </w:pPr>
      <w:r w:rsidRPr="00F0111F">
        <w:rPr>
          <w:rFonts w:cs="Times New Roman"/>
          <w:iCs/>
          <w:kern w:val="0"/>
          <w:szCs w:val="24"/>
          <w14:ligatures w14:val="none"/>
        </w:rPr>
        <w:t>The Cabinet paper had a typographical error in paragraph 28.2: the word “to” should be replaced by “do”. This does not have a substantive change on the policy</w:t>
      </w:r>
      <w:r w:rsidRPr="00F0111F">
        <w:rPr>
          <w:rFonts w:cs="Times New Roman"/>
          <w:kern w:val="0"/>
          <w:szCs w:val="24"/>
          <w14:ligatures w14:val="none"/>
        </w:rPr>
        <w:t xml:space="preserve">. </w:t>
      </w:r>
    </w:p>
    <w:p w14:paraId="6C0886C7" w14:textId="77777777" w:rsidR="00F0111F" w:rsidRPr="00F0111F" w:rsidRDefault="00700CE1" w:rsidP="00F0111F">
      <w:pPr>
        <w:shd w:val="clear" w:color="auto" w:fill="FFFFFF"/>
        <w:spacing w:after="210"/>
        <w:rPr>
          <w:rFonts w:cs="Helvetica"/>
          <w:color w:val="333333"/>
          <w:kern w:val="0"/>
          <w:szCs w:val="20"/>
          <w14:ligatures w14:val="none"/>
        </w:rPr>
      </w:pPr>
      <w:hyperlink r:id="rId9" w:history="1">
        <w:r w:rsidR="00F0111F" w:rsidRPr="00F0111F">
          <w:rPr>
            <w:rFonts w:cs="Helvetica"/>
            <w:i/>
            <w:iCs/>
            <w:color w:val="4C2C92"/>
            <w:kern w:val="0"/>
            <w:szCs w:val="20"/>
            <w:u w:val="single"/>
            <w14:ligatures w14:val="none"/>
          </w:rPr>
          <w:t>© Crown Copyright, Creative Commons Attribution 4.0 International (CC BY 4.0)</w:t>
        </w:r>
      </w:hyperlink>
    </w:p>
    <w:p w14:paraId="1E2771A9" w14:textId="77777777" w:rsidR="00F0111F" w:rsidRPr="00F0111F" w:rsidRDefault="00F0111F" w:rsidP="00F0111F">
      <w:pPr>
        <w:spacing w:after="0" w:line="240" w:lineRule="auto"/>
        <w:rPr>
          <w:rFonts w:cs="Times New Roman"/>
          <w:b/>
          <w:kern w:val="0"/>
          <w:szCs w:val="20"/>
          <w14:ligatures w14:val="none"/>
        </w:rPr>
      </w:pPr>
      <w:r w:rsidRPr="00F0111F">
        <w:rPr>
          <w:rFonts w:cs="Times New Roman"/>
          <w:b/>
          <w:kern w:val="0"/>
          <w:szCs w:val="20"/>
          <w14:ligatures w14:val="none"/>
        </w:rPr>
        <w:t>Search Tags: disability support services, DSS, assessments, allocations, flexible funding, criteria and consultation</w:t>
      </w:r>
    </w:p>
    <w:p w14:paraId="2569C67A" w14:textId="77777777" w:rsidR="00F829F6" w:rsidRPr="00F113EF" w:rsidRDefault="00F829F6" w:rsidP="00F113EF"/>
    <w:sectPr w:rsidR="00F829F6" w:rsidRPr="00F113EF" w:rsidSect="00F0111F">
      <w:headerReference w:type="even" r:id="rId10"/>
      <w:headerReference w:type="default" r:id="rId11"/>
      <w:head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1A1A" w14:textId="77777777" w:rsidR="00700CE1" w:rsidRDefault="00700CE1">
      <w:pPr>
        <w:spacing w:after="0" w:line="240" w:lineRule="auto"/>
      </w:pPr>
      <w:r>
        <w:separator/>
      </w:r>
    </w:p>
  </w:endnote>
  <w:endnote w:type="continuationSeparator" w:id="0">
    <w:p w14:paraId="19987317" w14:textId="77777777" w:rsidR="00700CE1" w:rsidRDefault="0070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E24B" w14:textId="77777777" w:rsidR="00700CE1" w:rsidRDefault="00700CE1">
      <w:pPr>
        <w:spacing w:after="0" w:line="240" w:lineRule="auto"/>
      </w:pPr>
      <w:r>
        <w:separator/>
      </w:r>
    </w:p>
  </w:footnote>
  <w:footnote w:type="continuationSeparator" w:id="0">
    <w:p w14:paraId="522CD4F0" w14:textId="77777777" w:rsidR="00700CE1" w:rsidRDefault="0070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68F9" w14:textId="7D770A59" w:rsidR="00D46FB7" w:rsidRDefault="00C67FA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4FEAD" wp14:editId="26146C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10091800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0A058" w14:textId="402438CB" w:rsidR="00C67FAB" w:rsidRPr="00C67FAB" w:rsidRDefault="00C67FAB" w:rsidP="00C67FA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67FA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4FE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50A058" w14:textId="402438CB" w:rsidR="00C67FAB" w:rsidRPr="00C67FAB" w:rsidRDefault="00C67FAB" w:rsidP="00C67FA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67FA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AD40" w14:textId="6A9A3F2C" w:rsidR="00D46FB7" w:rsidRDefault="00C67FA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7665E8" wp14:editId="256AE44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191118248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03C9D" w14:textId="2BCA3499" w:rsidR="00C67FAB" w:rsidRPr="00C67FAB" w:rsidRDefault="00C67FAB" w:rsidP="00C67FA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665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8803C9D" w14:textId="2BCA3499" w:rsidR="00C67FAB" w:rsidRPr="00C67FAB" w:rsidRDefault="00C67FAB" w:rsidP="00C67FA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8130" w14:textId="68F5334F" w:rsidR="00D46FB7" w:rsidRDefault="00C67FA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BE3A63" wp14:editId="3007BD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376127502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8C212" w14:textId="565A0900" w:rsidR="00C67FAB" w:rsidRPr="00C67FAB" w:rsidRDefault="00C67FAB" w:rsidP="00C67FA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67FA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E3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398C212" w14:textId="565A0900" w:rsidR="00C67FAB" w:rsidRPr="00C67FAB" w:rsidRDefault="00C67FAB" w:rsidP="00C67FA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67FA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7FF4E00"/>
    <w:multiLevelType w:val="hybridMultilevel"/>
    <w:tmpl w:val="0CAEE584"/>
    <w:lvl w:ilvl="0" w:tplc="2CC611F4">
      <w:start w:val="2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94817975">
    <w:abstractNumId w:val="18"/>
  </w:num>
  <w:num w:numId="2" w16cid:durableId="53931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022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095618">
    <w:abstractNumId w:val="16"/>
  </w:num>
  <w:num w:numId="5" w16cid:durableId="1120874098">
    <w:abstractNumId w:val="9"/>
  </w:num>
  <w:num w:numId="6" w16cid:durableId="45178063">
    <w:abstractNumId w:val="7"/>
  </w:num>
  <w:num w:numId="7" w16cid:durableId="886793961">
    <w:abstractNumId w:val="24"/>
  </w:num>
  <w:num w:numId="8" w16cid:durableId="1686436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981056">
    <w:abstractNumId w:val="9"/>
  </w:num>
  <w:num w:numId="10" w16cid:durableId="1933973523">
    <w:abstractNumId w:val="12"/>
  </w:num>
  <w:num w:numId="11" w16cid:durableId="1722748327">
    <w:abstractNumId w:val="12"/>
  </w:num>
  <w:num w:numId="12" w16cid:durableId="332800246">
    <w:abstractNumId w:val="9"/>
  </w:num>
  <w:num w:numId="13" w16cid:durableId="1941907377">
    <w:abstractNumId w:val="10"/>
  </w:num>
  <w:num w:numId="14" w16cid:durableId="1491169071">
    <w:abstractNumId w:val="21"/>
  </w:num>
  <w:num w:numId="15" w16cid:durableId="668795074">
    <w:abstractNumId w:val="14"/>
  </w:num>
  <w:num w:numId="16" w16cid:durableId="1886985530">
    <w:abstractNumId w:val="6"/>
  </w:num>
  <w:num w:numId="17" w16cid:durableId="1471821885">
    <w:abstractNumId w:val="5"/>
  </w:num>
  <w:num w:numId="18" w16cid:durableId="1730105717">
    <w:abstractNumId w:val="4"/>
  </w:num>
  <w:num w:numId="19" w16cid:durableId="854925852">
    <w:abstractNumId w:val="8"/>
  </w:num>
  <w:num w:numId="20" w16cid:durableId="382751327">
    <w:abstractNumId w:val="3"/>
  </w:num>
  <w:num w:numId="21" w16cid:durableId="1326932323">
    <w:abstractNumId w:val="2"/>
  </w:num>
  <w:num w:numId="22" w16cid:durableId="744498212">
    <w:abstractNumId w:val="1"/>
  </w:num>
  <w:num w:numId="23" w16cid:durableId="244917745">
    <w:abstractNumId w:val="0"/>
  </w:num>
  <w:num w:numId="24" w16cid:durableId="808325181">
    <w:abstractNumId w:val="17"/>
  </w:num>
  <w:num w:numId="25" w16cid:durableId="556472727">
    <w:abstractNumId w:val="26"/>
  </w:num>
  <w:num w:numId="26" w16cid:durableId="67652338">
    <w:abstractNumId w:val="27"/>
  </w:num>
  <w:num w:numId="27" w16cid:durableId="730887868">
    <w:abstractNumId w:val="25"/>
  </w:num>
  <w:num w:numId="28" w16cid:durableId="1800105977">
    <w:abstractNumId w:val="19"/>
  </w:num>
  <w:num w:numId="29" w16cid:durableId="1177158655">
    <w:abstractNumId w:val="11"/>
  </w:num>
  <w:num w:numId="30" w16cid:durableId="3946093">
    <w:abstractNumId w:val="20"/>
  </w:num>
  <w:num w:numId="31" w16cid:durableId="1703020476">
    <w:abstractNumId w:val="28"/>
  </w:num>
  <w:num w:numId="32" w16cid:durableId="1220701347">
    <w:abstractNumId w:val="22"/>
  </w:num>
  <w:num w:numId="33" w16cid:durableId="403799162">
    <w:abstractNumId w:val="13"/>
  </w:num>
  <w:num w:numId="34" w16cid:durableId="1123423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1F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00CE1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BE0641"/>
    <w:rsid w:val="00C503A7"/>
    <w:rsid w:val="00C5215F"/>
    <w:rsid w:val="00C67FAB"/>
    <w:rsid w:val="00CB4A28"/>
    <w:rsid w:val="00D34EA0"/>
    <w:rsid w:val="00D46FB7"/>
    <w:rsid w:val="00DD6907"/>
    <w:rsid w:val="00DD7526"/>
    <w:rsid w:val="00E10EC8"/>
    <w:rsid w:val="00E671C3"/>
    <w:rsid w:val="00E90142"/>
    <w:rsid w:val="00E9269E"/>
    <w:rsid w:val="00F0111F"/>
    <w:rsid w:val="00F06EE8"/>
    <w:rsid w:val="00F07349"/>
    <w:rsid w:val="00F113EF"/>
    <w:rsid w:val="00F126F3"/>
    <w:rsid w:val="00F22AE5"/>
    <w:rsid w:val="00F73BEB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30CFA"/>
  <w15:chartTrackingRefBased/>
  <w15:docId w15:val="{81193EA0-9A6B-4E73-AA45-5E5E2309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table" w:customStyle="1" w:styleId="TableGrid10">
    <w:name w:val="Table Grid1"/>
    <w:basedOn w:val="TableNormal"/>
    <w:next w:val="TableGrid"/>
    <w:rsid w:val="00F0111F"/>
    <w:rPr>
      <w:rFonts w:ascii="Verdana" w:eastAsia="Times New Roman" w:hAnsi="Verdana"/>
      <w:kern w:val="0"/>
      <w:lang w:eastAsia="en-N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111F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0111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Vasta</dc:creator>
  <cp:keywords/>
  <dc:description/>
  <cp:lastModifiedBy>Carolyn Vasta</cp:lastModifiedBy>
  <cp:revision>2</cp:revision>
  <dcterms:created xsi:type="dcterms:W3CDTF">2025-08-17T19:52:00Z</dcterms:created>
  <dcterms:modified xsi:type="dcterms:W3CDTF">2025-08-17T20:02:00Z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166b400e,419eacf3,46ff05a8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2025-08-17T20:02:47Z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d3cc9635-3d00-4dac-8b79-f9b6ab936b5f</vt:lpwstr>
  </property>
  <property fmtid="{D5CDD505-2E9C-101B-9397-08002B2CF9AE}" pid="11" name="MSIP_Label_f43e46a9-9901-46e9-bfae-bb6189d4cb66_ContentBits">
    <vt:lpwstr>1</vt:lpwstr>
  </property>
</Properties>
</file>