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6C799871" w:rsidR="00FC072D" w:rsidRPr="00F116F3" w:rsidRDefault="00380C4A" w:rsidP="00777027">
      <w:pPr>
        <w:pStyle w:val="Heading1"/>
        <w:spacing w:before="240" w:after="240"/>
      </w:pPr>
      <w:r>
        <w:t>Refreshing the Child and Youth Strategy and associated measures</w:t>
      </w:r>
    </w:p>
    <w:p w14:paraId="42B7D235" w14:textId="4B450B2A" w:rsidR="00412144" w:rsidRPr="002A3F32" w:rsidRDefault="00380C4A" w:rsidP="00412144">
      <w:pPr>
        <w:pStyle w:val="NormalWeb"/>
        <w:shd w:val="clear" w:color="auto" w:fill="FFFFFF"/>
        <w:spacing w:after="210"/>
        <w:rPr>
          <w:rFonts w:cs="Helvetica"/>
          <w:b/>
          <w:color w:val="333333"/>
          <w:sz w:val="22"/>
          <w:szCs w:val="22"/>
        </w:rPr>
      </w:pPr>
      <w:r>
        <w:rPr>
          <w:rFonts w:cs="Helvetica"/>
          <w:b/>
          <w:color w:val="333333"/>
          <w:sz w:val="22"/>
          <w:szCs w:val="22"/>
        </w:rPr>
        <w:t>Hon Louise Upston, Minister for Child Poverty Reduction</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5DE98E06" w:rsidR="00865736" w:rsidRPr="00737FA9" w:rsidRDefault="00380C4A" w:rsidP="00B8600F">
      <w:pPr>
        <w:spacing w:after="120"/>
        <w:rPr>
          <w:rFonts w:ascii="Verdana" w:hAnsi="Verdana"/>
          <w:i/>
          <w:sz w:val="20"/>
          <w:szCs w:val="20"/>
        </w:rPr>
      </w:pPr>
      <w:r w:rsidRPr="00737FA9">
        <w:rPr>
          <w:rFonts w:ascii="Verdana" w:hAnsi="Verdana"/>
          <w:i/>
          <w:sz w:val="20"/>
          <w:szCs w:val="20"/>
        </w:rPr>
        <w:t>23 October 2024</w:t>
      </w:r>
      <w:r w:rsidR="00865736" w:rsidRPr="00737FA9">
        <w:rPr>
          <w:rFonts w:ascii="Verdana" w:hAnsi="Verdana"/>
          <w:i/>
          <w:sz w:val="20"/>
          <w:szCs w:val="20"/>
        </w:rPr>
        <w:t>, Cabinet paper</w:t>
      </w:r>
      <w:r w:rsidR="00B8600F" w:rsidRPr="00737FA9">
        <w:rPr>
          <w:rFonts w:ascii="Verdana" w:hAnsi="Verdana"/>
          <w:i/>
          <w:sz w:val="20"/>
          <w:szCs w:val="20"/>
        </w:rPr>
        <w:t xml:space="preserve"> </w:t>
      </w:r>
      <w:r w:rsidRPr="00737FA9">
        <w:rPr>
          <w:rFonts w:ascii="Verdana" w:hAnsi="Verdana"/>
          <w:i/>
          <w:sz w:val="20"/>
          <w:szCs w:val="20"/>
        </w:rPr>
        <w:t>–</w:t>
      </w:r>
      <w:r w:rsidR="00865736" w:rsidRPr="00737FA9">
        <w:rPr>
          <w:rFonts w:ascii="Verdana" w:hAnsi="Verdana"/>
          <w:i/>
          <w:sz w:val="20"/>
          <w:szCs w:val="20"/>
        </w:rPr>
        <w:t xml:space="preserve"> </w:t>
      </w:r>
      <w:r w:rsidRPr="00737FA9">
        <w:rPr>
          <w:rFonts w:ascii="Verdana" w:hAnsi="Verdana"/>
          <w:i/>
          <w:sz w:val="20"/>
          <w:szCs w:val="20"/>
        </w:rPr>
        <w:t>Refreshing the Child and Youth Strategy and associated measures</w:t>
      </w:r>
      <w:r w:rsidR="000839A7">
        <w:rPr>
          <w:rFonts w:ascii="Verdana" w:hAnsi="Verdana"/>
          <w:i/>
          <w:sz w:val="20"/>
          <w:szCs w:val="20"/>
        </w:rPr>
        <w:t>, including Appendix 1 – Summary of core elements of the Child and Youth Strategy</w:t>
      </w:r>
    </w:p>
    <w:p w14:paraId="6E4DA4B3" w14:textId="735556FF" w:rsidR="00865736" w:rsidRPr="00737FA9" w:rsidRDefault="00380C4A" w:rsidP="00B8600F">
      <w:pPr>
        <w:spacing w:after="120"/>
        <w:rPr>
          <w:rFonts w:ascii="Verdana" w:hAnsi="Verdana"/>
          <w:i/>
          <w:sz w:val="20"/>
          <w:szCs w:val="20"/>
        </w:rPr>
      </w:pPr>
      <w:r w:rsidRPr="00737FA9">
        <w:rPr>
          <w:rFonts w:ascii="Verdana" w:hAnsi="Verdana"/>
          <w:i/>
          <w:sz w:val="20"/>
          <w:szCs w:val="20"/>
        </w:rPr>
        <w:t>23 October 2024</w:t>
      </w:r>
      <w:r w:rsidR="00865736" w:rsidRPr="00737FA9">
        <w:rPr>
          <w:rFonts w:ascii="Verdana" w:hAnsi="Verdana"/>
          <w:i/>
          <w:sz w:val="20"/>
          <w:szCs w:val="20"/>
        </w:rPr>
        <w:t xml:space="preserve">, Cabinet Social </w:t>
      </w:r>
      <w:r w:rsidRPr="00737FA9">
        <w:rPr>
          <w:rFonts w:ascii="Verdana" w:hAnsi="Verdana"/>
          <w:i/>
          <w:sz w:val="20"/>
          <w:szCs w:val="20"/>
        </w:rPr>
        <w:t>Outcomes</w:t>
      </w:r>
      <w:r w:rsidR="00865736" w:rsidRPr="00737FA9">
        <w:rPr>
          <w:rFonts w:ascii="Verdana" w:hAnsi="Verdana"/>
          <w:i/>
          <w:sz w:val="20"/>
          <w:szCs w:val="20"/>
        </w:rPr>
        <w:t xml:space="preserve"> Committee Minute </w:t>
      </w:r>
      <w:r w:rsidRPr="00737FA9">
        <w:rPr>
          <w:rFonts w:ascii="Verdana" w:hAnsi="Verdana"/>
          <w:i/>
          <w:sz w:val="20"/>
          <w:szCs w:val="20"/>
        </w:rPr>
        <w:t>SOU</w:t>
      </w:r>
      <w:r w:rsidR="00865736" w:rsidRPr="00737FA9">
        <w:rPr>
          <w:rFonts w:ascii="Verdana" w:hAnsi="Verdana"/>
          <w:i/>
          <w:sz w:val="20"/>
          <w:szCs w:val="20"/>
        </w:rPr>
        <w:t>-</w:t>
      </w:r>
      <w:r w:rsidRPr="00737FA9">
        <w:rPr>
          <w:rFonts w:ascii="Verdana" w:hAnsi="Verdana"/>
          <w:i/>
          <w:sz w:val="20"/>
          <w:szCs w:val="20"/>
        </w:rPr>
        <w:t>24</w:t>
      </w:r>
      <w:r w:rsidR="00865736" w:rsidRPr="00737FA9">
        <w:rPr>
          <w:rFonts w:ascii="Verdana" w:hAnsi="Verdana"/>
          <w:i/>
          <w:sz w:val="20"/>
          <w:szCs w:val="20"/>
        </w:rPr>
        <w:t>-MIN-</w:t>
      </w:r>
      <w:r w:rsidRPr="00737FA9">
        <w:rPr>
          <w:rFonts w:ascii="Verdana" w:hAnsi="Verdana"/>
          <w:i/>
          <w:sz w:val="20"/>
          <w:szCs w:val="20"/>
        </w:rPr>
        <w:t>0125</w:t>
      </w:r>
      <w:r w:rsidR="00777027" w:rsidRPr="00737FA9">
        <w:rPr>
          <w:rFonts w:ascii="Verdana" w:hAnsi="Verdana"/>
          <w:i/>
          <w:sz w:val="20"/>
          <w:szCs w:val="20"/>
        </w:rPr>
        <w:t>, Cabinet Office</w:t>
      </w:r>
    </w:p>
    <w:p w14:paraId="677CB1D9" w14:textId="2BF77597" w:rsidR="00380C4A" w:rsidRPr="00737FA9" w:rsidRDefault="00380C4A" w:rsidP="00B8600F">
      <w:pPr>
        <w:spacing w:after="120"/>
        <w:rPr>
          <w:rFonts w:ascii="Verdana" w:hAnsi="Verdana"/>
          <w:i/>
          <w:sz w:val="20"/>
          <w:szCs w:val="20"/>
        </w:rPr>
      </w:pPr>
      <w:r w:rsidRPr="00737FA9">
        <w:rPr>
          <w:rFonts w:ascii="Verdana" w:hAnsi="Verdana"/>
          <w:i/>
          <w:sz w:val="20"/>
          <w:szCs w:val="20"/>
        </w:rPr>
        <w:t xml:space="preserve">19 June 2024, </w:t>
      </w:r>
      <w:r w:rsidR="00A83A97" w:rsidRPr="00A83A97">
        <w:rPr>
          <w:rFonts w:ascii="Verdana" w:hAnsi="Verdana"/>
          <w:i/>
          <w:sz w:val="20"/>
          <w:szCs w:val="20"/>
        </w:rPr>
        <w:t>REP/24/6/526</w:t>
      </w:r>
      <w:r w:rsidR="00A83A97">
        <w:rPr>
          <w:rFonts w:ascii="Verdana" w:hAnsi="Verdana"/>
          <w:i/>
          <w:sz w:val="20"/>
          <w:szCs w:val="20"/>
        </w:rPr>
        <w:t xml:space="preserve"> </w:t>
      </w:r>
      <w:r w:rsidRPr="00737FA9">
        <w:rPr>
          <w:rFonts w:ascii="Verdana" w:hAnsi="Verdana"/>
          <w:i/>
          <w:sz w:val="20"/>
          <w:szCs w:val="20"/>
        </w:rPr>
        <w:t>Confirming the functions of the Child Poverty Related Indicators</w:t>
      </w:r>
    </w:p>
    <w:p w14:paraId="03F651A3" w14:textId="4F66EC8F" w:rsidR="00380C4A" w:rsidRPr="00737FA9" w:rsidRDefault="00380C4A" w:rsidP="00B8600F">
      <w:pPr>
        <w:spacing w:after="120"/>
        <w:rPr>
          <w:rFonts w:ascii="Verdana" w:hAnsi="Verdana"/>
          <w:i/>
          <w:sz w:val="20"/>
          <w:szCs w:val="20"/>
        </w:rPr>
      </w:pPr>
      <w:r w:rsidRPr="00737FA9">
        <w:rPr>
          <w:rFonts w:ascii="Verdana" w:hAnsi="Verdana"/>
          <w:i/>
          <w:sz w:val="20"/>
          <w:szCs w:val="20"/>
        </w:rPr>
        <w:t>24 July 2024,</w:t>
      </w:r>
      <w:r w:rsidR="00A83A97">
        <w:rPr>
          <w:rFonts w:ascii="Verdana" w:hAnsi="Verdana"/>
          <w:i/>
          <w:sz w:val="20"/>
          <w:szCs w:val="20"/>
        </w:rPr>
        <w:t xml:space="preserve"> </w:t>
      </w:r>
      <w:r w:rsidR="00A83A97" w:rsidRPr="00A83A97">
        <w:rPr>
          <w:rFonts w:ascii="Verdana" w:hAnsi="Verdana"/>
          <w:i/>
          <w:sz w:val="20"/>
          <w:szCs w:val="20"/>
        </w:rPr>
        <w:t>REP/24/7/682</w:t>
      </w:r>
      <w:r w:rsidRPr="00737FA9">
        <w:rPr>
          <w:rFonts w:ascii="Verdana" w:hAnsi="Verdana"/>
          <w:i/>
          <w:sz w:val="20"/>
          <w:szCs w:val="20"/>
        </w:rPr>
        <w:t xml:space="preserve"> Statutory Review of the Child Poverty Related Indicators</w:t>
      </w:r>
    </w:p>
    <w:p w14:paraId="45E184DC" w14:textId="50F23300" w:rsidR="00380C4A" w:rsidRPr="00737FA9" w:rsidRDefault="00380C4A" w:rsidP="00B8600F">
      <w:pPr>
        <w:spacing w:after="120"/>
        <w:rPr>
          <w:rFonts w:ascii="Verdana" w:hAnsi="Verdana"/>
          <w:i/>
          <w:sz w:val="20"/>
          <w:szCs w:val="20"/>
        </w:rPr>
      </w:pPr>
      <w:r w:rsidRPr="00737FA9">
        <w:rPr>
          <w:rFonts w:ascii="Verdana" w:hAnsi="Verdana"/>
          <w:i/>
          <w:sz w:val="20"/>
          <w:szCs w:val="20"/>
        </w:rPr>
        <w:t xml:space="preserve">24 July 2024, </w:t>
      </w:r>
      <w:r w:rsidR="00A83A97" w:rsidRPr="00A83A97">
        <w:rPr>
          <w:rFonts w:ascii="Verdana" w:hAnsi="Verdana"/>
          <w:i/>
          <w:sz w:val="20"/>
          <w:szCs w:val="20"/>
        </w:rPr>
        <w:t>REP/24/7/685</w:t>
      </w:r>
      <w:r w:rsidR="00A83A97">
        <w:rPr>
          <w:rFonts w:ascii="Verdana" w:hAnsi="Verdana"/>
          <w:i/>
          <w:sz w:val="20"/>
          <w:szCs w:val="20"/>
        </w:rPr>
        <w:t xml:space="preserve"> </w:t>
      </w:r>
      <w:r w:rsidRPr="00737FA9">
        <w:rPr>
          <w:rFonts w:ascii="Verdana" w:hAnsi="Verdana"/>
          <w:i/>
          <w:sz w:val="20"/>
          <w:szCs w:val="20"/>
        </w:rPr>
        <w:t>Summary of engagement on the refresh of the Child and Youth Strategy: June-July 2024.</w:t>
      </w:r>
      <w:r w:rsidR="00A83A97">
        <w:rPr>
          <w:rFonts w:ascii="Verdana" w:hAnsi="Verdana"/>
          <w:i/>
          <w:sz w:val="20"/>
          <w:szCs w:val="20"/>
        </w:rPr>
        <w:t xml:space="preserve"> Appendix 1</w:t>
      </w:r>
      <w:r w:rsidR="00DC7DA8">
        <w:rPr>
          <w:rFonts w:ascii="Verdana" w:hAnsi="Verdana"/>
          <w:i/>
          <w:sz w:val="20"/>
          <w:szCs w:val="20"/>
        </w:rPr>
        <w:t xml:space="preserve"> is available</w:t>
      </w:r>
      <w:r w:rsidR="00A83A97">
        <w:rPr>
          <w:rFonts w:ascii="Verdana" w:hAnsi="Verdana"/>
          <w:i/>
          <w:sz w:val="20"/>
          <w:szCs w:val="20"/>
        </w:rPr>
        <w:t xml:space="preserve"> on the MSD website</w:t>
      </w:r>
      <w:r w:rsidR="00DC7DA8">
        <w:rPr>
          <w:rFonts w:ascii="Verdana" w:hAnsi="Verdana"/>
          <w:i/>
          <w:sz w:val="20"/>
          <w:szCs w:val="20"/>
        </w:rPr>
        <w:t xml:space="preserve"> here:  </w:t>
      </w:r>
      <w:hyperlink r:id="rId12" w:history="1">
        <w:r w:rsidR="00DC7DA8" w:rsidRPr="00CB5642">
          <w:rPr>
            <w:rStyle w:val="Hyperlink"/>
          </w:rPr>
          <w:t>www.msd.govt.nz/documents/about-msd-and-our-work/child-youth-wellbeing/strategy-and-plan/summary-of-engagment-refresh-of-the-child-and-youth-wellbeing-strategy.pdf</w:t>
        </w:r>
      </w:hyperlink>
      <w:r w:rsidR="00DC7DA8">
        <w:t xml:space="preserve"> </w:t>
      </w:r>
    </w:p>
    <w:p w14:paraId="585A6AB2" w14:textId="75C107B7" w:rsidR="00380C4A" w:rsidRPr="00737FA9" w:rsidRDefault="00380C4A" w:rsidP="00B8600F">
      <w:pPr>
        <w:spacing w:after="120"/>
        <w:rPr>
          <w:rFonts w:ascii="Verdana" w:hAnsi="Verdana"/>
          <w:i/>
          <w:sz w:val="20"/>
          <w:szCs w:val="20"/>
        </w:rPr>
      </w:pPr>
      <w:r w:rsidRPr="00737FA9">
        <w:rPr>
          <w:rFonts w:ascii="Verdana" w:hAnsi="Verdana"/>
          <w:i/>
          <w:sz w:val="20"/>
          <w:szCs w:val="20"/>
        </w:rPr>
        <w:t xml:space="preserve">7 August 2024, </w:t>
      </w:r>
      <w:r w:rsidR="00A83A97" w:rsidRPr="00A83A97">
        <w:rPr>
          <w:rFonts w:ascii="Verdana" w:hAnsi="Verdana"/>
          <w:i/>
          <w:sz w:val="20"/>
          <w:szCs w:val="20"/>
        </w:rPr>
        <w:t>REP/24/7/642</w:t>
      </w:r>
      <w:r w:rsidR="00A83A97">
        <w:rPr>
          <w:rFonts w:ascii="Verdana" w:hAnsi="Verdana"/>
          <w:i/>
          <w:sz w:val="20"/>
          <w:szCs w:val="20"/>
        </w:rPr>
        <w:t xml:space="preserve"> </w:t>
      </w:r>
      <w:r w:rsidRPr="00737FA9">
        <w:rPr>
          <w:rFonts w:ascii="Verdana" w:hAnsi="Verdana"/>
          <w:i/>
          <w:sz w:val="20"/>
          <w:szCs w:val="20"/>
        </w:rPr>
        <w:t>Confirming the scope of the child harm priority in the refreshed Child and Youth Strategy</w:t>
      </w:r>
    </w:p>
    <w:p w14:paraId="114301B8" w14:textId="0951ED1F" w:rsidR="00380C4A" w:rsidRPr="00737FA9" w:rsidRDefault="00380C4A" w:rsidP="00B8600F">
      <w:pPr>
        <w:spacing w:after="120"/>
        <w:rPr>
          <w:rFonts w:ascii="Verdana" w:hAnsi="Verdana"/>
          <w:i/>
          <w:sz w:val="20"/>
          <w:szCs w:val="20"/>
        </w:rPr>
      </w:pPr>
      <w:r w:rsidRPr="00737FA9">
        <w:rPr>
          <w:rFonts w:ascii="Verdana" w:hAnsi="Verdana"/>
          <w:i/>
          <w:sz w:val="20"/>
          <w:szCs w:val="20"/>
        </w:rPr>
        <w:t xml:space="preserve">14 August 2024, </w:t>
      </w:r>
      <w:r w:rsidR="00A83A97" w:rsidRPr="00A83A97">
        <w:rPr>
          <w:rFonts w:ascii="Verdana" w:hAnsi="Verdana"/>
          <w:i/>
          <w:sz w:val="20"/>
          <w:szCs w:val="20"/>
        </w:rPr>
        <w:t>REP/24/7/645</w:t>
      </w:r>
      <w:r w:rsidR="00A83A97">
        <w:rPr>
          <w:rFonts w:ascii="Verdana" w:hAnsi="Verdana"/>
          <w:i/>
          <w:sz w:val="20"/>
          <w:szCs w:val="20"/>
        </w:rPr>
        <w:t xml:space="preserve"> </w:t>
      </w:r>
      <w:r w:rsidRPr="00737FA9">
        <w:rPr>
          <w:rFonts w:ascii="Verdana" w:hAnsi="Verdana"/>
          <w:i/>
          <w:sz w:val="20"/>
          <w:szCs w:val="20"/>
        </w:rPr>
        <w:t>Child and Youth Strategy Refresh: Approach to measurement framework and public reporting indicators</w:t>
      </w:r>
    </w:p>
    <w:p w14:paraId="5DD0EC16" w14:textId="270278A2" w:rsidR="00380C4A" w:rsidRDefault="00380C4A" w:rsidP="00B8600F">
      <w:pPr>
        <w:spacing w:after="120"/>
        <w:rPr>
          <w:rFonts w:ascii="Verdana" w:hAnsi="Verdana"/>
          <w:i/>
          <w:sz w:val="20"/>
          <w:szCs w:val="20"/>
        </w:rPr>
      </w:pPr>
      <w:r w:rsidRPr="00737FA9">
        <w:rPr>
          <w:rFonts w:ascii="Verdana" w:hAnsi="Verdana"/>
          <w:i/>
          <w:sz w:val="20"/>
          <w:szCs w:val="20"/>
        </w:rPr>
        <w:t xml:space="preserve">21 August 2024, </w:t>
      </w:r>
      <w:r w:rsidR="00A83A97" w:rsidRPr="00A83A97">
        <w:rPr>
          <w:rFonts w:ascii="Verdana" w:hAnsi="Verdana"/>
          <w:i/>
          <w:sz w:val="20"/>
          <w:szCs w:val="20"/>
        </w:rPr>
        <w:t>REP/24/8/745</w:t>
      </w:r>
      <w:r w:rsidR="00A83A97">
        <w:rPr>
          <w:rFonts w:ascii="Verdana" w:hAnsi="Verdana"/>
          <w:i/>
          <w:sz w:val="20"/>
          <w:szCs w:val="20"/>
        </w:rPr>
        <w:t xml:space="preserve"> </w:t>
      </w:r>
      <w:r w:rsidRPr="00737FA9">
        <w:rPr>
          <w:rFonts w:ascii="Verdana" w:hAnsi="Verdana"/>
          <w:i/>
          <w:sz w:val="20"/>
          <w:szCs w:val="20"/>
        </w:rPr>
        <w:t>Confirming the priorities under the refreshed Child and Youth Strategy</w:t>
      </w:r>
    </w:p>
    <w:p w14:paraId="78EA36FD" w14:textId="77777777" w:rsidR="006D48EA" w:rsidRPr="00737FA9" w:rsidRDefault="006D48EA" w:rsidP="006D48EA">
      <w:pPr>
        <w:spacing w:after="120"/>
        <w:rPr>
          <w:rFonts w:ascii="Verdana" w:hAnsi="Verdana"/>
          <w:i/>
          <w:sz w:val="20"/>
          <w:szCs w:val="20"/>
        </w:rPr>
      </w:pPr>
      <w:r>
        <w:rPr>
          <w:rFonts w:ascii="Verdana" w:hAnsi="Verdana"/>
          <w:i/>
          <w:sz w:val="20"/>
          <w:szCs w:val="20"/>
        </w:rPr>
        <w:t xml:space="preserve">23 August 2024, </w:t>
      </w:r>
      <w:r w:rsidRPr="00A83A97">
        <w:rPr>
          <w:rFonts w:ascii="Verdana" w:hAnsi="Verdana"/>
          <w:i/>
          <w:sz w:val="20"/>
          <w:szCs w:val="20"/>
        </w:rPr>
        <w:t>REP/24/8/755</w:t>
      </w:r>
      <w:r>
        <w:rPr>
          <w:rFonts w:ascii="Verdana" w:hAnsi="Verdana"/>
          <w:i/>
          <w:sz w:val="20"/>
          <w:szCs w:val="20"/>
        </w:rPr>
        <w:t xml:space="preserve"> </w:t>
      </w:r>
      <w:r w:rsidRPr="00A83A97">
        <w:rPr>
          <w:rFonts w:ascii="Verdana" w:hAnsi="Verdana"/>
          <w:i/>
          <w:sz w:val="20"/>
          <w:szCs w:val="20"/>
        </w:rPr>
        <w:t xml:space="preserve">Advice on establishing an indicator of child </w:t>
      </w:r>
      <w:r>
        <w:rPr>
          <w:rFonts w:ascii="Verdana" w:hAnsi="Verdana"/>
          <w:i/>
          <w:sz w:val="20"/>
          <w:szCs w:val="20"/>
        </w:rPr>
        <w:t>abuse</w:t>
      </w:r>
      <w:r w:rsidRPr="00A83A97">
        <w:rPr>
          <w:rFonts w:ascii="Verdana" w:hAnsi="Verdana"/>
          <w:i/>
          <w:sz w:val="20"/>
          <w:szCs w:val="20"/>
        </w:rPr>
        <w:t xml:space="preserve"> as a CPRI</w:t>
      </w:r>
    </w:p>
    <w:p w14:paraId="15258591" w14:textId="24DAA570" w:rsidR="00380C4A" w:rsidRDefault="00380C4A" w:rsidP="00B8600F">
      <w:pPr>
        <w:spacing w:after="120"/>
        <w:rPr>
          <w:rFonts w:ascii="Verdana" w:hAnsi="Verdana"/>
          <w:i/>
          <w:sz w:val="20"/>
          <w:szCs w:val="20"/>
        </w:rPr>
      </w:pPr>
      <w:r w:rsidRPr="00737FA9">
        <w:rPr>
          <w:rFonts w:ascii="Verdana" w:hAnsi="Verdana"/>
          <w:i/>
          <w:sz w:val="20"/>
          <w:szCs w:val="20"/>
        </w:rPr>
        <w:t>2</w:t>
      </w:r>
      <w:r w:rsidR="004A11B0" w:rsidRPr="00737FA9">
        <w:rPr>
          <w:rFonts w:ascii="Verdana" w:hAnsi="Verdana"/>
          <w:i/>
          <w:sz w:val="20"/>
          <w:szCs w:val="20"/>
        </w:rPr>
        <w:t>2</w:t>
      </w:r>
      <w:r w:rsidRPr="00737FA9">
        <w:rPr>
          <w:rFonts w:ascii="Verdana" w:hAnsi="Verdana"/>
          <w:i/>
          <w:sz w:val="20"/>
          <w:szCs w:val="20"/>
        </w:rPr>
        <w:t xml:space="preserve"> August 2024,</w:t>
      </w:r>
      <w:r w:rsidR="00A83A97" w:rsidRPr="00A83A97">
        <w:t xml:space="preserve"> </w:t>
      </w:r>
      <w:r w:rsidR="00A83A97" w:rsidRPr="00A83A97">
        <w:rPr>
          <w:rFonts w:ascii="Verdana" w:hAnsi="Verdana"/>
          <w:i/>
          <w:sz w:val="20"/>
          <w:szCs w:val="20"/>
        </w:rPr>
        <w:t>REP/24/8/758</w:t>
      </w:r>
      <w:r w:rsidRPr="00737FA9">
        <w:rPr>
          <w:rFonts w:ascii="Verdana" w:hAnsi="Verdana"/>
          <w:i/>
          <w:sz w:val="20"/>
          <w:szCs w:val="20"/>
        </w:rPr>
        <w:t xml:space="preserve"> Positioning the Child and Youth Strategy as an investment framework</w:t>
      </w:r>
    </w:p>
    <w:p w14:paraId="44B9CC37" w14:textId="7F999D1B" w:rsidR="00380C4A" w:rsidRPr="00380C4A" w:rsidRDefault="00380C4A" w:rsidP="00B8600F">
      <w:pPr>
        <w:spacing w:after="120"/>
        <w:rPr>
          <w:rFonts w:ascii="Verdana" w:hAnsi="Verdana"/>
          <w:i/>
          <w:sz w:val="20"/>
          <w:szCs w:val="20"/>
        </w:rPr>
      </w:pPr>
      <w:r w:rsidRPr="00737FA9">
        <w:rPr>
          <w:rFonts w:ascii="Verdana" w:hAnsi="Verdana"/>
          <w:i/>
          <w:sz w:val="20"/>
          <w:szCs w:val="20"/>
        </w:rPr>
        <w:t xml:space="preserve">11 September 2024, </w:t>
      </w:r>
      <w:r w:rsidR="00A83A97" w:rsidRPr="00A83A97">
        <w:rPr>
          <w:rFonts w:ascii="Verdana" w:hAnsi="Verdana"/>
          <w:i/>
          <w:sz w:val="20"/>
          <w:szCs w:val="20"/>
        </w:rPr>
        <w:t>REP/24/9/837</w:t>
      </w:r>
      <w:r w:rsidR="00A83A97">
        <w:rPr>
          <w:rFonts w:ascii="Verdana" w:hAnsi="Verdana"/>
          <w:i/>
          <w:sz w:val="20"/>
          <w:szCs w:val="20"/>
        </w:rPr>
        <w:t xml:space="preserve"> </w:t>
      </w:r>
      <w:r w:rsidRPr="00737FA9">
        <w:rPr>
          <w:rFonts w:ascii="Verdana" w:hAnsi="Verdana"/>
          <w:i/>
          <w:sz w:val="20"/>
          <w:szCs w:val="20"/>
        </w:rPr>
        <w:t>Cover Briefing</w:t>
      </w:r>
      <w:r w:rsidR="009A57EC">
        <w:rPr>
          <w:rFonts w:ascii="Verdana" w:hAnsi="Verdana"/>
          <w:i/>
          <w:sz w:val="20"/>
          <w:szCs w:val="20"/>
        </w:rPr>
        <w:t xml:space="preserve"> -</w:t>
      </w:r>
      <w:r w:rsidRPr="00737FA9">
        <w:rPr>
          <w:rFonts w:ascii="Verdana" w:hAnsi="Verdana"/>
          <w:i/>
          <w:sz w:val="20"/>
          <w:szCs w:val="20"/>
        </w:rPr>
        <w:t xml:space="preserve"> Draft Cabinet paper</w:t>
      </w:r>
      <w:r w:rsidR="009A57EC">
        <w:rPr>
          <w:rFonts w:ascii="Verdana" w:hAnsi="Verdana"/>
          <w:i/>
          <w:sz w:val="20"/>
          <w:szCs w:val="20"/>
        </w:rPr>
        <w:t xml:space="preserve"> -</w:t>
      </w:r>
      <w:r w:rsidRPr="00737FA9">
        <w:rPr>
          <w:rFonts w:ascii="Verdana" w:hAnsi="Verdana"/>
          <w:i/>
          <w:sz w:val="20"/>
          <w:szCs w:val="20"/>
        </w:rPr>
        <w:t xml:space="preserve"> Refreshing the Child and Youth Strategy and associated measures.</w:t>
      </w:r>
    </w:p>
    <w:p w14:paraId="294E069A" w14:textId="77777777" w:rsidR="00B8600F" w:rsidRPr="00380C4A" w:rsidRDefault="00B8600F" w:rsidP="00380C4A">
      <w:pPr>
        <w:rPr>
          <w:rFonts w:ascii="Verdana" w:hAnsi="Verdana"/>
          <w:i/>
          <w:sz w:val="20"/>
          <w:szCs w:val="20"/>
        </w:rPr>
      </w:pPr>
    </w:p>
    <w:p w14:paraId="316002D6" w14:textId="0AC4B0BA" w:rsidR="00412144" w:rsidRPr="0016793D" w:rsidRDefault="00380C4A" w:rsidP="10501E9F">
      <w:pPr>
        <w:pStyle w:val="NormalWeb"/>
        <w:shd w:val="clear" w:color="auto" w:fill="FFFFFF" w:themeFill="background1"/>
        <w:spacing w:after="210"/>
        <w:rPr>
          <w:rFonts w:cs="Helvetica"/>
        </w:rPr>
      </w:pPr>
      <w:r w:rsidRPr="10501E9F">
        <w:rPr>
          <w:rFonts w:cs="Helvetica"/>
        </w:rPr>
        <w:t>This Cabinet paper seeks Cabinet approval to publish the refreshed Child and Youth Strategy</w:t>
      </w:r>
      <w:r w:rsidR="4B81EDBA" w:rsidRPr="10501E9F">
        <w:rPr>
          <w:rFonts w:cs="Helvetica"/>
        </w:rPr>
        <w:t>, notes the changes to the Child Poverty Related Indicators, and reports back to Cabinet on reviewing the child poverty reduction targets and measures.</w:t>
      </w:r>
      <w:r w:rsidR="3A5E1253" w:rsidRPr="10501E9F">
        <w:rPr>
          <w:rFonts w:cs="Helvetica"/>
        </w:rPr>
        <w:t xml:space="preserve"> The accompanying reports </w:t>
      </w:r>
      <w:r w:rsidR="44C8A657" w:rsidRPr="10501E9F">
        <w:rPr>
          <w:rFonts w:cs="Helvetica"/>
        </w:rPr>
        <w:t>set out the advice considered by the Minister in the development of the refreshed Strategy</w:t>
      </w:r>
      <w:r w:rsidR="7BADC24E" w:rsidRPr="10501E9F">
        <w:rPr>
          <w:rFonts w:cs="Helvetica"/>
        </w:rPr>
        <w:t xml:space="preserve"> and the updated Child Poverty Related Indicators.</w:t>
      </w:r>
    </w:p>
    <w:p w14:paraId="4B598AC2" w14:textId="20525FF9" w:rsidR="00A05C31" w:rsidRPr="0016793D" w:rsidRDefault="00623CE9" w:rsidP="00412144">
      <w:pPr>
        <w:pStyle w:val="NormalWeb"/>
        <w:shd w:val="clear" w:color="auto" w:fill="FFFFFF"/>
        <w:spacing w:after="210"/>
        <w:rPr>
          <w:rFonts w:cs="Helvetica"/>
          <w:szCs w:val="20"/>
        </w:rPr>
      </w:pPr>
      <w:r w:rsidRPr="0016793D">
        <w:rPr>
          <w:rFonts w:cs="Helvetica"/>
          <w:szCs w:val="20"/>
        </w:rPr>
        <w:lastRenderedPageBreak/>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codes used for this release:</w:t>
      </w:r>
      <w:r w:rsidR="00777027" w:rsidRPr="0016793D">
        <w:rPr>
          <w:rFonts w:cs="Helvetica"/>
          <w:szCs w:val="20"/>
        </w:rPr>
        <w:t xml:space="preserve"> </w:t>
      </w:r>
    </w:p>
    <w:p w14:paraId="3160B6EC" w14:textId="77777777" w:rsidR="0052783C" w:rsidRPr="00777027"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w:t>
      </w:r>
      <w:r w:rsidR="00777027">
        <w:rPr>
          <w:rFonts w:cs="Helvetica"/>
          <w:color w:val="333333"/>
          <w:szCs w:val="20"/>
        </w:rPr>
        <w:t xml:space="preserve"> -</w:t>
      </w:r>
      <w:r w:rsidRPr="0052783C">
        <w:rPr>
          <w:rFonts w:cs="Helvetica"/>
          <w:color w:val="333333"/>
          <w:szCs w:val="20"/>
        </w:rPr>
        <w:t xml:space="preserve"> </w:t>
      </w:r>
      <w:r w:rsidR="00865736">
        <w:rPr>
          <w:rFonts w:cs="Helvetica"/>
          <w:szCs w:val="20"/>
        </w:rPr>
        <w:t>the confidentiality of advice under active consideration</w:t>
      </w:r>
    </w:p>
    <w:p w14:paraId="66564264" w14:textId="5A8EB90C" w:rsidR="00777027" w:rsidRPr="0052783C" w:rsidRDefault="00777027" w:rsidP="00F744AA">
      <w:pPr>
        <w:pStyle w:val="NormalWeb"/>
        <w:numPr>
          <w:ilvl w:val="0"/>
          <w:numId w:val="2"/>
        </w:numPr>
        <w:shd w:val="clear" w:color="auto" w:fill="FFFFFF"/>
        <w:spacing w:after="0"/>
        <w:ind w:left="714" w:hanging="357"/>
        <w:rPr>
          <w:rFonts w:cs="Helvetica"/>
          <w:color w:val="333333"/>
          <w:szCs w:val="20"/>
        </w:rPr>
      </w:pPr>
      <w:r>
        <w:rPr>
          <w:rFonts w:cs="Helvetica"/>
          <w:szCs w:val="20"/>
        </w:rPr>
        <w:t>Section 9(2)(</w:t>
      </w:r>
      <w:r w:rsidR="00EC7063">
        <w:rPr>
          <w:rFonts w:cs="Helvetica"/>
          <w:szCs w:val="20"/>
        </w:rPr>
        <w:t>b)(ii)</w:t>
      </w:r>
      <w:r>
        <w:rPr>
          <w:rFonts w:cs="Helvetica"/>
          <w:szCs w:val="20"/>
        </w:rPr>
        <w:t xml:space="preserve"> – </w:t>
      </w:r>
      <w:r w:rsidR="00EC7063" w:rsidRPr="00760BAD">
        <w:rPr>
          <w:szCs w:val="20"/>
        </w:rPr>
        <w:t>to protect information which is subject to an obligation of confidence where making the information available would likely damage the public interest</w:t>
      </w:r>
    </w:p>
    <w:p w14:paraId="163DDB2F" w14:textId="1E6EFE6F" w:rsidR="0052783C" w:rsidRDefault="0052783C" w:rsidP="0FCB7FEE">
      <w:pPr>
        <w:pStyle w:val="NormalWeb"/>
        <w:numPr>
          <w:ilvl w:val="0"/>
          <w:numId w:val="2"/>
        </w:numPr>
        <w:shd w:val="clear" w:color="auto" w:fill="FFFFFF" w:themeFill="background1"/>
        <w:spacing w:after="0"/>
        <w:ind w:left="714" w:hanging="357"/>
        <w:rPr>
          <w:rFonts w:cs="Helvetica"/>
          <w:color w:val="333333"/>
        </w:rPr>
      </w:pPr>
      <w:r w:rsidRPr="10501E9F">
        <w:rPr>
          <w:rFonts w:cs="Helvetica"/>
          <w:color w:val="333333"/>
        </w:rPr>
        <w:t>Section 9(2)(h)</w:t>
      </w:r>
      <w:r w:rsidR="50102FEC" w:rsidRPr="10501E9F">
        <w:rPr>
          <w:rFonts w:cs="Helvetica"/>
          <w:color w:val="333333"/>
        </w:rPr>
        <w:t xml:space="preserve"> </w:t>
      </w:r>
      <w:r w:rsidR="50102FEC" w:rsidRPr="10501E9F">
        <w:rPr>
          <w:rFonts w:cs="Helvetica"/>
        </w:rPr>
        <w:t xml:space="preserve">– </w:t>
      </w:r>
      <w:r w:rsidR="18DA8ED0" w:rsidRPr="10501E9F">
        <w:rPr>
          <w:rFonts w:cs="Helvetica"/>
          <w:color w:val="333333"/>
        </w:rPr>
        <w:t>to maintain legal professional privilege</w:t>
      </w:r>
      <w:r w:rsidRPr="10501E9F">
        <w:rPr>
          <w:rFonts w:cs="Helvetica"/>
          <w:color w:val="333333"/>
        </w:rPr>
        <w:t>.</w:t>
      </w:r>
    </w:p>
    <w:p w14:paraId="68908B90" w14:textId="77777777" w:rsidR="006B2F47" w:rsidRDefault="006B2F47" w:rsidP="006B2F47">
      <w:pPr>
        <w:pStyle w:val="NormalWeb"/>
        <w:shd w:val="clear" w:color="auto" w:fill="FFFFFF"/>
        <w:spacing w:after="0"/>
        <w:ind w:left="714"/>
        <w:rPr>
          <w:rFonts w:cs="Helvetica"/>
          <w:color w:val="333333"/>
          <w:szCs w:val="20"/>
        </w:rPr>
      </w:pPr>
    </w:p>
    <w:p w14:paraId="0C46F240" w14:textId="2D775039" w:rsidR="004D6B3F" w:rsidRPr="00777027" w:rsidRDefault="004D6B3F" w:rsidP="00412144">
      <w:pPr>
        <w:pStyle w:val="NormalWeb"/>
        <w:shd w:val="clear" w:color="auto" w:fill="FFFFFF"/>
        <w:spacing w:after="210"/>
        <w:rPr>
          <w:rFonts w:cs="Helvetica"/>
          <w:szCs w:val="20"/>
        </w:rPr>
      </w:pPr>
      <w:r w:rsidRPr="00777027">
        <w:rPr>
          <w:rFonts w:cs="Helvetica"/>
          <w:szCs w:val="20"/>
        </w:rPr>
        <w:t>The following documents that accompanied the Cabinet paper are already public:</w:t>
      </w:r>
    </w:p>
    <w:p w14:paraId="2840A327" w14:textId="41075ED1" w:rsidR="00B8600F" w:rsidRDefault="00380C4A" w:rsidP="00534D70">
      <w:pPr>
        <w:pStyle w:val="NormalWeb"/>
        <w:numPr>
          <w:ilvl w:val="0"/>
          <w:numId w:val="1"/>
        </w:numPr>
        <w:shd w:val="clear" w:color="auto" w:fill="FFFFFF"/>
        <w:spacing w:after="0"/>
        <w:ind w:left="760" w:hanging="357"/>
        <w:rPr>
          <w:rFonts w:cs="Helvetica"/>
          <w:color w:val="333333"/>
          <w:szCs w:val="20"/>
        </w:rPr>
      </w:pPr>
      <w:r>
        <w:rPr>
          <w:rFonts w:cs="Helvetica"/>
          <w:szCs w:val="20"/>
        </w:rPr>
        <w:t>Child and Youth Strategy –</w:t>
      </w:r>
      <w:r w:rsidR="0080464B" w:rsidRPr="0080464B">
        <w:rPr>
          <w:rStyle w:val="Hyperlink"/>
          <w:rFonts w:ascii="Calibri" w:eastAsiaTheme="minorHAnsi" w:hAnsi="Calibri"/>
          <w:sz w:val="22"/>
          <w:szCs w:val="22"/>
        </w:rPr>
        <w:t>www.msd.govt.nz/documents/about-msd-and-our-work/child-youth-wellbeing/strategy-and-plan/the-child-and-youth-strategy-2024-27.pdf</w:t>
      </w:r>
      <w:r w:rsidR="00C82ABC">
        <w:t>.</w:t>
      </w:r>
      <w:r w:rsidR="00C82ABC" w:rsidRPr="00EC7063">
        <w:rPr>
          <w:rFonts w:cs="Helvetica"/>
          <w:szCs w:val="20"/>
          <w:highlight w:val="green"/>
        </w:rPr>
        <w:t xml:space="preserve"> </w:t>
      </w:r>
    </w:p>
    <w:p w14:paraId="79F027F9" w14:textId="77777777" w:rsidR="00534D70" w:rsidRPr="00534D70" w:rsidRDefault="00534D70" w:rsidP="00EC7063">
      <w:pPr>
        <w:pStyle w:val="NormalWeb"/>
        <w:shd w:val="clear" w:color="auto" w:fill="FFFFFF"/>
        <w:spacing w:after="0"/>
        <w:ind w:left="760"/>
        <w:rPr>
          <w:rFonts w:cs="Helvetica"/>
          <w:color w:val="333333"/>
          <w:szCs w:val="20"/>
        </w:rPr>
      </w:pPr>
    </w:p>
    <w:p w14:paraId="52BFD1A1" w14:textId="77777777" w:rsidR="006B2F47" w:rsidRDefault="00000000" w:rsidP="006B2F47">
      <w:pPr>
        <w:pStyle w:val="NormalWeb"/>
        <w:shd w:val="clear" w:color="auto" w:fill="FFFFFF"/>
        <w:spacing w:after="210"/>
        <w:rPr>
          <w:rFonts w:cs="Helvetica"/>
          <w:color w:val="333333"/>
          <w:szCs w:val="20"/>
        </w:rPr>
      </w:pPr>
      <w:hyperlink r:id="rId13" w:history="1">
        <w:r w:rsidR="006B2F47">
          <w:rPr>
            <w:rStyle w:val="Hyperlink"/>
            <w:rFonts w:cs="Helvetica"/>
            <w:i/>
            <w:iCs/>
            <w:color w:val="4C2C92"/>
            <w:szCs w:val="20"/>
          </w:rPr>
          <w:t>© Crown Copyright, Creative Commons Attribution 4.0 International (CC BY 4.0)</w:t>
        </w:r>
      </w:hyperlink>
    </w:p>
    <w:p w14:paraId="23D9EBC0" w14:textId="28F8084B" w:rsidR="00D31EE8" w:rsidRPr="0052783C" w:rsidRDefault="00412144" w:rsidP="0052783C">
      <w:pPr>
        <w:rPr>
          <w:rFonts w:ascii="Verdana" w:hAnsi="Verdana"/>
          <w:b/>
          <w:sz w:val="20"/>
          <w:szCs w:val="20"/>
        </w:rPr>
      </w:pPr>
      <w:r>
        <w:rPr>
          <w:rFonts w:ascii="Verdana" w:hAnsi="Verdana"/>
          <w:b/>
          <w:sz w:val="20"/>
          <w:szCs w:val="20"/>
        </w:rPr>
        <w:t>Search Tags:</w:t>
      </w:r>
      <w:r w:rsidR="00380C4A">
        <w:rPr>
          <w:rFonts w:ascii="Verdana" w:hAnsi="Verdana"/>
          <w:b/>
          <w:sz w:val="20"/>
          <w:szCs w:val="20"/>
        </w:rPr>
        <w:t xml:space="preserve"> Child and Youth Strategy, child poverty reduction, </w:t>
      </w:r>
      <w:r w:rsidR="31E3D0C1" w:rsidRPr="10501E9F">
        <w:rPr>
          <w:rFonts w:ascii="Verdana" w:hAnsi="Verdana"/>
          <w:b/>
          <w:bCs/>
          <w:sz w:val="20"/>
          <w:szCs w:val="20"/>
        </w:rPr>
        <w:t xml:space="preserve">material hardship, </w:t>
      </w:r>
      <w:r w:rsidR="00380C4A">
        <w:rPr>
          <w:rFonts w:ascii="Verdana" w:hAnsi="Verdana"/>
          <w:b/>
          <w:sz w:val="20"/>
          <w:szCs w:val="20"/>
        </w:rPr>
        <w:t>child poverty targets, child poverty related indicators, persistent poverty, children, youth</w:t>
      </w:r>
    </w:p>
    <w:sectPr w:rsidR="00D31EE8" w:rsidRPr="0052783C" w:rsidSect="00865736">
      <w:headerReference w:type="even" r:id="rId14"/>
      <w:headerReference w:type="default" r:id="rId15"/>
      <w:headerReference w:type="first" r:id="rId1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A814" w14:textId="77777777" w:rsidR="0004374D" w:rsidRDefault="0004374D" w:rsidP="00742F0A">
      <w:r>
        <w:separator/>
      </w:r>
    </w:p>
  </w:endnote>
  <w:endnote w:type="continuationSeparator" w:id="0">
    <w:p w14:paraId="2199B239" w14:textId="77777777" w:rsidR="0004374D" w:rsidRDefault="0004374D" w:rsidP="00742F0A">
      <w:r>
        <w:continuationSeparator/>
      </w:r>
    </w:p>
  </w:endnote>
  <w:endnote w:type="continuationNotice" w:id="1">
    <w:p w14:paraId="42BCB1BC" w14:textId="77777777" w:rsidR="0004374D" w:rsidRDefault="0004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E4CD" w14:textId="77777777" w:rsidR="0004374D" w:rsidRDefault="0004374D" w:rsidP="00742F0A">
      <w:r>
        <w:separator/>
      </w:r>
    </w:p>
  </w:footnote>
  <w:footnote w:type="continuationSeparator" w:id="0">
    <w:p w14:paraId="00A7A8E5" w14:textId="77777777" w:rsidR="0004374D" w:rsidRDefault="0004374D" w:rsidP="00742F0A">
      <w:r>
        <w:continuationSeparator/>
      </w:r>
    </w:p>
  </w:footnote>
  <w:footnote w:type="continuationNotice" w:id="1">
    <w:p w14:paraId="18FC481B" w14:textId="77777777" w:rsidR="0004374D" w:rsidRDefault="0004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3CDB" w14:textId="08661296" w:rsidR="00380C4A" w:rsidRDefault="00380C4A">
    <w:pPr>
      <w:pStyle w:val="Header"/>
    </w:pPr>
    <w:r>
      <w:rPr>
        <w:noProof/>
      </w:rPr>
      <mc:AlternateContent>
        <mc:Choice Requires="wps">
          <w:drawing>
            <wp:anchor distT="0" distB="0" distL="0" distR="0" simplePos="0" relativeHeight="251658241" behindDoc="0" locked="0" layoutInCell="1" allowOverlap="1" wp14:anchorId="4EE3BBDD" wp14:editId="59583BE0">
              <wp:simplePos x="635" y="635"/>
              <wp:positionH relativeFrom="page">
                <wp:align>center</wp:align>
              </wp:positionH>
              <wp:positionV relativeFrom="page">
                <wp:align>top</wp:align>
              </wp:positionV>
              <wp:extent cx="443865" cy="443865"/>
              <wp:effectExtent l="0" t="0" r="8890" b="16510"/>
              <wp:wrapNone/>
              <wp:docPr id="104874366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1DDFD" w14:textId="3AEE075B" w:rsidR="00380C4A" w:rsidRPr="00380C4A" w:rsidRDefault="00380C4A" w:rsidP="00380C4A">
                          <w:pPr>
                            <w:rPr>
                              <w:rFonts w:eastAsia="Calibri" w:cs="Calibri"/>
                              <w:noProof/>
                              <w:color w:val="000000"/>
                              <w:sz w:val="20"/>
                              <w:szCs w:val="20"/>
                            </w:rPr>
                          </w:pPr>
                          <w:r w:rsidRPr="00380C4A">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E3BBDD"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41DDFD" w14:textId="3AEE075B" w:rsidR="00380C4A" w:rsidRPr="00380C4A" w:rsidRDefault="00380C4A" w:rsidP="00380C4A">
                    <w:pPr>
                      <w:rPr>
                        <w:rFonts w:eastAsia="Calibri" w:cs="Calibri"/>
                        <w:noProof/>
                        <w:color w:val="000000"/>
                        <w:sz w:val="20"/>
                        <w:szCs w:val="20"/>
                      </w:rPr>
                    </w:pPr>
                    <w:r w:rsidRPr="00380C4A">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54B1" w14:textId="2D2227BB" w:rsidR="00380C4A" w:rsidRDefault="00380C4A">
    <w:pPr>
      <w:pStyle w:val="Header"/>
    </w:pPr>
    <w:r>
      <w:rPr>
        <w:noProof/>
      </w:rPr>
      <mc:AlternateContent>
        <mc:Choice Requires="wps">
          <w:drawing>
            <wp:anchor distT="0" distB="0" distL="0" distR="0" simplePos="0" relativeHeight="251658242" behindDoc="0" locked="0" layoutInCell="1" allowOverlap="1" wp14:anchorId="125B0C33" wp14:editId="15DAAD0F">
              <wp:simplePos x="914400" y="447675"/>
              <wp:positionH relativeFrom="page">
                <wp:align>center</wp:align>
              </wp:positionH>
              <wp:positionV relativeFrom="page">
                <wp:align>top</wp:align>
              </wp:positionV>
              <wp:extent cx="443865" cy="443865"/>
              <wp:effectExtent l="0" t="0" r="8890" b="16510"/>
              <wp:wrapNone/>
              <wp:docPr id="1114851021"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B1552" w14:textId="5687837A" w:rsidR="00380C4A" w:rsidRPr="00380C4A" w:rsidRDefault="00380C4A" w:rsidP="00380C4A">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5B0C33"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3B1552" w14:textId="5687837A" w:rsidR="00380C4A" w:rsidRPr="00380C4A" w:rsidRDefault="00380C4A" w:rsidP="00380C4A">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B555" w14:textId="7D298DEB" w:rsidR="00380C4A" w:rsidRDefault="00380C4A">
    <w:pPr>
      <w:pStyle w:val="Header"/>
    </w:pPr>
    <w:r>
      <w:rPr>
        <w:noProof/>
      </w:rPr>
      <mc:AlternateContent>
        <mc:Choice Requires="wps">
          <w:drawing>
            <wp:anchor distT="0" distB="0" distL="0" distR="0" simplePos="0" relativeHeight="251658240" behindDoc="0" locked="0" layoutInCell="1" allowOverlap="1" wp14:anchorId="3E367DB0" wp14:editId="0DEC7129">
              <wp:simplePos x="635" y="635"/>
              <wp:positionH relativeFrom="page">
                <wp:align>center</wp:align>
              </wp:positionH>
              <wp:positionV relativeFrom="page">
                <wp:align>top</wp:align>
              </wp:positionV>
              <wp:extent cx="443865" cy="443865"/>
              <wp:effectExtent l="0" t="0" r="8890" b="16510"/>
              <wp:wrapNone/>
              <wp:docPr id="16160080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0EDBC" w14:textId="047D35B1" w:rsidR="00380C4A" w:rsidRPr="00380C4A" w:rsidRDefault="00380C4A" w:rsidP="00380C4A">
                          <w:pPr>
                            <w:rPr>
                              <w:rFonts w:eastAsia="Calibri" w:cs="Calibri"/>
                              <w:noProof/>
                              <w:color w:val="000000"/>
                              <w:sz w:val="20"/>
                              <w:szCs w:val="20"/>
                            </w:rPr>
                          </w:pPr>
                          <w:r w:rsidRPr="00380C4A">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67DB0"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010EDBC" w14:textId="047D35B1" w:rsidR="00380C4A" w:rsidRPr="00380C4A" w:rsidRDefault="00380C4A" w:rsidP="00380C4A">
                    <w:pPr>
                      <w:rPr>
                        <w:rFonts w:eastAsia="Calibri" w:cs="Calibri"/>
                        <w:noProof/>
                        <w:color w:val="000000"/>
                        <w:sz w:val="20"/>
                        <w:szCs w:val="20"/>
                      </w:rPr>
                    </w:pPr>
                    <w:r w:rsidRPr="00380C4A">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83398414">
    <w:abstractNumId w:val="1"/>
  </w:num>
  <w:num w:numId="2" w16cid:durableId="1097024153">
    <w:abstractNumId w:val="4"/>
  </w:num>
  <w:num w:numId="3" w16cid:durableId="1855681637">
    <w:abstractNumId w:val="3"/>
  </w:num>
  <w:num w:numId="4" w16cid:durableId="1016034888">
    <w:abstractNumId w:val="0"/>
  </w:num>
  <w:num w:numId="5" w16cid:durableId="140151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4374D"/>
    <w:rsid w:val="000839A7"/>
    <w:rsid w:val="00093FDA"/>
    <w:rsid w:val="000D389C"/>
    <w:rsid w:val="001642BD"/>
    <w:rsid w:val="0016793D"/>
    <w:rsid w:val="00185AC5"/>
    <w:rsid w:val="00195045"/>
    <w:rsid w:val="001F6CF7"/>
    <w:rsid w:val="00202D7B"/>
    <w:rsid w:val="002A3F32"/>
    <w:rsid w:val="002E13E8"/>
    <w:rsid w:val="00352776"/>
    <w:rsid w:val="00380C4A"/>
    <w:rsid w:val="003A0A32"/>
    <w:rsid w:val="00412144"/>
    <w:rsid w:val="004512E3"/>
    <w:rsid w:val="00473B0B"/>
    <w:rsid w:val="004A11B0"/>
    <w:rsid w:val="004B7DCA"/>
    <w:rsid w:val="004D6B3F"/>
    <w:rsid w:val="0052783C"/>
    <w:rsid w:val="00532547"/>
    <w:rsid w:val="00534D70"/>
    <w:rsid w:val="00581796"/>
    <w:rsid w:val="00615E56"/>
    <w:rsid w:val="00623CE9"/>
    <w:rsid w:val="0069024A"/>
    <w:rsid w:val="006B2F47"/>
    <w:rsid w:val="006D48EA"/>
    <w:rsid w:val="00712E2C"/>
    <w:rsid w:val="00713AE5"/>
    <w:rsid w:val="00737FA9"/>
    <w:rsid w:val="00741856"/>
    <w:rsid w:val="00742F0A"/>
    <w:rsid w:val="00744091"/>
    <w:rsid w:val="00777027"/>
    <w:rsid w:val="007D1285"/>
    <w:rsid w:val="007F117E"/>
    <w:rsid w:val="007F4052"/>
    <w:rsid w:val="0080464B"/>
    <w:rsid w:val="00865736"/>
    <w:rsid w:val="008743E7"/>
    <w:rsid w:val="009652CA"/>
    <w:rsid w:val="009A57EC"/>
    <w:rsid w:val="009F0005"/>
    <w:rsid w:val="00A05C31"/>
    <w:rsid w:val="00A83A97"/>
    <w:rsid w:val="00AD6D2B"/>
    <w:rsid w:val="00B01C70"/>
    <w:rsid w:val="00B03E97"/>
    <w:rsid w:val="00B8600F"/>
    <w:rsid w:val="00BB63C8"/>
    <w:rsid w:val="00C82047"/>
    <w:rsid w:val="00C82ABC"/>
    <w:rsid w:val="00CC31FD"/>
    <w:rsid w:val="00D31EE8"/>
    <w:rsid w:val="00D44FC6"/>
    <w:rsid w:val="00D806BD"/>
    <w:rsid w:val="00DC7DA8"/>
    <w:rsid w:val="00E72B45"/>
    <w:rsid w:val="00EC7063"/>
    <w:rsid w:val="00EE0B0E"/>
    <w:rsid w:val="00F43C0B"/>
    <w:rsid w:val="00F744AA"/>
    <w:rsid w:val="00FB6CE3"/>
    <w:rsid w:val="00FC072D"/>
    <w:rsid w:val="0A9A8A87"/>
    <w:rsid w:val="0FCB7FEE"/>
    <w:rsid w:val="10501E9F"/>
    <w:rsid w:val="13746854"/>
    <w:rsid w:val="18DA8ED0"/>
    <w:rsid w:val="1D4677A2"/>
    <w:rsid w:val="21D1B08C"/>
    <w:rsid w:val="2D73B100"/>
    <w:rsid w:val="31E3D0C1"/>
    <w:rsid w:val="3A5E1253"/>
    <w:rsid w:val="44C8A657"/>
    <w:rsid w:val="4B81EDBA"/>
    <w:rsid w:val="4FDF5A2A"/>
    <w:rsid w:val="50102FEC"/>
    <w:rsid w:val="78ED0D7A"/>
    <w:rsid w:val="7BADC2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CommentReference">
    <w:name w:val="annotation reference"/>
    <w:basedOn w:val="DefaultParagraphFont"/>
    <w:uiPriority w:val="99"/>
    <w:semiHidden/>
    <w:unhideWhenUsed/>
    <w:rsid w:val="00380C4A"/>
    <w:rPr>
      <w:sz w:val="16"/>
      <w:szCs w:val="16"/>
    </w:rPr>
  </w:style>
  <w:style w:type="paragraph" w:styleId="CommentText">
    <w:name w:val="annotation text"/>
    <w:basedOn w:val="Normal"/>
    <w:link w:val="CommentTextChar"/>
    <w:uiPriority w:val="99"/>
    <w:unhideWhenUsed/>
    <w:rsid w:val="00380C4A"/>
    <w:rPr>
      <w:sz w:val="20"/>
      <w:szCs w:val="20"/>
    </w:rPr>
  </w:style>
  <w:style w:type="character" w:customStyle="1" w:styleId="CommentTextChar">
    <w:name w:val="Comment Text Char"/>
    <w:basedOn w:val="DefaultParagraphFont"/>
    <w:link w:val="CommentText"/>
    <w:uiPriority w:val="99"/>
    <w:rsid w:val="00380C4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0C4A"/>
    <w:rPr>
      <w:b/>
      <w:bCs/>
    </w:rPr>
  </w:style>
  <w:style w:type="character" w:customStyle="1" w:styleId="CommentSubjectChar">
    <w:name w:val="Comment Subject Char"/>
    <w:basedOn w:val="CommentTextChar"/>
    <w:link w:val="CommentSubject"/>
    <w:uiPriority w:val="99"/>
    <w:semiHidden/>
    <w:rsid w:val="00380C4A"/>
    <w:rPr>
      <w:rFonts w:ascii="Calibri" w:hAnsi="Calibri" w:cs="Times New Roman"/>
      <w:b/>
      <w:bCs/>
      <w:sz w:val="20"/>
      <w:szCs w:val="20"/>
    </w:rPr>
  </w:style>
  <w:style w:type="paragraph" w:styleId="Header">
    <w:name w:val="header"/>
    <w:basedOn w:val="Normal"/>
    <w:link w:val="HeaderChar"/>
    <w:uiPriority w:val="99"/>
    <w:unhideWhenUsed/>
    <w:rsid w:val="00380C4A"/>
    <w:pPr>
      <w:tabs>
        <w:tab w:val="center" w:pos="4513"/>
        <w:tab w:val="right" w:pos="9026"/>
      </w:tabs>
    </w:pPr>
  </w:style>
  <w:style w:type="character" w:customStyle="1" w:styleId="HeaderChar">
    <w:name w:val="Header Char"/>
    <w:basedOn w:val="DefaultParagraphFont"/>
    <w:link w:val="Header"/>
    <w:uiPriority w:val="99"/>
    <w:rsid w:val="00380C4A"/>
    <w:rPr>
      <w:rFonts w:ascii="Calibri" w:hAnsi="Calibri" w:cs="Times New Roman"/>
    </w:rPr>
  </w:style>
  <w:style w:type="paragraph" w:styleId="Footer">
    <w:name w:val="footer"/>
    <w:basedOn w:val="Normal"/>
    <w:link w:val="FooterChar"/>
    <w:uiPriority w:val="99"/>
    <w:unhideWhenUsed/>
    <w:rsid w:val="00CC31FD"/>
    <w:pPr>
      <w:tabs>
        <w:tab w:val="center" w:pos="4513"/>
        <w:tab w:val="right" w:pos="9026"/>
      </w:tabs>
    </w:pPr>
  </w:style>
  <w:style w:type="character" w:customStyle="1" w:styleId="FooterChar">
    <w:name w:val="Footer Char"/>
    <w:basedOn w:val="DefaultParagraphFont"/>
    <w:link w:val="Footer"/>
    <w:uiPriority w:val="99"/>
    <w:rsid w:val="00CC31FD"/>
    <w:rPr>
      <w:rFonts w:ascii="Calibri" w:hAnsi="Calibri" w:cs="Times New Roman"/>
    </w:rPr>
  </w:style>
  <w:style w:type="paragraph" w:styleId="Revision">
    <w:name w:val="Revision"/>
    <w:hidden/>
    <w:uiPriority w:val="99"/>
    <w:semiHidden/>
    <w:rsid w:val="004A11B0"/>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C82ABC"/>
    <w:rPr>
      <w:color w:val="800080" w:themeColor="followedHyperlink"/>
      <w:u w:val="single"/>
    </w:rPr>
  </w:style>
  <w:style w:type="character" w:styleId="UnresolvedMention">
    <w:name w:val="Unresolved Mention"/>
    <w:basedOn w:val="DefaultParagraphFont"/>
    <w:uiPriority w:val="99"/>
    <w:semiHidden/>
    <w:unhideWhenUsed/>
    <w:rsid w:val="00DC7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d.govt.nz/documents/about-msd-and-our-work/child-youth-wellbeing/strategy-and-plan/summary-of-engagment-refresh-of-the-child-and-youth-wellbeing-strateg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D3D866FCA5F499B582A6DF293B448" ma:contentTypeVersion="14" ma:contentTypeDescription="Create a new document." ma:contentTypeScope="" ma:versionID="b02e40440c93e7b453244720fb3088b5">
  <xsd:schema xmlns:xsd="http://www.w3.org/2001/XMLSchema" xmlns:xs="http://www.w3.org/2001/XMLSchema" xmlns:p="http://schemas.microsoft.com/office/2006/metadata/properties" xmlns:ns2="4a57a985-aa81-4266-b4c2-0c2852381230" xmlns:ns3="7942cd55-e0ad-40a5-9d45-23c8fa05cfe4" targetNamespace="http://schemas.microsoft.com/office/2006/metadata/properties" ma:root="true" ma:fieldsID="11503fa368d88d8ef8e61fd311cddfc2" ns2:_="" ns3:_="">
    <xsd:import namespace="4a57a985-aa81-4266-b4c2-0c2852381230"/>
    <xsd:import namespace="7942cd55-e0ad-40a5-9d45-23c8fa05cf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a985-aa81-4266-b4c2-0c28523812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f74d784-c0d4-4cfd-8cee-08ccc62dcb89}" ma:internalName="TaxCatchAll" ma:showField="CatchAllData" ma:web="4a57a985-aa81-4266-b4c2-0c285238123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2cd55-e0ad-40a5-9d45-23c8fa05cf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57a985-aa81-4266-b4c2-0c2852381230" xsi:nil="true"/>
    <lcf76f155ced4ddcb4097134ff3c332f xmlns="7942cd55-e0ad-40a5-9d45-23c8fa05cfe4">
      <Terms xmlns="http://schemas.microsoft.com/office/infopath/2007/PartnerControls"/>
    </lcf76f155ced4ddcb4097134ff3c332f>
    <_dlc_DocId xmlns="4a57a985-aa81-4266-b4c2-0c2852381230">INFO-183278388-841</_dlc_DocId>
    <_dlc_DocIdUrl xmlns="4a57a985-aa81-4266-b4c2-0c2852381230">
      <Url>https://msdgovtnz.sharepoint.com/sites/ORG-MSD-CWPRG/_layouts/15/DocIdRedir.aspx?ID=INFO-183278388-841</Url>
      <Description>INFO-183278388-841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D24E3E-B9DD-482B-9701-6D169C16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a985-aa81-4266-b4c2-0c2852381230"/>
    <ds:schemaRef ds:uri="7942cd55-e0ad-40a5-9d45-23c8fa05c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AA424-A585-4FEE-BE9E-2DBFA5BCC9A3}">
  <ds:schemaRefs>
    <ds:schemaRef ds:uri="http://schemas.microsoft.com/office/2006/metadata/properties"/>
    <ds:schemaRef ds:uri="http://schemas.microsoft.com/office/infopath/2007/PartnerControls"/>
    <ds:schemaRef ds:uri="4a57a985-aa81-4266-b4c2-0c2852381230"/>
    <ds:schemaRef ds:uri="7942cd55-e0ad-40a5-9d45-23c8fa05cfe4"/>
  </ds:schemaRefs>
</ds:datastoreItem>
</file>

<file path=customXml/itemProps3.xml><?xml version="1.0" encoding="utf-8"?>
<ds:datastoreItem xmlns:ds="http://schemas.openxmlformats.org/officeDocument/2006/customXml" ds:itemID="{40D75553-4229-448B-A6D9-6F921461AE95}">
  <ds:schemaRefs>
    <ds:schemaRef ds:uri="http://schemas.microsoft.com/sharepoint/v3/contenttype/forms"/>
  </ds:schemaRefs>
</ds:datastoreItem>
</file>

<file path=customXml/itemProps4.xml><?xml version="1.0" encoding="utf-8"?>
<ds:datastoreItem xmlns:ds="http://schemas.openxmlformats.org/officeDocument/2006/customXml" ds:itemID="{D18CE207-8897-423D-84E1-C4C8068383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8</cp:revision>
  <cp:lastPrinted>2019-04-05T01:22:00Z</cp:lastPrinted>
  <dcterms:created xsi:type="dcterms:W3CDTF">2024-11-11T20:27:00Z</dcterms:created>
  <dcterms:modified xsi:type="dcterms:W3CDTF">2024-12-03T20:46:00Z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9a1d528,3e828eed,427346cd</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2024-10-31T19:43:01Z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0925231d-65e3-46a2-bba3-aa4d654837f6</vt:lpwstr>
  </property>
  <property fmtid="{D5CDD505-2E9C-101B-9397-08002B2CF9AE}" pid="32" name="MSIP_Label_f43e46a9-9901-46e9-bfae-bb6189d4cb66_ContentBits">
    <vt:lpwstr>1</vt:lpwstr>
  </property>
  <property fmtid="{D5CDD505-2E9C-101B-9397-08002B2CF9AE}" pid="33" name="ContentTypeId">
    <vt:lpwstr>0x010100553D3D866FCA5F499B582A6DF293B448</vt:lpwstr>
  </property>
  <property fmtid="{D5CDD505-2E9C-101B-9397-08002B2CF9AE}" pid="34" name="_dlc_DocIdItemGuid">
    <vt:lpwstr>82ecd116-14fc-4767-9000-33da6ae16606</vt:lpwstr>
  </property>
  <property fmtid="{D5CDD505-2E9C-101B-9397-08002B2CF9AE}" pid="35" name="MediaServiceImageTags">
    <vt:lpwstr/>
  </property>
</Properties>
</file>