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E255" w14:textId="6F2B5C24" w:rsidR="00BB4758" w:rsidRDefault="00BB4758" w:rsidP="00BB4758">
      <w:pPr>
        <w:jc w:val="right"/>
      </w:pPr>
      <w:r>
        <w:t xml:space="preserve">Office of the </w:t>
      </w:r>
      <w:bookmarkStart w:id="0" w:name="bkmMinPort01"/>
      <w:r>
        <w:t>Minister for Social Development</w:t>
      </w:r>
      <w:bookmarkEnd w:id="0"/>
      <w:r w:rsidR="00CD4C33">
        <w:t xml:space="preserve"> and Employment</w:t>
      </w:r>
    </w:p>
    <w:p w14:paraId="38AFA0AF" w14:textId="77777777" w:rsidR="00BB4758" w:rsidRDefault="00BB4758" w:rsidP="00BB4758"/>
    <w:p w14:paraId="44B43031" w14:textId="77777777" w:rsidR="00BB4758" w:rsidRDefault="00BB4758" w:rsidP="00BB4758"/>
    <w:p w14:paraId="4FA9A0BD" w14:textId="77777777" w:rsidR="00BB4758" w:rsidRDefault="00BB4758" w:rsidP="00BB4758">
      <w:r>
        <w:t>Chair</w:t>
      </w:r>
    </w:p>
    <w:p w14:paraId="398863CD" w14:textId="44CBC2B9" w:rsidR="00BB4758" w:rsidRPr="000B57D8" w:rsidRDefault="00BB4758" w:rsidP="00BB4758">
      <w:r w:rsidRPr="000B57D8">
        <w:t xml:space="preserve">Cabinet </w:t>
      </w:r>
      <w:r w:rsidR="00C65D94" w:rsidRPr="000B57D8">
        <w:t>Social Wellbeing</w:t>
      </w:r>
      <w:r w:rsidR="00D0678D" w:rsidRPr="000B57D8">
        <w:t xml:space="preserve"> Committee</w:t>
      </w:r>
    </w:p>
    <w:p w14:paraId="2D5DC15F" w14:textId="3E2E4DB9" w:rsidR="00BB4758" w:rsidRPr="00CD4C33" w:rsidRDefault="00D14233" w:rsidP="00CD4C33">
      <w:pPr>
        <w:pStyle w:val="Heading1"/>
        <w:rPr>
          <w:lang w:val="en-US"/>
        </w:rPr>
      </w:pPr>
      <w:r w:rsidRPr="000B57D8">
        <w:t>Social Security (</w:t>
      </w:r>
      <w:r w:rsidR="00944AD4" w:rsidRPr="000B57D8">
        <w:t>Accommodation Supplement</w:t>
      </w:r>
      <w:r w:rsidRPr="000B57D8">
        <w:t>) Amendment Bill</w:t>
      </w:r>
      <w:r w:rsidR="00944AD4" w:rsidRPr="000B57D8">
        <w:t>: Approval for Introduction</w:t>
      </w:r>
    </w:p>
    <w:p w14:paraId="4CC7E6F4" w14:textId="77777777" w:rsidR="00BB4758" w:rsidRDefault="00BB4758" w:rsidP="00BB4758">
      <w:pPr>
        <w:pStyle w:val="Heading1"/>
      </w:pPr>
      <w:r>
        <w:t>Proposal</w:t>
      </w:r>
    </w:p>
    <w:p w14:paraId="1D8156F7" w14:textId="77777777" w:rsidR="00985E5A" w:rsidRDefault="0015714D" w:rsidP="0015714D">
      <w:pPr>
        <w:pStyle w:val="BodyText"/>
      </w:pPr>
      <w:bookmarkStart w:id="1" w:name="bkmCursorStart"/>
      <w:bookmarkEnd w:id="1"/>
      <w:r>
        <w:t xml:space="preserve">I seek Cabinet approval for the introduction of the </w:t>
      </w:r>
      <w:r w:rsidR="00D14233">
        <w:rPr>
          <w:i/>
          <w:iCs/>
        </w:rPr>
        <w:t>Social Security (</w:t>
      </w:r>
      <w:r w:rsidRPr="0015714D">
        <w:rPr>
          <w:i/>
        </w:rPr>
        <w:t>Accommodation Supplement</w:t>
      </w:r>
      <w:r w:rsidR="00D14233">
        <w:rPr>
          <w:i/>
        </w:rPr>
        <w:t>)</w:t>
      </w:r>
      <w:r w:rsidRPr="0015714D">
        <w:rPr>
          <w:i/>
        </w:rPr>
        <w:t xml:space="preserve"> Amendment Bill</w:t>
      </w:r>
      <w:r>
        <w:t xml:space="preserve"> (the Bill</w:t>
      </w:r>
      <w:r w:rsidR="00F634D6">
        <w:t>) and for the Bill to be passed under urgency</w:t>
      </w:r>
      <w:r>
        <w:t xml:space="preserve">. </w:t>
      </w:r>
    </w:p>
    <w:p w14:paraId="6022D863" w14:textId="00C3A189" w:rsidR="0015714D" w:rsidRPr="000B57D8" w:rsidRDefault="00856796" w:rsidP="0015714D">
      <w:pPr>
        <w:pStyle w:val="BodyText"/>
      </w:pPr>
      <w:r>
        <w:t xml:space="preserve">As was agreed by </w:t>
      </w:r>
      <w:r w:rsidR="00985E5A" w:rsidRPr="000B57D8">
        <w:t>Cabinet</w:t>
      </w:r>
      <w:r>
        <w:t xml:space="preserve"> </w:t>
      </w:r>
      <w:r w:rsidR="004031E2">
        <w:t>i</w:t>
      </w:r>
      <w:r>
        <w:t>n July 2022</w:t>
      </w:r>
      <w:r w:rsidR="00985E5A" w:rsidRPr="000B57D8">
        <w:t xml:space="preserve"> [CAB-22-MIN-0251], t</w:t>
      </w:r>
      <w:r w:rsidR="0015714D" w:rsidRPr="000B57D8">
        <w:t xml:space="preserve">he Bill </w:t>
      </w:r>
      <w:r w:rsidR="00985E5A" w:rsidRPr="000B57D8">
        <w:t>will amend</w:t>
      </w:r>
      <w:r w:rsidR="0015714D" w:rsidRPr="000B57D8">
        <w:t xml:space="preserve"> the Social Security Act 2018</w:t>
      </w:r>
      <w:r w:rsidR="00897413" w:rsidRPr="000B57D8">
        <w:t xml:space="preserve"> and Social Security Regulations</w:t>
      </w:r>
      <w:r w:rsidR="009F0835" w:rsidRPr="000B57D8">
        <w:t xml:space="preserve"> 2018</w:t>
      </w:r>
      <w:r w:rsidR="004E2702">
        <w:rPr>
          <w:rStyle w:val="FootnoteReference"/>
        </w:rPr>
        <w:footnoteReference w:id="1"/>
      </w:r>
      <w:r w:rsidR="0015714D" w:rsidRPr="000B57D8">
        <w:t xml:space="preserve"> to </w:t>
      </w:r>
      <w:r w:rsidR="00985E5A" w:rsidRPr="000B57D8">
        <w:t xml:space="preserve">recognise an individual, whose partner is in long-term residential care, as single for the purpose of calculating entitlement for Accommodation Supplement (AS). </w:t>
      </w:r>
    </w:p>
    <w:p w14:paraId="36BF5552" w14:textId="239656B0" w:rsidR="00BB4758" w:rsidRDefault="00BB4758" w:rsidP="00B141E1">
      <w:pPr>
        <w:pStyle w:val="BodyText"/>
        <w:numPr>
          <w:ilvl w:val="0"/>
          <w:numId w:val="4"/>
        </w:numPr>
        <w:ind w:left="493" w:hanging="493"/>
      </w:pPr>
      <w:r>
        <w:t xml:space="preserve">I propose this Bill is added to the </w:t>
      </w:r>
      <w:r w:rsidR="006576FB">
        <w:t>2022</w:t>
      </w:r>
      <w:r>
        <w:t xml:space="preserve"> Legislation Programme and passed with a category 2 priority (must be passed in </w:t>
      </w:r>
      <w:r w:rsidR="006576FB">
        <w:t>2022</w:t>
      </w:r>
      <w:r>
        <w:t xml:space="preserve">). </w:t>
      </w:r>
    </w:p>
    <w:p w14:paraId="6539060D" w14:textId="77777777" w:rsidR="00BB4758" w:rsidRDefault="00BB4758" w:rsidP="00BB4758">
      <w:pPr>
        <w:pStyle w:val="Heading1"/>
      </w:pPr>
      <w:r w:rsidRPr="005B6F5A">
        <w:t>Executive summary</w:t>
      </w:r>
      <w:r w:rsidRPr="00744B87">
        <w:t xml:space="preserve"> </w:t>
      </w:r>
    </w:p>
    <w:p w14:paraId="73A65B47" w14:textId="129884CF" w:rsidR="006576FB" w:rsidRPr="000B57D8" w:rsidRDefault="00AC049E" w:rsidP="006576FB">
      <w:pPr>
        <w:pStyle w:val="BodyText"/>
      </w:pPr>
      <w:r w:rsidRPr="000B57D8">
        <w:t>In the administration of the Accommodation Supplement (AS),</w:t>
      </w:r>
      <w:r w:rsidR="00935678" w:rsidRPr="000B57D8">
        <w:t xml:space="preserve"> </w:t>
      </w:r>
      <w:r w:rsidRPr="000B57D8">
        <w:t>MSD</w:t>
      </w:r>
      <w:r w:rsidR="00935678" w:rsidRPr="000B57D8">
        <w:t>’s</w:t>
      </w:r>
      <w:r w:rsidR="001E36CF" w:rsidRPr="000B57D8">
        <w:t xml:space="preserve"> longstanding</w:t>
      </w:r>
      <w:r w:rsidR="0035380E" w:rsidRPr="000B57D8">
        <w:t xml:space="preserve"> practice has been to </w:t>
      </w:r>
      <w:r w:rsidR="00935678" w:rsidRPr="000B57D8">
        <w:t xml:space="preserve">calculate the </w:t>
      </w:r>
      <w:r w:rsidR="001C4658" w:rsidRPr="000B57D8">
        <w:t xml:space="preserve">AS </w:t>
      </w:r>
      <w:r w:rsidR="00935678" w:rsidRPr="000B57D8">
        <w:t xml:space="preserve">benefit levels for </w:t>
      </w:r>
      <w:r w:rsidR="0035380E" w:rsidRPr="000B57D8">
        <w:t>individuals</w:t>
      </w:r>
      <w:r w:rsidR="00DD0632" w:rsidRPr="000B57D8">
        <w:t>,</w:t>
      </w:r>
      <w:r w:rsidR="0035380E" w:rsidRPr="000B57D8">
        <w:t xml:space="preserve"> whose partners </w:t>
      </w:r>
      <w:r w:rsidR="006576FB" w:rsidRPr="000B57D8">
        <w:t>are in</w:t>
      </w:r>
      <w:r w:rsidR="00CB092D" w:rsidRPr="000B57D8">
        <w:t xml:space="preserve"> </w:t>
      </w:r>
      <w:r w:rsidR="00743FBE" w:rsidRPr="000B57D8">
        <w:t xml:space="preserve">long-term </w:t>
      </w:r>
      <w:r w:rsidR="006576FB" w:rsidRPr="000B57D8">
        <w:t>residential car</w:t>
      </w:r>
      <w:r w:rsidR="00883488" w:rsidRPr="000B57D8">
        <w:t>e</w:t>
      </w:r>
      <w:r w:rsidR="00DD0632" w:rsidRPr="000B57D8">
        <w:t>,</w:t>
      </w:r>
      <w:r w:rsidR="00883488" w:rsidRPr="000B57D8">
        <w:t xml:space="preserve"> </w:t>
      </w:r>
      <w:r w:rsidR="001C4658" w:rsidRPr="000B57D8">
        <w:t xml:space="preserve">as </w:t>
      </w:r>
      <w:r w:rsidR="00D059D7" w:rsidRPr="000B57D8">
        <w:t>though they are single</w:t>
      </w:r>
      <w:r w:rsidR="006576FB" w:rsidRPr="000B57D8">
        <w:t xml:space="preserve">. </w:t>
      </w:r>
      <w:r w:rsidR="0035380E" w:rsidRPr="000B57D8">
        <w:t>This approach</w:t>
      </w:r>
      <w:r w:rsidR="00425665" w:rsidRPr="000B57D8">
        <w:t xml:space="preserve"> was based on the </w:t>
      </w:r>
      <w:r w:rsidR="0092225E" w:rsidRPr="000B57D8">
        <w:t xml:space="preserve">policy </w:t>
      </w:r>
      <w:r w:rsidR="00425665" w:rsidRPr="000B57D8">
        <w:t xml:space="preserve">rationale that the partner-in-care can no longer contribute towards existing accommodation costs. Their partner (or </w:t>
      </w:r>
      <w:r w:rsidR="0035380E" w:rsidRPr="000B57D8">
        <w:t>‘</w:t>
      </w:r>
      <w:r w:rsidR="00425665" w:rsidRPr="000B57D8">
        <w:t>community partner</w:t>
      </w:r>
      <w:r w:rsidR="0035380E" w:rsidRPr="000B57D8">
        <w:t>’</w:t>
      </w:r>
      <w:r w:rsidR="00425665" w:rsidRPr="000B57D8">
        <w:t xml:space="preserve">), meanwhile, </w:t>
      </w:r>
      <w:r w:rsidR="0035380E" w:rsidRPr="000B57D8">
        <w:t>still ha</w:t>
      </w:r>
      <w:r w:rsidR="00A1597C" w:rsidRPr="000B57D8">
        <w:t>s</w:t>
      </w:r>
      <w:r w:rsidR="00425665" w:rsidRPr="000B57D8">
        <w:t xml:space="preserve"> accommodation </w:t>
      </w:r>
      <w:r w:rsidR="0035380E" w:rsidRPr="000B57D8">
        <w:t>expenses</w:t>
      </w:r>
      <w:r w:rsidR="00425665" w:rsidRPr="000B57D8">
        <w:t xml:space="preserve"> but </w:t>
      </w:r>
      <w:r w:rsidR="00D059D7" w:rsidRPr="000B57D8">
        <w:t>has characteristics, such as income, that are more similar to a single person.</w:t>
      </w:r>
    </w:p>
    <w:p w14:paraId="223E8470" w14:textId="40372EAA" w:rsidR="00AC049E" w:rsidRPr="00FC3BD7" w:rsidRDefault="00AC049E" w:rsidP="00AC049E">
      <w:pPr>
        <w:pStyle w:val="BodyText"/>
      </w:pPr>
      <w:r w:rsidRPr="00FC3BD7">
        <w:t>This approach, however, is not consistent with legislation.</w:t>
      </w:r>
      <w:bookmarkStart w:id="2" w:name="_Hlk107486049"/>
      <w:r w:rsidRPr="00FC3BD7">
        <w:t xml:space="preserve"> </w:t>
      </w:r>
      <w:r w:rsidR="00425665" w:rsidRPr="00FC3BD7">
        <w:rPr>
          <w:rFonts w:cs="Arial"/>
        </w:rPr>
        <w:t xml:space="preserve">Previous attempts to </w:t>
      </w:r>
      <w:r w:rsidR="004031E2" w:rsidRPr="00FC3BD7">
        <w:rPr>
          <w:rFonts w:cs="Arial"/>
        </w:rPr>
        <w:t>align</w:t>
      </w:r>
      <w:r w:rsidR="00425665" w:rsidRPr="00FC3BD7">
        <w:rPr>
          <w:rFonts w:cs="Arial"/>
        </w:rPr>
        <w:t xml:space="preserve"> </w:t>
      </w:r>
      <w:r w:rsidR="00B84A91" w:rsidRPr="00FC3BD7">
        <w:rPr>
          <w:rFonts w:cs="Arial"/>
        </w:rPr>
        <w:t xml:space="preserve">legislation </w:t>
      </w:r>
      <w:r w:rsidR="00787205" w:rsidRPr="00FC3BD7">
        <w:rPr>
          <w:rFonts w:cs="Arial"/>
        </w:rPr>
        <w:t>with practice</w:t>
      </w:r>
      <w:r w:rsidR="00935678" w:rsidRPr="00FC3BD7">
        <w:rPr>
          <w:rFonts w:cs="Arial"/>
        </w:rPr>
        <w:t xml:space="preserve"> </w:t>
      </w:r>
      <w:r w:rsidR="00425665" w:rsidRPr="00FC3BD7">
        <w:rPr>
          <w:rFonts w:cs="Arial"/>
        </w:rPr>
        <w:t>were delayed due to COVID</w:t>
      </w:r>
      <w:r w:rsidRPr="00FC3BD7">
        <w:rPr>
          <w:rFonts w:cs="Arial"/>
        </w:rPr>
        <w:t xml:space="preserve">. </w:t>
      </w:r>
      <w:r w:rsidR="00FA76BD">
        <w:rPr>
          <w:rFonts w:cs="Arial"/>
        </w:rPr>
        <w:t xml:space="preserve">[Redacted content]. </w:t>
      </w:r>
    </w:p>
    <w:p w14:paraId="60321093" w14:textId="7BE6ADBC" w:rsidR="00787205" w:rsidRPr="00FC3BD7" w:rsidRDefault="00425665" w:rsidP="004521C2">
      <w:pPr>
        <w:pStyle w:val="BodyText"/>
      </w:pPr>
      <w:bookmarkStart w:id="3" w:name="_Hlk116572227"/>
      <w:r w:rsidRPr="00FC3BD7">
        <w:rPr>
          <w:rFonts w:cs="Arial"/>
        </w:rPr>
        <w:t xml:space="preserve">In the preparation of the </w:t>
      </w:r>
      <w:r w:rsidR="005358CC" w:rsidRPr="00FC3BD7">
        <w:rPr>
          <w:rFonts w:cs="Arial"/>
        </w:rPr>
        <w:t>RSB</w:t>
      </w:r>
      <w:r w:rsidRPr="00FC3BD7">
        <w:rPr>
          <w:rFonts w:cs="Arial"/>
        </w:rPr>
        <w:t xml:space="preserve">, </w:t>
      </w:r>
      <w:bookmarkEnd w:id="2"/>
      <w:r w:rsidR="006576FB" w:rsidRPr="00FC3BD7">
        <w:rPr>
          <w:rFonts w:cs="Arial"/>
        </w:rPr>
        <w:t>unappropriated expenditure under the Public Finance Act</w:t>
      </w:r>
      <w:r w:rsidR="00935678" w:rsidRPr="00FC3BD7">
        <w:rPr>
          <w:rFonts w:cs="Arial"/>
        </w:rPr>
        <w:t xml:space="preserve"> 1989</w:t>
      </w:r>
      <w:r w:rsidR="006576FB" w:rsidRPr="00FC3BD7">
        <w:rPr>
          <w:rFonts w:cs="Arial"/>
        </w:rPr>
        <w:t xml:space="preserve"> (PFA) </w:t>
      </w:r>
      <w:r w:rsidR="00AC049E" w:rsidRPr="00FC3BD7">
        <w:rPr>
          <w:rFonts w:cs="Arial"/>
        </w:rPr>
        <w:t>was identified</w:t>
      </w:r>
      <w:r w:rsidRPr="00FC3BD7">
        <w:rPr>
          <w:rFonts w:cs="Arial"/>
        </w:rPr>
        <w:t xml:space="preserve"> </w:t>
      </w:r>
      <w:r w:rsidR="006576FB" w:rsidRPr="00FC3BD7">
        <w:rPr>
          <w:rFonts w:cs="Arial"/>
        </w:rPr>
        <w:t xml:space="preserve">because the rate of AS </w:t>
      </w:r>
      <w:r w:rsidR="004B3941" w:rsidRPr="00FC3BD7">
        <w:rPr>
          <w:rFonts w:cs="Arial"/>
        </w:rPr>
        <w:t>paid fell outside the scope of</w:t>
      </w:r>
      <w:r w:rsidR="006576FB" w:rsidRPr="00FC3BD7">
        <w:rPr>
          <w:rFonts w:cs="Arial"/>
        </w:rPr>
        <w:t xml:space="preserve"> legislation</w:t>
      </w:r>
      <w:r w:rsidR="00A03291" w:rsidRPr="00FC3BD7">
        <w:rPr>
          <w:rFonts w:cs="Arial"/>
        </w:rPr>
        <w:t>.</w:t>
      </w:r>
      <w:r w:rsidR="00AC049E" w:rsidRPr="00FC3BD7">
        <w:rPr>
          <w:rFonts w:cs="Arial"/>
        </w:rPr>
        <w:t xml:space="preserve"> </w:t>
      </w:r>
      <w:r w:rsidR="00AC049E" w:rsidRPr="00FC3BD7">
        <w:t xml:space="preserve">Treasury, Audit New Zealand, and the Office of the Auditor-General (the OAG) </w:t>
      </w:r>
      <w:r w:rsidR="00856796" w:rsidRPr="00FC3BD7">
        <w:t xml:space="preserve">have been informed </w:t>
      </w:r>
      <w:r w:rsidR="00AC049E" w:rsidRPr="00FC3BD7">
        <w:t>of the issue.</w:t>
      </w:r>
      <w:r w:rsidR="00856796" w:rsidRPr="00FC3BD7">
        <w:t xml:space="preserve"> </w:t>
      </w:r>
      <w:r w:rsidR="00AC049E" w:rsidRPr="00FC3BD7">
        <w:t xml:space="preserve">MSD has taken steps to remedy the </w:t>
      </w:r>
      <w:r w:rsidR="00856796" w:rsidRPr="00FC3BD7">
        <w:t>situation</w:t>
      </w:r>
      <w:r w:rsidR="00AB1195" w:rsidRPr="00FC3BD7">
        <w:t xml:space="preserve">, including </w:t>
      </w:r>
      <w:r w:rsidR="00AC049E" w:rsidRPr="00FC3BD7">
        <w:t>providing the necessary inputs to the Treasury-led process to validate the unappropriated expenditure via an Appropriation Act under section 26C of the PFA</w:t>
      </w:r>
      <w:r w:rsidR="00AB1195" w:rsidRPr="00FC3BD7">
        <w:t>.</w:t>
      </w:r>
    </w:p>
    <w:p w14:paraId="385C4EA5" w14:textId="03222BC6" w:rsidR="00A72E37" w:rsidRDefault="000D3621" w:rsidP="00DD0632">
      <w:pPr>
        <w:pStyle w:val="BodyText"/>
      </w:pPr>
      <w:r w:rsidRPr="00FC3BD7">
        <w:t>L</w:t>
      </w:r>
      <w:r w:rsidR="00DD0632" w:rsidRPr="00FC3BD7">
        <w:t xml:space="preserve">egislation still must be amended urgently to ensure New Zealanders, specifically community partners, lawfully receive </w:t>
      </w:r>
      <w:r w:rsidR="000B57D8" w:rsidRPr="00FC3BD7">
        <w:t>an appropriate rate of</w:t>
      </w:r>
      <w:r w:rsidR="00DD0632" w:rsidRPr="00FC3BD7">
        <w:t xml:space="preserve"> AS without disruption.</w:t>
      </w:r>
      <w:r w:rsidR="00DD0632" w:rsidRPr="000B57D8">
        <w:t xml:space="preserve"> The </w:t>
      </w:r>
      <w:r w:rsidR="00DD0632" w:rsidRPr="000B57D8">
        <w:rPr>
          <w:i/>
          <w:iCs/>
        </w:rPr>
        <w:t>Social Security (</w:t>
      </w:r>
      <w:r w:rsidR="00DD0632" w:rsidRPr="000B57D8">
        <w:rPr>
          <w:i/>
        </w:rPr>
        <w:t>Accommodation Supplement) Amendment Bill</w:t>
      </w:r>
      <w:r w:rsidR="00DD0632" w:rsidRPr="000B57D8">
        <w:t xml:space="preserve"> seeks to address this issue with the intent to align </w:t>
      </w:r>
      <w:r w:rsidR="0092225E" w:rsidRPr="000B57D8">
        <w:t xml:space="preserve">legislation with </w:t>
      </w:r>
      <w:r w:rsidR="00DD0632" w:rsidRPr="000B57D8">
        <w:t xml:space="preserve">current practice and </w:t>
      </w:r>
      <w:r w:rsidR="0092225E" w:rsidRPr="000B57D8">
        <w:t>the original policy intent of the AS</w:t>
      </w:r>
      <w:r w:rsidR="00154003" w:rsidRPr="000B57D8">
        <w:t>.</w:t>
      </w:r>
    </w:p>
    <w:p w14:paraId="27B962BE" w14:textId="74D6ACEE" w:rsidR="00AB1195" w:rsidRPr="001D5176" w:rsidRDefault="00AB1195" w:rsidP="00DD0632">
      <w:pPr>
        <w:pStyle w:val="BodyText"/>
      </w:pPr>
      <w:bookmarkStart w:id="4" w:name="_Hlk116627821"/>
      <w:r w:rsidRPr="001D5176">
        <w:t xml:space="preserve">This change, however, will </w:t>
      </w:r>
      <w:r w:rsidR="000D3621" w:rsidRPr="001D5176">
        <w:t>produce a cost to the Crown</w:t>
      </w:r>
      <w:r w:rsidR="007B115D" w:rsidRPr="001D5176">
        <w:t xml:space="preserve">, as community </w:t>
      </w:r>
      <w:proofErr w:type="gramStart"/>
      <w:r w:rsidR="007B115D" w:rsidRPr="001D5176">
        <w:t>partners’</w:t>
      </w:r>
      <w:proofErr w:type="gramEnd"/>
      <w:r w:rsidR="000E0A5D" w:rsidRPr="001D5176">
        <w:t xml:space="preserve"> </w:t>
      </w:r>
      <w:r w:rsidR="000D3621" w:rsidRPr="001D5176">
        <w:t xml:space="preserve">AS benefit rates </w:t>
      </w:r>
      <w:r w:rsidR="007B115D" w:rsidRPr="001D5176">
        <w:t>would increase</w:t>
      </w:r>
      <w:r w:rsidR="00D44AA2" w:rsidRPr="001D5176">
        <w:t xml:space="preserve"> relative to the level consistent with the current law</w:t>
      </w:r>
      <w:r w:rsidR="000D3621" w:rsidRPr="001D5176">
        <w:t>. Cabinet’s approval, therefore, is sought for</w:t>
      </w:r>
      <w:r w:rsidR="00D44AA2" w:rsidRPr="001D5176">
        <w:t xml:space="preserve"> an appropriation </w:t>
      </w:r>
      <w:r w:rsidR="000D3621" w:rsidRPr="001D5176">
        <w:t xml:space="preserve">change and to charge </w:t>
      </w:r>
      <w:r w:rsidR="00D44AA2" w:rsidRPr="001D5176">
        <w:t xml:space="preserve">the </w:t>
      </w:r>
      <w:r w:rsidR="000D3621" w:rsidRPr="001D5176">
        <w:t>expense</w:t>
      </w:r>
      <w:r w:rsidR="000E0A5D" w:rsidRPr="001D5176">
        <w:t xml:space="preserve"> </w:t>
      </w:r>
      <w:r w:rsidR="000D3621" w:rsidRPr="001D5176">
        <w:t>against the between-Budget contingenc</w:t>
      </w:r>
      <w:r w:rsidR="00D44AA2" w:rsidRPr="001D5176">
        <w:t>y</w:t>
      </w:r>
      <w:r w:rsidR="000E0A5D" w:rsidRPr="001D5176">
        <w:t>.</w:t>
      </w:r>
    </w:p>
    <w:bookmarkEnd w:id="3"/>
    <w:bookmarkEnd w:id="4"/>
    <w:p w14:paraId="4841E6EF" w14:textId="308879FD" w:rsidR="00BB4758" w:rsidRPr="000B57D8" w:rsidRDefault="00B9422E" w:rsidP="009547E1">
      <w:pPr>
        <w:pStyle w:val="Heading1"/>
        <w:tabs>
          <w:tab w:val="center" w:pos="4819"/>
        </w:tabs>
      </w:pPr>
      <w:r w:rsidRPr="000B57D8">
        <w:t>Policy</w:t>
      </w:r>
      <w:r w:rsidR="009547E1" w:rsidRPr="000B57D8">
        <w:tab/>
      </w:r>
    </w:p>
    <w:p w14:paraId="2569DA79" w14:textId="577CA285" w:rsidR="006C7FA3" w:rsidRPr="000B57D8" w:rsidRDefault="006C7FA3" w:rsidP="0035380E">
      <w:pPr>
        <w:pStyle w:val="BodyText"/>
      </w:pPr>
      <w:r w:rsidRPr="000B57D8">
        <w:t>The Accommodation Supplement</w:t>
      </w:r>
      <w:r w:rsidR="00165F9A" w:rsidRPr="000B57D8">
        <w:t xml:space="preserve"> (AS)</w:t>
      </w:r>
      <w:r w:rsidRPr="000B57D8">
        <w:t xml:space="preserve"> is a weekly payment which helps </w:t>
      </w:r>
      <w:r w:rsidR="004521C2">
        <w:t xml:space="preserve">low-income </w:t>
      </w:r>
      <w:r w:rsidRPr="000B57D8">
        <w:t xml:space="preserve">people with their rent, board, or the cost of owning a home. </w:t>
      </w:r>
      <w:r w:rsidR="00B9422E" w:rsidRPr="000B57D8">
        <w:t>Several criteria are used to assess an individual’s eligibility and</w:t>
      </w:r>
      <w:r w:rsidR="0081710E" w:rsidRPr="000B57D8">
        <w:t xml:space="preserve"> maximum benefit</w:t>
      </w:r>
      <w:r w:rsidR="005851E6" w:rsidRPr="000B57D8">
        <w:t xml:space="preserve"> rates</w:t>
      </w:r>
      <w:r w:rsidR="0081710E" w:rsidRPr="000B57D8">
        <w:t xml:space="preserve"> they are entitled to receive</w:t>
      </w:r>
      <w:r w:rsidR="00165F9A" w:rsidRPr="000B57D8">
        <w:t xml:space="preserve">. </w:t>
      </w:r>
      <w:r w:rsidR="00B9422E" w:rsidRPr="000B57D8">
        <w:t xml:space="preserve">Relationship status is </w:t>
      </w:r>
      <w:r w:rsidR="00DD0632" w:rsidRPr="000B57D8">
        <w:t>one</w:t>
      </w:r>
      <w:r w:rsidR="00B9422E" w:rsidRPr="000B57D8">
        <w:t xml:space="preserve"> criterion</w:t>
      </w:r>
      <w:r w:rsidR="00165F9A" w:rsidRPr="000B57D8">
        <w:t xml:space="preserve"> since couples share the cost of accommodation while a single person is responsible for covering the entire amount.  </w:t>
      </w:r>
    </w:p>
    <w:p w14:paraId="3BE9C1E8" w14:textId="36C541A4" w:rsidR="00856796" w:rsidRDefault="00856796" w:rsidP="00856796">
      <w:pPr>
        <w:pStyle w:val="BodyText"/>
        <w:rPr>
          <w:lang w:eastAsia="en-NZ"/>
        </w:rPr>
      </w:pPr>
      <w:r>
        <w:rPr>
          <w:lang w:eastAsia="en-NZ"/>
        </w:rPr>
        <w:t xml:space="preserve">In situations where one partner is in long-term residential care (referred to as ‘partner-in-care’) and the other remains in the community (referred to as ‘community partner’), MSD currently treats the latter as though they are single for the purposes of </w:t>
      </w:r>
      <w:r w:rsidRPr="00856796">
        <w:rPr>
          <w:lang w:eastAsia="en-NZ"/>
        </w:rPr>
        <w:t>calculating the rate of AS</w:t>
      </w:r>
      <w:r>
        <w:rPr>
          <w:lang w:eastAsia="en-NZ"/>
        </w:rPr>
        <w:t>. The policy rationale for this is because the partner-in-care can no longer contribute towards existing accommodation costs. This approach</w:t>
      </w:r>
      <w:r w:rsidR="004031E2">
        <w:rPr>
          <w:lang w:eastAsia="en-NZ"/>
        </w:rPr>
        <w:t xml:space="preserve"> </w:t>
      </w:r>
      <w:r>
        <w:rPr>
          <w:lang w:eastAsia="en-NZ"/>
        </w:rPr>
        <w:t xml:space="preserve">lowers the community partner’s entry threshold and, therefore, makes them eligible for an AS rate equal to a ‘single person’, which is often to their benefit. </w:t>
      </w:r>
    </w:p>
    <w:p w14:paraId="11C0BF65" w14:textId="37BB7653" w:rsidR="00856796" w:rsidRPr="00A83CCF" w:rsidRDefault="00856796" w:rsidP="00B84A91">
      <w:pPr>
        <w:pStyle w:val="BodyTextlevel2"/>
        <w:rPr>
          <w:lang w:eastAsia="en-NZ"/>
        </w:rPr>
      </w:pPr>
      <w:r>
        <w:rPr>
          <w:lang w:eastAsia="en-NZ"/>
        </w:rPr>
        <w:t xml:space="preserve">While MSD calculates the rate of entitlement for the AS </w:t>
      </w:r>
      <w:proofErr w:type="spellStart"/>
      <w:r>
        <w:rPr>
          <w:lang w:eastAsia="en-NZ"/>
        </w:rPr>
        <w:t>as</w:t>
      </w:r>
      <w:proofErr w:type="spellEnd"/>
      <w:r>
        <w:rPr>
          <w:lang w:eastAsia="en-NZ"/>
        </w:rPr>
        <w:t xml:space="preserve"> though the community partner is single, the Ministry continues to apply the cash asset threshold of a couple. This does </w:t>
      </w:r>
      <w:r w:rsidRPr="00A83CCF">
        <w:rPr>
          <w:lang w:eastAsia="en-NZ"/>
        </w:rPr>
        <w:t xml:space="preserve">not change the rate of payment that is eligible to the community partner, but it recognises the difficulty of distinguishing cash assets between individual partners. </w:t>
      </w:r>
    </w:p>
    <w:p w14:paraId="0801563A" w14:textId="1D2E7C74" w:rsidR="00FC76A8" w:rsidRPr="00FC3BD7" w:rsidRDefault="004B1038" w:rsidP="00ED2637">
      <w:pPr>
        <w:pStyle w:val="BodyText"/>
        <w:rPr>
          <w:rFonts w:eastAsiaTheme="minorEastAsia"/>
        </w:rPr>
      </w:pPr>
      <w:r w:rsidRPr="00A83CCF">
        <w:rPr>
          <w:rFonts w:eastAsiaTheme="minorEastAsia"/>
        </w:rPr>
        <w:t>App</w:t>
      </w:r>
      <w:r>
        <w:rPr>
          <w:rFonts w:eastAsiaTheme="minorEastAsia"/>
        </w:rPr>
        <w:t>roximately</w:t>
      </w:r>
      <w:r w:rsidR="00FC76A8">
        <w:rPr>
          <w:rFonts w:eastAsiaTheme="minorEastAsia"/>
        </w:rPr>
        <w:t xml:space="preserve"> 30</w:t>
      </w:r>
      <w:r>
        <w:rPr>
          <w:rFonts w:eastAsiaTheme="minorEastAsia"/>
        </w:rPr>
        <w:t>0</w:t>
      </w:r>
      <w:r w:rsidR="00FC76A8">
        <w:rPr>
          <w:rFonts w:eastAsiaTheme="minorEastAsia"/>
        </w:rPr>
        <w:t xml:space="preserve"> New Zealanders</w:t>
      </w:r>
      <w:r w:rsidR="00CD6FC6">
        <w:rPr>
          <w:rFonts w:eastAsiaTheme="minorEastAsia"/>
        </w:rPr>
        <w:t xml:space="preserve"> are</w:t>
      </w:r>
      <w:r w:rsidR="00FC76A8">
        <w:rPr>
          <w:rFonts w:eastAsiaTheme="minorEastAsia"/>
        </w:rPr>
        <w:t xml:space="preserve"> </w:t>
      </w:r>
      <w:r w:rsidR="00DD0632">
        <w:rPr>
          <w:rFonts w:eastAsiaTheme="minorEastAsia"/>
        </w:rPr>
        <w:t xml:space="preserve">currently </w:t>
      </w:r>
      <w:r w:rsidR="00FC76A8">
        <w:rPr>
          <w:rFonts w:eastAsiaTheme="minorEastAsia"/>
        </w:rPr>
        <w:t xml:space="preserve">receiving AS </w:t>
      </w:r>
      <w:proofErr w:type="spellStart"/>
      <w:r w:rsidR="00FC76A8">
        <w:rPr>
          <w:rFonts w:eastAsiaTheme="minorEastAsia"/>
        </w:rPr>
        <w:t>as</w:t>
      </w:r>
      <w:proofErr w:type="spellEnd"/>
      <w:r w:rsidR="00FC76A8">
        <w:rPr>
          <w:rFonts w:eastAsiaTheme="minorEastAsia"/>
        </w:rPr>
        <w:t xml:space="preserve"> a community partner</w:t>
      </w:r>
      <w:r w:rsidR="004031E2">
        <w:rPr>
          <w:rFonts w:eastAsiaTheme="minorEastAsia"/>
        </w:rPr>
        <w:t>. They</w:t>
      </w:r>
      <w:r w:rsidR="00FC76A8" w:rsidRPr="00ED2637">
        <w:rPr>
          <w:rFonts w:eastAsiaTheme="minorEastAsia"/>
        </w:rPr>
        <w:t xml:space="preserve"> are predominately in receipt of either New Zealand Superannuation or a Veterans Pension and, as such, are likely to be on fixed, limited incomes</w:t>
      </w:r>
      <w:r w:rsidR="00FC76A8" w:rsidRPr="00FC3BD7">
        <w:rPr>
          <w:rFonts w:eastAsiaTheme="minorEastAsia"/>
        </w:rPr>
        <w:t xml:space="preserve">. </w:t>
      </w:r>
      <w:r w:rsidR="00FA76BD">
        <w:rPr>
          <w:rFonts w:cs="Arial"/>
        </w:rPr>
        <w:t>[Redacted content]</w:t>
      </w:r>
      <w:r w:rsidR="00FA76BD">
        <w:rPr>
          <w:rFonts w:cs="Arial"/>
        </w:rPr>
        <w:t>.</w:t>
      </w:r>
    </w:p>
    <w:p w14:paraId="742A773D" w14:textId="1B5B4DD7" w:rsidR="00AD40FB" w:rsidRPr="00FC3BD7" w:rsidRDefault="0035380E" w:rsidP="00AD40FB">
      <w:pPr>
        <w:pStyle w:val="BodyText"/>
      </w:pPr>
      <w:r w:rsidRPr="00FC3BD7">
        <w:t>Advice given f</w:t>
      </w:r>
      <w:r w:rsidR="00835633" w:rsidRPr="00FC3BD7">
        <w:t>or</w:t>
      </w:r>
      <w:r w:rsidRPr="00FC3BD7">
        <w:t xml:space="preserve"> </w:t>
      </w:r>
      <w:r w:rsidR="00731BD6" w:rsidRPr="00FC3BD7">
        <w:t>a</w:t>
      </w:r>
      <w:r w:rsidR="000A47D6" w:rsidRPr="00FC3BD7">
        <w:t xml:space="preserve"> </w:t>
      </w:r>
      <w:r w:rsidRPr="00FC3BD7">
        <w:t>R</w:t>
      </w:r>
      <w:r w:rsidR="00AD40FB" w:rsidRPr="00FC3BD7">
        <w:t xml:space="preserve">eview of </w:t>
      </w:r>
      <w:r w:rsidRPr="00FC3BD7">
        <w:t>D</w:t>
      </w:r>
      <w:r w:rsidR="00AD40FB" w:rsidRPr="00FC3BD7">
        <w:t>ecision</w:t>
      </w:r>
      <w:r w:rsidR="00165F9A" w:rsidRPr="00FC3BD7">
        <w:t xml:space="preserve"> (ROD)</w:t>
      </w:r>
      <w:r w:rsidRPr="00FC3BD7">
        <w:t xml:space="preserve"> </w:t>
      </w:r>
      <w:r w:rsidR="000A47D6" w:rsidRPr="00FC3BD7">
        <w:t xml:space="preserve">application </w:t>
      </w:r>
      <w:r w:rsidRPr="00FC3BD7">
        <w:t>in 2018/2019 identified that</w:t>
      </w:r>
      <w:r w:rsidR="00835633" w:rsidRPr="00FC3BD7">
        <w:t xml:space="preserve"> this</w:t>
      </w:r>
      <w:r w:rsidRPr="00FC3BD7">
        <w:t xml:space="preserve"> practice was inconsistent with the Social Security Act</w:t>
      </w:r>
      <w:r w:rsidR="00ED2637" w:rsidRPr="00FC3BD7">
        <w:t xml:space="preserve"> 2018</w:t>
      </w:r>
      <w:r w:rsidRPr="00FC3BD7">
        <w:t xml:space="preserve">. </w:t>
      </w:r>
      <w:r w:rsidR="00AD40FB" w:rsidRPr="00FC3BD7">
        <w:t>Under current legislation, the community partner and partner-in-care should continue to be treated as a couple and paid the appropriate rate</w:t>
      </w:r>
      <w:r w:rsidR="00ED1AE7" w:rsidRPr="00FC3BD7">
        <w:t xml:space="preserve"> based on their circumstances</w:t>
      </w:r>
      <w:r w:rsidR="00AD40FB" w:rsidRPr="00FC3BD7">
        <w:t>.</w:t>
      </w:r>
      <w:r w:rsidR="0079266A" w:rsidRPr="00FC3BD7">
        <w:rPr>
          <w:rStyle w:val="FootnoteReference"/>
        </w:rPr>
        <w:footnoteReference w:id="2"/>
      </w:r>
      <w:r w:rsidR="00AD40FB" w:rsidRPr="00FC3BD7">
        <w:t xml:space="preserve"> </w:t>
      </w:r>
    </w:p>
    <w:p w14:paraId="49C8DCA5" w14:textId="6F09D9FB" w:rsidR="00B9422E" w:rsidRPr="00FC3BD7" w:rsidRDefault="00B9422E" w:rsidP="00B9422E">
      <w:pPr>
        <w:pStyle w:val="BodyText"/>
      </w:pPr>
      <w:r w:rsidRPr="00FC3BD7">
        <w:t xml:space="preserve">Cabinet agreed in July 2022 to </w:t>
      </w:r>
      <w:r w:rsidR="00731BD6" w:rsidRPr="00FC3BD7">
        <w:t>address this issue</w:t>
      </w:r>
      <w:r w:rsidRPr="00FC3BD7">
        <w:t xml:space="preserve"> </w:t>
      </w:r>
      <w:r w:rsidR="00FA76BD">
        <w:rPr>
          <w:rFonts w:cs="Arial"/>
        </w:rPr>
        <w:t>[Redacted content]</w:t>
      </w:r>
      <w:r w:rsidR="00731BD6" w:rsidRPr="00FC3BD7">
        <w:t xml:space="preserve">, whereby </w:t>
      </w:r>
      <w:r w:rsidRPr="00FC3BD7">
        <w:t xml:space="preserve">the Social Security Act 2018 </w:t>
      </w:r>
      <w:r w:rsidR="00731BD6" w:rsidRPr="00FC3BD7">
        <w:t xml:space="preserve">and Social Security Regulations </w:t>
      </w:r>
      <w:r w:rsidR="005358CC" w:rsidRPr="00FC3BD7">
        <w:t>would be</w:t>
      </w:r>
      <w:r w:rsidRPr="00FC3BD7">
        <w:t xml:space="preserve"> amended</w:t>
      </w:r>
      <w:r w:rsidR="004E2702" w:rsidRPr="00FC3BD7">
        <w:rPr>
          <w:rStyle w:val="FootnoteReference"/>
        </w:rPr>
        <w:footnoteReference w:id="3"/>
      </w:r>
      <w:r w:rsidR="00E12C33" w:rsidRPr="00FC3BD7">
        <w:t xml:space="preserve"> </w:t>
      </w:r>
      <w:r w:rsidRPr="00FC3BD7">
        <w:t xml:space="preserve">to reflect MSD’s current practice of treating the community partner as single for the purposes of AS </w:t>
      </w:r>
      <w:r w:rsidR="00FA76BD">
        <w:rPr>
          <w:rFonts w:cs="Arial"/>
        </w:rPr>
        <w:t>[Redacted content]</w:t>
      </w:r>
      <w:r w:rsidR="00FA76BD">
        <w:rPr>
          <w:rFonts w:cs="Arial"/>
        </w:rPr>
        <w:t xml:space="preserve">. </w:t>
      </w:r>
    </w:p>
    <w:p w14:paraId="34296F5D" w14:textId="48C12514" w:rsidR="00440D44" w:rsidRPr="00FC3BD7" w:rsidRDefault="00440D44" w:rsidP="00A1597C">
      <w:pPr>
        <w:pStyle w:val="ReportBody"/>
        <w:numPr>
          <w:ilvl w:val="0"/>
          <w:numId w:val="0"/>
        </w:numPr>
        <w:spacing w:before="240" w:after="0" w:line="240" w:lineRule="auto"/>
        <w:jc w:val="both"/>
        <w:rPr>
          <w:rFonts w:ascii="Arial Mäori" w:hAnsi="Arial Mäori"/>
          <w:b/>
          <w:bCs/>
        </w:rPr>
      </w:pPr>
      <w:r w:rsidRPr="00FC3BD7">
        <w:rPr>
          <w:rFonts w:ascii="Arial Mäori" w:hAnsi="Arial Mäori"/>
          <w:b/>
          <w:bCs/>
        </w:rPr>
        <w:t>Unauthorised expenditure</w:t>
      </w:r>
      <w:r w:rsidR="00A1597C" w:rsidRPr="00FC3BD7">
        <w:rPr>
          <w:rFonts w:ascii="Arial Mäori" w:hAnsi="Arial Mäori"/>
          <w:b/>
          <w:bCs/>
        </w:rPr>
        <w:t xml:space="preserve"> under the Public Finance Act 1989</w:t>
      </w:r>
    </w:p>
    <w:p w14:paraId="47E6922E" w14:textId="03AE49E1" w:rsidR="00440D44" w:rsidRPr="00FC3BD7" w:rsidRDefault="00BF774C" w:rsidP="00640CD7">
      <w:pPr>
        <w:pStyle w:val="BodyText"/>
      </w:pPr>
      <w:r w:rsidRPr="00FC3BD7">
        <w:t>F</w:t>
      </w:r>
      <w:r w:rsidR="00477FF4" w:rsidRPr="00FC3BD7">
        <w:t xml:space="preserve">urther </w:t>
      </w:r>
      <w:r w:rsidR="00640CD7" w:rsidRPr="00FC3BD7">
        <w:t xml:space="preserve">analysis revealed that the unauthorised AS expenditure </w:t>
      </w:r>
      <w:r w:rsidR="00592893" w:rsidRPr="00FC3BD7">
        <w:t>is</w:t>
      </w:r>
      <w:r w:rsidR="00440D44" w:rsidRPr="00FC3BD7">
        <w:t xml:space="preserve"> in breach of the </w:t>
      </w:r>
      <w:r w:rsidR="003C4220" w:rsidRPr="00FC3BD7">
        <w:t>Public Finance Act 1989 (</w:t>
      </w:r>
      <w:r w:rsidR="00440D44" w:rsidRPr="00FC3BD7">
        <w:t>PFA</w:t>
      </w:r>
      <w:r w:rsidR="003C4220" w:rsidRPr="00FC3BD7">
        <w:t>)</w:t>
      </w:r>
      <w:r w:rsidR="00440D44" w:rsidRPr="00FC3BD7">
        <w:t xml:space="preserve">. This is because </w:t>
      </w:r>
      <w:r w:rsidR="001D3915" w:rsidRPr="00FC3BD7">
        <w:t>MSD is</w:t>
      </w:r>
      <w:r w:rsidR="00440D44" w:rsidRPr="00FC3BD7">
        <w:t xml:space="preserve"> paying clients a rate of benefit outside of the scope of </w:t>
      </w:r>
      <w:r w:rsidR="001D0C8B" w:rsidRPr="00FC3BD7">
        <w:t xml:space="preserve">the authorising </w:t>
      </w:r>
      <w:r w:rsidR="00A1597C" w:rsidRPr="00FC3BD7">
        <w:t>legislation and</w:t>
      </w:r>
      <w:r w:rsidR="001D0C8B" w:rsidRPr="00FC3BD7">
        <w:t>, therefore,</w:t>
      </w:r>
      <w:r w:rsidR="00440D44" w:rsidRPr="00FC3BD7">
        <w:t xml:space="preserve"> </w:t>
      </w:r>
      <w:r w:rsidR="00A1597C" w:rsidRPr="00FC3BD7">
        <w:t xml:space="preserve">the </w:t>
      </w:r>
      <w:r w:rsidR="00440D44" w:rsidRPr="00FC3BD7">
        <w:t>appropriation.</w:t>
      </w:r>
    </w:p>
    <w:p w14:paraId="1CF8159D" w14:textId="200E719A" w:rsidR="00E24E42" w:rsidRPr="00FC3BD7" w:rsidRDefault="005F1835" w:rsidP="00E24E42">
      <w:pPr>
        <w:pStyle w:val="BodyTextlevel2"/>
      </w:pPr>
      <w:r w:rsidRPr="00FC3BD7">
        <w:t>The total unappropriated expenditure for the past five financial years (1 July 2017 to 30</w:t>
      </w:r>
      <w:r w:rsidR="00C00E55" w:rsidRPr="00FC3BD7">
        <w:t> </w:t>
      </w:r>
      <w:r w:rsidRPr="00FC3BD7">
        <w:t xml:space="preserve">June 2022) </w:t>
      </w:r>
      <w:r w:rsidR="003F7EA0" w:rsidRPr="00FC3BD7">
        <w:t>wa</w:t>
      </w:r>
      <w:r w:rsidRPr="00FC3BD7">
        <w:t>s $</w:t>
      </w:r>
      <w:r w:rsidR="003F7EA0" w:rsidRPr="00FC3BD7">
        <w:t>5</w:t>
      </w:r>
      <w:r w:rsidRPr="00FC3BD7">
        <w:t>.</w:t>
      </w:r>
      <w:r w:rsidR="003F7EA0" w:rsidRPr="00FC3BD7">
        <w:t>907</w:t>
      </w:r>
      <w:r w:rsidRPr="00FC3BD7">
        <w:t xml:space="preserve"> million. </w:t>
      </w:r>
    </w:p>
    <w:p w14:paraId="22B9A63C" w14:textId="15DD9D88" w:rsidR="00731BD6" w:rsidRPr="00224FC4" w:rsidRDefault="00731BD6" w:rsidP="008C6A24">
      <w:pPr>
        <w:pStyle w:val="BodyText"/>
      </w:pPr>
      <w:r w:rsidRPr="00224FC4">
        <w:t xml:space="preserve">For unauthorised expenses incurred during the 2022/23 financial year, validation will be sought under section 26C of the Public Finance Act by Parliament in the Appropriation (2022/23 Confirmation and Validation) Bill. MSD </w:t>
      </w:r>
      <w:r w:rsidR="00761B3A" w:rsidRPr="00224FC4">
        <w:t>will</w:t>
      </w:r>
      <w:r w:rsidRPr="00224FC4">
        <w:t xml:space="preserve"> provide the necessary inputs into </w:t>
      </w:r>
      <w:r w:rsidR="008C6A24" w:rsidRPr="00224FC4">
        <w:t>the Treasury-led</w:t>
      </w:r>
      <w:r w:rsidRPr="00224FC4">
        <w:t xml:space="preserve"> process to remedy th</w:t>
      </w:r>
      <w:r w:rsidR="008C6A24" w:rsidRPr="00224FC4">
        <w:t>e</w:t>
      </w:r>
      <w:r w:rsidRPr="00224FC4">
        <w:t xml:space="preserve"> situation.</w:t>
      </w:r>
    </w:p>
    <w:p w14:paraId="5B6824C0" w14:textId="7D659A53" w:rsidR="00731BD6" w:rsidRPr="00A83CCF" w:rsidRDefault="00731BD6" w:rsidP="00731BD6">
      <w:pPr>
        <w:pStyle w:val="BodyTextlevel2"/>
      </w:pPr>
      <w:r w:rsidRPr="00A83CCF">
        <w:t>The Minister of Housing, as the relevant appropriation Minister, also will need to certify the explanation and value of any unappropriated expenditure in the 2022/23 financial year. MSD will submit this information to Treasury for inclusion in their report on unappropriated expenses and capital expenditure for tabling in Parliament alongside the Appropriation (2022/23 Confirmation and Validation) Bill.</w:t>
      </w:r>
    </w:p>
    <w:p w14:paraId="526EDFFC" w14:textId="658B5F96" w:rsidR="002173AB" w:rsidRPr="00FC3BD7" w:rsidRDefault="00FA76BD" w:rsidP="00B141E1">
      <w:pPr>
        <w:pStyle w:val="BodyText"/>
      </w:pPr>
      <w:r>
        <w:rPr>
          <w:rFonts w:cs="Arial"/>
        </w:rPr>
        <w:t>[Redacted content]</w:t>
      </w:r>
      <w:r w:rsidR="002173AB" w:rsidRPr="00FC3BD7">
        <w:t>.</w:t>
      </w:r>
    </w:p>
    <w:p w14:paraId="0082AD32" w14:textId="6821A014" w:rsidR="00E24E42" w:rsidRPr="00FC3BD7" w:rsidRDefault="00BF774C" w:rsidP="00E24E42">
      <w:pPr>
        <w:pStyle w:val="Heading2"/>
      </w:pPr>
      <w:r w:rsidRPr="00FC3BD7">
        <w:t>I propose that this issue is addressed through a separate Bill and passed under urgency</w:t>
      </w:r>
    </w:p>
    <w:p w14:paraId="5375589D" w14:textId="3BAEC7B9" w:rsidR="000936FA" w:rsidRPr="00FC3BD7" w:rsidRDefault="00FA76BD" w:rsidP="008A3431">
      <w:pPr>
        <w:pStyle w:val="BodyText"/>
        <w:numPr>
          <w:ilvl w:val="0"/>
          <w:numId w:val="4"/>
        </w:numPr>
        <w:ind w:left="493" w:hanging="493"/>
      </w:pPr>
      <w:r>
        <w:rPr>
          <w:rFonts w:cs="Arial"/>
        </w:rPr>
        <w:t>[Redacted content]</w:t>
      </w:r>
      <w:r w:rsidR="0030579D" w:rsidRPr="00FC3BD7">
        <w:t>.</w:t>
      </w:r>
    </w:p>
    <w:p w14:paraId="2D4FAD33" w14:textId="42F079AE" w:rsidR="00BF774C" w:rsidRPr="00A83CCF" w:rsidRDefault="00BF774C" w:rsidP="00BF774C">
      <w:pPr>
        <w:pStyle w:val="BodyText"/>
      </w:pPr>
      <w:r w:rsidRPr="00FC3BD7">
        <w:t>To remedy the situation, I seek Cabinet’s approval to address this issue in a separate</w:t>
      </w:r>
      <w:r w:rsidRPr="000B57D8">
        <w:t xml:space="preserve"> Bill by including the </w:t>
      </w:r>
      <w:r w:rsidRPr="000B57D8">
        <w:rPr>
          <w:i/>
          <w:iCs/>
        </w:rPr>
        <w:t>Social Security (</w:t>
      </w:r>
      <w:r w:rsidRPr="000B57D8">
        <w:rPr>
          <w:i/>
        </w:rPr>
        <w:t>Accommodation Supplement) Amendment Bill</w:t>
      </w:r>
      <w:r w:rsidRPr="000B57D8">
        <w:t xml:space="preserve"> on the 2022 Legislation Programme with a category 2 priority (must be passed in 2022) and to pass this through a truncated legislative process with all stages under urgency. </w:t>
      </w:r>
      <w:r w:rsidRPr="00A83CCF">
        <w:t>This will mean MSD’s current practice of treating community partners as single for the purposes of</w:t>
      </w:r>
      <w:r w:rsidR="00CD6FC6" w:rsidRPr="00A83CCF">
        <w:t xml:space="preserve"> calculating their entitlement to</w:t>
      </w:r>
      <w:r w:rsidRPr="00A83CCF">
        <w:t xml:space="preserve"> AS will be lawful going forward</w:t>
      </w:r>
      <w:r w:rsidR="00A03291" w:rsidRPr="00A83CCF">
        <w:t xml:space="preserve"> and, thus, </w:t>
      </w:r>
      <w:r w:rsidRPr="00A83CCF">
        <w:t>ensur</w:t>
      </w:r>
      <w:r w:rsidR="00A03291" w:rsidRPr="00A83CCF">
        <w:t>e</w:t>
      </w:r>
      <w:r w:rsidRPr="00A83CCF">
        <w:t xml:space="preserve"> clients in this situation do not experience </w:t>
      </w:r>
      <w:r w:rsidR="00C7028D" w:rsidRPr="00A83CCF">
        <w:t>any disruption</w:t>
      </w:r>
      <w:r w:rsidRPr="00A83CCF">
        <w:t xml:space="preserve"> </w:t>
      </w:r>
      <w:r w:rsidR="00C7028D" w:rsidRPr="00A83CCF">
        <w:t>to</w:t>
      </w:r>
      <w:r w:rsidRPr="00A83CCF">
        <w:t xml:space="preserve"> their AS</w:t>
      </w:r>
      <w:r w:rsidR="00C7028D" w:rsidRPr="00A83CCF">
        <w:t xml:space="preserve"> entitlements</w:t>
      </w:r>
      <w:r w:rsidRPr="00A83CCF">
        <w:t xml:space="preserve">. </w:t>
      </w:r>
    </w:p>
    <w:p w14:paraId="141EE6A3" w14:textId="1BBAA01A" w:rsidR="00E24E42" w:rsidRPr="000B57D8" w:rsidRDefault="00E24E42" w:rsidP="00C845AF">
      <w:pPr>
        <w:pStyle w:val="BodyText"/>
      </w:pPr>
      <w:r w:rsidRPr="000B57D8">
        <w:t xml:space="preserve">Under this scenario, </w:t>
      </w:r>
      <w:r w:rsidR="005358CC" w:rsidRPr="000B57D8">
        <w:t xml:space="preserve">the majority of </w:t>
      </w:r>
      <w:r w:rsidRPr="000B57D8">
        <w:t xml:space="preserve">existing clients will neither experience a reduction nor an increase to their benefits. It will instead provide predictable and stable financial support to the </w:t>
      </w:r>
      <w:r w:rsidR="009B75CD" w:rsidRPr="000B57D8">
        <w:t>approximately 300</w:t>
      </w:r>
      <w:r w:rsidRPr="000B57D8">
        <w:t xml:space="preserve"> </w:t>
      </w:r>
      <w:r w:rsidR="00372FCE" w:rsidRPr="000B57D8">
        <w:t>community partners</w:t>
      </w:r>
      <w:r w:rsidRPr="000B57D8">
        <w:t xml:space="preserve">. Furthermore, this legislative solution will ensure that AS accurately accounts for people’s living arrangements, recognising that couples’ situations may change due to age, health, disability, or other circumstances. </w:t>
      </w:r>
    </w:p>
    <w:p w14:paraId="364F55D4" w14:textId="7C2B84E5" w:rsidR="003B2D30" w:rsidRPr="000B57D8" w:rsidRDefault="00007E4E" w:rsidP="00B141E1">
      <w:pPr>
        <w:pStyle w:val="BodyText"/>
        <w:numPr>
          <w:ilvl w:val="0"/>
          <w:numId w:val="4"/>
        </w:numPr>
      </w:pPr>
      <w:r w:rsidRPr="000B57D8">
        <w:rPr>
          <w:iCs/>
        </w:rPr>
        <w:t>I propose that the</w:t>
      </w:r>
      <w:r w:rsidR="00B84A91">
        <w:rPr>
          <w:iCs/>
        </w:rPr>
        <w:t xml:space="preserve"> Bill </w:t>
      </w:r>
      <w:r w:rsidR="001D794E" w:rsidRPr="000B57D8">
        <w:rPr>
          <w:iCs/>
        </w:rPr>
        <w:t xml:space="preserve">come into </w:t>
      </w:r>
      <w:r w:rsidR="0030579D" w:rsidRPr="000B57D8">
        <w:rPr>
          <w:iCs/>
        </w:rPr>
        <w:t xml:space="preserve">force the day after the date on which it is granted Royal assent </w:t>
      </w:r>
      <w:r w:rsidR="001D794E" w:rsidRPr="000B57D8">
        <w:rPr>
          <w:iCs/>
        </w:rPr>
        <w:t>and no later than 1 December 2022.</w:t>
      </w:r>
      <w:r w:rsidR="009E78DD" w:rsidRPr="000B57D8">
        <w:rPr>
          <w:iCs/>
        </w:rPr>
        <w:t xml:space="preserve"> </w:t>
      </w:r>
    </w:p>
    <w:p w14:paraId="43A80352" w14:textId="5E0747B4" w:rsidR="00656659" w:rsidRPr="000B57D8" w:rsidRDefault="001D794E" w:rsidP="009E78DD">
      <w:pPr>
        <w:pStyle w:val="BodyTextlevel2"/>
      </w:pPr>
      <w:r w:rsidRPr="000B57D8">
        <w:t xml:space="preserve">The Bill will authorise AS payments as described in paragraphs </w:t>
      </w:r>
      <w:r w:rsidR="00B84A91">
        <w:t>9, 10, and 10.1</w:t>
      </w:r>
      <w:r w:rsidRPr="000B57D8">
        <w:t xml:space="preserve">. </w:t>
      </w:r>
      <w:r w:rsidR="001555E1" w:rsidRPr="000B57D8">
        <w:t>This practice</w:t>
      </w:r>
      <w:r w:rsidRPr="000B57D8">
        <w:t xml:space="preserve"> will not, however, </w:t>
      </w:r>
      <w:r w:rsidR="009E78DD" w:rsidRPr="000B57D8">
        <w:t xml:space="preserve">be retrospectively validated. </w:t>
      </w:r>
    </w:p>
    <w:p w14:paraId="5D3905DC" w14:textId="21F62E2B" w:rsidR="003F7EA0" w:rsidRPr="00FC3BD7" w:rsidRDefault="00FA76BD" w:rsidP="003F7EA0">
      <w:pPr>
        <w:pStyle w:val="BodyText"/>
      </w:pPr>
      <w:r>
        <w:rPr>
          <w:rFonts w:cs="Arial"/>
        </w:rPr>
        <w:t>[Redacted content]</w:t>
      </w:r>
      <w:r>
        <w:rPr>
          <w:rFonts w:cs="Arial"/>
        </w:rPr>
        <w:t xml:space="preserve">. </w:t>
      </w:r>
    </w:p>
    <w:p w14:paraId="079C728A" w14:textId="6341C483" w:rsidR="00007E4E" w:rsidRPr="00357D84" w:rsidRDefault="00007E4E" w:rsidP="00007E4E">
      <w:pPr>
        <w:pStyle w:val="Heading2"/>
      </w:pPr>
      <w:r>
        <w:t>Alternative option is to pursue a manual approach in</w:t>
      </w:r>
      <w:r w:rsidR="00D931A4">
        <w:t xml:space="preserve"> the</w:t>
      </w:r>
      <w:r>
        <w:t xml:space="preserve"> interim, but it poses risk </w:t>
      </w:r>
    </w:p>
    <w:p w14:paraId="17E2DFC4" w14:textId="77777777" w:rsidR="00007E4E" w:rsidRDefault="00007E4E" w:rsidP="00007E4E">
      <w:pPr>
        <w:pStyle w:val="BodyText"/>
      </w:pPr>
      <w:bookmarkStart w:id="5" w:name="_Hlk116627993"/>
      <w:r>
        <w:t xml:space="preserve">Should legislation not be pursued under urgency, an interim solution would be for MSD to revise its practice and align it with legislation until amendments could come into force. </w:t>
      </w:r>
    </w:p>
    <w:p w14:paraId="5C99DAF2" w14:textId="19F94351" w:rsidR="00007E4E" w:rsidRDefault="0079266A" w:rsidP="0079266A">
      <w:pPr>
        <w:pStyle w:val="BodyText"/>
      </w:pPr>
      <w:r>
        <w:t>This activity would involve a manual</w:t>
      </w:r>
      <w:r w:rsidR="00936FDA">
        <w:t xml:space="preserve"> </w:t>
      </w:r>
      <w:r>
        <w:t xml:space="preserve">review of clients’ </w:t>
      </w:r>
      <w:r w:rsidR="00936FDA">
        <w:t>circumstances</w:t>
      </w:r>
      <w:r>
        <w:t xml:space="preserve"> to determine the amount of AS they are eligible to receive.</w:t>
      </w:r>
      <w:bookmarkStart w:id="6" w:name="_Hlk116480778"/>
      <w:r>
        <w:t xml:space="preserve"> The review, however, </w:t>
      </w:r>
      <w:r w:rsidR="004521C2">
        <w:t>is likely to</w:t>
      </w:r>
      <w:r>
        <w:t xml:space="preserve"> result in a </w:t>
      </w:r>
      <w:r w:rsidR="004521C2">
        <w:t>lower</w:t>
      </w:r>
      <w:r>
        <w:t xml:space="preserve"> </w:t>
      </w:r>
      <w:r w:rsidR="00936FDA">
        <w:t>amount</w:t>
      </w:r>
      <w:r>
        <w:t xml:space="preserve"> of AS paid to </w:t>
      </w:r>
      <w:r w:rsidR="004521C2">
        <w:t>most</w:t>
      </w:r>
      <w:r>
        <w:t xml:space="preserve"> clients</w:t>
      </w:r>
      <w:r w:rsidR="00B80C92">
        <w:t xml:space="preserve">. </w:t>
      </w:r>
      <w:bookmarkEnd w:id="6"/>
    </w:p>
    <w:bookmarkEnd w:id="5"/>
    <w:p w14:paraId="354E798C" w14:textId="35B240F1" w:rsidR="0079266A" w:rsidRDefault="0079266A" w:rsidP="00B141E1">
      <w:pPr>
        <w:pStyle w:val="BodyText"/>
      </w:pPr>
      <w:r>
        <w:t>For those that will experience a change in their benefit level, MSD would directly contact clients before implementing any changes and discuss with them options to offset any potential reduction in AS. In addition, MSD would assess what other assistance clients may be eligible to receive, such as Temporary Additional Support (TAS), which is a</w:t>
      </w:r>
      <w:r w:rsidRPr="009F4347">
        <w:t xml:space="preserve"> non-taxable extra </w:t>
      </w:r>
      <w:r>
        <w:t>benefit</w:t>
      </w:r>
      <w:r w:rsidRPr="009F4347">
        <w:t xml:space="preserve"> paid for a maximum of 13 weeks</w:t>
      </w:r>
      <w:r>
        <w:t>.</w:t>
      </w:r>
    </w:p>
    <w:p w14:paraId="15715C58" w14:textId="77777777" w:rsidR="00007E4E" w:rsidRDefault="00007E4E" w:rsidP="00007E4E">
      <w:pPr>
        <w:pStyle w:val="BodyText"/>
      </w:pPr>
      <w:r>
        <w:t xml:space="preserve">Under this scenario, MSD estimates that 256 of the 301 individuals would be affected, and they would experience a reduction in AS of up to $62 per week. Over the course of a year, this amounts to $3,224 per individual.  </w:t>
      </w:r>
    </w:p>
    <w:p w14:paraId="38F05B0F" w14:textId="6D1A01BB" w:rsidR="00007E4E" w:rsidRPr="00FC3BD7" w:rsidRDefault="00FA76BD" w:rsidP="005358CC">
      <w:pPr>
        <w:pStyle w:val="BodyText"/>
        <w:numPr>
          <w:ilvl w:val="0"/>
          <w:numId w:val="4"/>
        </w:numPr>
      </w:pPr>
      <w:r>
        <w:rPr>
          <w:rFonts w:cs="Arial"/>
        </w:rPr>
        <w:t>[Redacted content]</w:t>
      </w:r>
      <w:r>
        <w:rPr>
          <w:rFonts w:cs="Arial"/>
        </w:rPr>
        <w:t>.</w:t>
      </w:r>
      <w:r w:rsidR="006B04A3" w:rsidRPr="00FC3BD7">
        <w:rPr>
          <w:rFonts w:cs="Segoe UI"/>
          <w:color w:val="242424"/>
          <w:shd w:val="clear" w:color="auto" w:fill="FFFFFF"/>
        </w:rPr>
        <w:t xml:space="preserve"> The Ministry is working through the most appropriate </w:t>
      </w:r>
      <w:r w:rsidR="00B84A91" w:rsidRPr="00FC3BD7">
        <w:rPr>
          <w:rFonts w:cs="Segoe UI"/>
          <w:color w:val="242424"/>
          <w:shd w:val="clear" w:color="auto" w:fill="FFFFFF"/>
        </w:rPr>
        <w:t>options</w:t>
      </w:r>
      <w:r w:rsidR="006B04A3" w:rsidRPr="00FC3BD7">
        <w:rPr>
          <w:rFonts w:cs="Segoe UI"/>
          <w:color w:val="242424"/>
          <w:shd w:val="clear" w:color="auto" w:fill="FFFFFF"/>
        </w:rPr>
        <w:t>.</w:t>
      </w:r>
      <w:r>
        <w:rPr>
          <w:rFonts w:cs="Segoe UI"/>
          <w:color w:val="242424"/>
          <w:shd w:val="clear" w:color="auto" w:fill="FFFFFF"/>
        </w:rPr>
        <w:t xml:space="preserve"> </w:t>
      </w:r>
      <w:r>
        <w:rPr>
          <w:rFonts w:cs="Arial"/>
        </w:rPr>
        <w:t>[Redacted content]</w:t>
      </w:r>
      <w:r w:rsidR="006B04A3" w:rsidRPr="00FC3BD7">
        <w:rPr>
          <w:rFonts w:cs="Segoe UI"/>
          <w:color w:val="242424"/>
          <w:shd w:val="clear" w:color="auto" w:fill="FFFFFF"/>
        </w:rPr>
        <w:t>.</w:t>
      </w:r>
    </w:p>
    <w:p w14:paraId="4523C812" w14:textId="57143CDC" w:rsidR="0079266A" w:rsidRPr="000B57D8" w:rsidRDefault="009B75CD" w:rsidP="00061F6C">
      <w:pPr>
        <w:pStyle w:val="BodyText"/>
        <w:numPr>
          <w:ilvl w:val="0"/>
          <w:numId w:val="4"/>
        </w:numPr>
      </w:pPr>
      <w:r w:rsidRPr="000B57D8">
        <w:t xml:space="preserve">Although this interim measure would ensure MSD’s practice is consistent with legislation, it would come at a cost borne largely by </w:t>
      </w:r>
      <w:r w:rsidR="00061F6C" w:rsidRPr="000B57D8">
        <w:t xml:space="preserve">older New Zealanders on limited incomes and with a partner in long-term residential care. In addition, this approach would have significant resource implications for MSD, whose officials would manually </w:t>
      </w:r>
      <w:proofErr w:type="gramStart"/>
      <w:r w:rsidR="00061F6C" w:rsidRPr="000B57D8">
        <w:t>assess</w:t>
      </w:r>
      <w:proofErr w:type="gramEnd"/>
      <w:r w:rsidR="00061F6C" w:rsidRPr="000B57D8">
        <w:t xml:space="preserve"> </w:t>
      </w:r>
      <w:r w:rsidR="004521C2">
        <w:t xml:space="preserve">and peer review </w:t>
      </w:r>
      <w:r w:rsidR="00061F6C" w:rsidRPr="000B57D8">
        <w:t xml:space="preserve">each situation, change benefit rates, and later reset the rates once the legislation has been amended. As such, </w:t>
      </w:r>
      <w:r w:rsidR="0079266A" w:rsidRPr="000B57D8">
        <w:t xml:space="preserve">I do not believe this </w:t>
      </w:r>
      <w:r w:rsidR="00061F6C" w:rsidRPr="000B57D8">
        <w:t xml:space="preserve">temporary approach represents the best option. </w:t>
      </w:r>
    </w:p>
    <w:p w14:paraId="22568C78" w14:textId="77777777" w:rsidR="00BB4758" w:rsidRDefault="00BB4758" w:rsidP="00BB4758">
      <w:pPr>
        <w:pStyle w:val="Heading1"/>
      </w:pPr>
      <w:r w:rsidRPr="000B57D8">
        <w:t>Compliance</w:t>
      </w:r>
    </w:p>
    <w:p w14:paraId="6D578AC4" w14:textId="77777777" w:rsidR="00BB4758" w:rsidRPr="00814BE8" w:rsidRDefault="00BB4758" w:rsidP="00B141E1">
      <w:pPr>
        <w:pStyle w:val="BodyText"/>
        <w:numPr>
          <w:ilvl w:val="0"/>
          <w:numId w:val="4"/>
        </w:numPr>
      </w:pPr>
      <w:r w:rsidRPr="00814BE8">
        <w:t>The Bill complies with each of the following:</w:t>
      </w:r>
    </w:p>
    <w:p w14:paraId="527383BA" w14:textId="77777777" w:rsidR="00BB4758" w:rsidRPr="00C80713" w:rsidRDefault="00257CC2" w:rsidP="00B141E1">
      <w:pPr>
        <w:pStyle w:val="BodyTextlevel2"/>
        <w:numPr>
          <w:ilvl w:val="1"/>
          <w:numId w:val="4"/>
        </w:numPr>
        <w:tabs>
          <w:tab w:val="num" w:pos="493"/>
        </w:tabs>
        <w:ind w:left="987"/>
      </w:pPr>
      <w:r>
        <w:t>T</w:t>
      </w:r>
      <w:r w:rsidR="00BB4758" w:rsidRPr="00C80713">
        <w:t>he principles of the Tre</w:t>
      </w:r>
      <w:r>
        <w:t>aty of Waitangi.</w:t>
      </w:r>
    </w:p>
    <w:p w14:paraId="34916098" w14:textId="77777777" w:rsidR="00BB4758" w:rsidRPr="00C80713" w:rsidRDefault="00257CC2" w:rsidP="00B141E1">
      <w:pPr>
        <w:pStyle w:val="BodyTextlevel2"/>
        <w:numPr>
          <w:ilvl w:val="1"/>
          <w:numId w:val="4"/>
        </w:numPr>
        <w:tabs>
          <w:tab w:val="num" w:pos="493"/>
        </w:tabs>
        <w:ind w:left="987"/>
      </w:pPr>
      <w:r>
        <w:t>T</w:t>
      </w:r>
      <w:r w:rsidR="00BB4758" w:rsidRPr="00C80713">
        <w:t>he rights and freedoms contained in the New Zealand Bill of Rights Act 199</w:t>
      </w:r>
      <w:r>
        <w:t>0 and the Human Rights Act 1993.</w:t>
      </w:r>
    </w:p>
    <w:p w14:paraId="483381E2" w14:textId="77777777" w:rsidR="00BB4758" w:rsidRPr="00711923" w:rsidRDefault="00257CC2" w:rsidP="00B141E1">
      <w:pPr>
        <w:pStyle w:val="BodyTextlevel2"/>
        <w:numPr>
          <w:ilvl w:val="1"/>
          <w:numId w:val="4"/>
        </w:numPr>
        <w:tabs>
          <w:tab w:val="num" w:pos="493"/>
        </w:tabs>
        <w:ind w:left="987"/>
      </w:pPr>
      <w:r>
        <w:t>T</w:t>
      </w:r>
      <w:r w:rsidR="00BB4758" w:rsidRPr="00711923">
        <w:t>he disclosure statement requirements (a disclosure statement has been prepare</w:t>
      </w:r>
      <w:r>
        <w:t>d and is attached to the paper).</w:t>
      </w:r>
    </w:p>
    <w:p w14:paraId="7B0A8CB2" w14:textId="77777777" w:rsidR="00BB4758" w:rsidRPr="00711923" w:rsidRDefault="00257CC2" w:rsidP="00B141E1">
      <w:pPr>
        <w:pStyle w:val="BodyTextlevel2"/>
        <w:numPr>
          <w:ilvl w:val="1"/>
          <w:numId w:val="4"/>
        </w:numPr>
        <w:tabs>
          <w:tab w:val="num" w:pos="493"/>
        </w:tabs>
        <w:ind w:left="987"/>
      </w:pPr>
      <w:r>
        <w:t>T</w:t>
      </w:r>
      <w:r w:rsidR="00BB4758" w:rsidRPr="00711923">
        <w:t xml:space="preserve">he principles and guidelines </w:t>
      </w:r>
      <w:r>
        <w:t>set out in the Privacy Act 1993.</w:t>
      </w:r>
    </w:p>
    <w:p w14:paraId="5EC48172" w14:textId="77777777" w:rsidR="00BB4758" w:rsidRPr="00711923" w:rsidRDefault="00257CC2" w:rsidP="00B141E1">
      <w:pPr>
        <w:pStyle w:val="BodyTextlevel2"/>
        <w:numPr>
          <w:ilvl w:val="1"/>
          <w:numId w:val="4"/>
        </w:numPr>
        <w:tabs>
          <w:tab w:val="num" w:pos="493"/>
        </w:tabs>
        <w:ind w:left="987"/>
      </w:pPr>
      <w:r>
        <w:t>R</w:t>
      </w:r>
      <w:r w:rsidR="00BB4758" w:rsidRPr="00711923">
        <w:t>elevant internat</w:t>
      </w:r>
      <w:r>
        <w:t>ional standards and obligations.</w:t>
      </w:r>
    </w:p>
    <w:p w14:paraId="33A6EB20" w14:textId="77777777" w:rsidR="00BB4758" w:rsidRDefault="00257CC2" w:rsidP="00B141E1">
      <w:pPr>
        <w:pStyle w:val="BodyTextlevel2"/>
        <w:numPr>
          <w:ilvl w:val="1"/>
          <w:numId w:val="4"/>
        </w:numPr>
        <w:tabs>
          <w:tab w:val="num" w:pos="493"/>
        </w:tabs>
        <w:ind w:left="987"/>
      </w:pPr>
      <w:r>
        <w:t>T</w:t>
      </w:r>
      <w:r w:rsidR="00BB4758" w:rsidRPr="00711923">
        <w:t xml:space="preserve">he Legislation </w:t>
      </w:r>
      <w:r w:rsidR="00BB4758">
        <w:t>Guidelines (2018)</w:t>
      </w:r>
      <w:r w:rsidR="00BB4758" w:rsidRPr="00711923">
        <w:t xml:space="preserve"> published by the Legislation Design and Advisory Committee.</w:t>
      </w:r>
    </w:p>
    <w:p w14:paraId="5C661468" w14:textId="77777777" w:rsidR="00BB4758" w:rsidRDefault="00BB4758" w:rsidP="00BB4758">
      <w:pPr>
        <w:pStyle w:val="Heading1"/>
      </w:pPr>
      <w:r>
        <w:t>Consultation</w:t>
      </w:r>
    </w:p>
    <w:p w14:paraId="5329D2CA" w14:textId="3C9C5F37" w:rsidR="00BB4758" w:rsidRDefault="00372FCE" w:rsidP="00B141E1">
      <w:pPr>
        <w:pStyle w:val="BodyText"/>
        <w:numPr>
          <w:ilvl w:val="0"/>
          <w:numId w:val="4"/>
        </w:numPr>
      </w:pPr>
      <w:r>
        <w:t>Treasury</w:t>
      </w:r>
      <w:r w:rsidR="009E3775">
        <w:t xml:space="preserve">, </w:t>
      </w:r>
      <w:proofErr w:type="spellStart"/>
      <w:r w:rsidR="00D931A4" w:rsidRPr="00B33ABE">
        <w:rPr>
          <w:rFonts w:cs="Arial"/>
        </w:rPr>
        <w:t>Mana</w:t>
      </w:r>
      <w:r w:rsidR="00D931A4" w:rsidRPr="00B33ABE">
        <w:rPr>
          <w:rFonts w:ascii="Arial" w:hAnsi="Arial" w:cs="Arial"/>
        </w:rPr>
        <w:t>tū</w:t>
      </w:r>
      <w:proofErr w:type="spellEnd"/>
      <w:r w:rsidR="00D931A4" w:rsidRPr="00B33ABE">
        <w:rPr>
          <w:rFonts w:ascii="Arial" w:hAnsi="Arial" w:cs="Arial"/>
        </w:rPr>
        <w:t xml:space="preserve"> </w:t>
      </w:r>
      <w:proofErr w:type="spellStart"/>
      <w:r w:rsidR="00D931A4" w:rsidRPr="00B33ABE">
        <w:rPr>
          <w:rFonts w:cs="Arial"/>
        </w:rPr>
        <w:t>Haurora</w:t>
      </w:r>
      <w:proofErr w:type="spellEnd"/>
      <w:r w:rsidR="00B33ABE" w:rsidRPr="00B33ABE">
        <w:rPr>
          <w:rFonts w:cs="Calibri"/>
        </w:rPr>
        <w:t xml:space="preserve"> / The Ministry of </w:t>
      </w:r>
      <w:r w:rsidR="009E3775" w:rsidRPr="00B33ABE">
        <w:t>Health</w:t>
      </w:r>
      <w:r w:rsidR="009E3775">
        <w:t>,</w:t>
      </w:r>
      <w:r>
        <w:t xml:space="preserve"> and </w:t>
      </w:r>
      <w:r w:rsidR="00B33ABE" w:rsidRPr="009C3D1E">
        <w:t xml:space="preserve">Te </w:t>
      </w:r>
      <w:proofErr w:type="spellStart"/>
      <w:r w:rsidR="00B33ABE" w:rsidRPr="009C3D1E">
        <w:t>T</w:t>
      </w:r>
      <w:r w:rsidR="00B33ABE" w:rsidRPr="009C3D1E">
        <w:rPr>
          <w:rFonts w:ascii="Calibri" w:hAnsi="Calibri" w:cs="Calibri"/>
          <w:sz w:val="24"/>
          <w:szCs w:val="24"/>
        </w:rPr>
        <w:t>ūā</w:t>
      </w:r>
      <w:r w:rsidR="00B33ABE" w:rsidRPr="009C3D1E">
        <w:t>papa</w:t>
      </w:r>
      <w:proofErr w:type="spellEnd"/>
      <w:r w:rsidR="00B33ABE" w:rsidRPr="009C3D1E">
        <w:t xml:space="preserve"> Kura </w:t>
      </w:r>
      <w:proofErr w:type="spellStart"/>
      <w:r w:rsidR="00B33ABE" w:rsidRPr="009C3D1E">
        <w:t>K</w:t>
      </w:r>
      <w:r w:rsidR="00B33ABE" w:rsidRPr="009C3D1E">
        <w:rPr>
          <w:rFonts w:ascii="Calibri" w:hAnsi="Calibri" w:cs="Calibri"/>
          <w:sz w:val="24"/>
          <w:szCs w:val="24"/>
        </w:rPr>
        <w:t>ā</w:t>
      </w:r>
      <w:r w:rsidR="00B33ABE" w:rsidRPr="009C3D1E">
        <w:t>inga</w:t>
      </w:r>
      <w:proofErr w:type="spellEnd"/>
      <w:r w:rsidR="00B33ABE">
        <w:t xml:space="preserve"> / The Ministry of </w:t>
      </w:r>
      <w:r w:rsidR="00652A07">
        <w:t>Housing and Urban Development</w:t>
      </w:r>
      <w:r>
        <w:t xml:space="preserve"> </w:t>
      </w:r>
      <w:r w:rsidR="00BB4758">
        <w:t>w</w:t>
      </w:r>
      <w:r w:rsidR="00652A07">
        <w:t>ere</w:t>
      </w:r>
      <w:r w:rsidR="00BB4758">
        <w:t xml:space="preserve"> consulted on this paper and the Bill. The Department of the Prime Minister and Cabinet (</w:t>
      </w:r>
      <w:r w:rsidR="00BB4758" w:rsidRPr="00392DA7">
        <w:t>Policy Advisory Group)</w:t>
      </w:r>
      <w:r w:rsidR="00BB4758">
        <w:t xml:space="preserve"> was informed. </w:t>
      </w:r>
    </w:p>
    <w:p w14:paraId="63543963" w14:textId="66F917EA" w:rsidR="00477FF4" w:rsidRPr="0080123A" w:rsidRDefault="00477FF4" w:rsidP="00B141E1">
      <w:pPr>
        <w:pStyle w:val="BodyText"/>
        <w:numPr>
          <w:ilvl w:val="0"/>
          <w:numId w:val="4"/>
        </w:numPr>
      </w:pPr>
      <w:r w:rsidRPr="00B431D6">
        <w:t>As a consequential amendment to the NZSRIA 2001 is included in this Bill, section 73 of this Act provides that the Minister</w:t>
      </w:r>
      <w:r w:rsidR="00B431D6">
        <w:t xml:space="preserve"> must bring to the attention of the House the consultation process that was followed, including whether consultation has taken place with the parties t</w:t>
      </w:r>
      <w:r w:rsidRPr="00B431D6">
        <w:t xml:space="preserve">hat </w:t>
      </w:r>
      <w:proofErr w:type="gramStart"/>
      <w:r w:rsidRPr="00B431D6">
        <w:t>are in agreement</w:t>
      </w:r>
      <w:proofErr w:type="gramEnd"/>
      <w:r w:rsidRPr="00B431D6">
        <w:t xml:space="preserve"> with the Part proposed to be </w:t>
      </w:r>
      <w:r w:rsidRPr="0080123A">
        <w:t>amended. I have consulted with these parties, specifically the National Party and the Green Party</w:t>
      </w:r>
      <w:r w:rsidR="00B431D6" w:rsidRPr="0080123A">
        <w:t xml:space="preserve">, as well as </w:t>
      </w:r>
      <w:r w:rsidRPr="0080123A">
        <w:t>engaged Te Pati</w:t>
      </w:r>
      <w:r w:rsidRPr="0080123A">
        <w:rPr>
          <w:rFonts w:cs="Arial"/>
        </w:rPr>
        <w:t xml:space="preserve"> </w:t>
      </w:r>
      <w:r w:rsidRPr="0080123A">
        <w:rPr>
          <w:rFonts w:ascii="Arial" w:hAnsi="Arial" w:cs="Arial"/>
        </w:rPr>
        <w:t>Māori</w:t>
      </w:r>
      <w:r w:rsidRPr="0080123A">
        <w:rPr>
          <w:rFonts w:cs="Arial"/>
        </w:rPr>
        <w:t xml:space="preserve"> and ACT. None have expressed any concerns with the proposed amendment.</w:t>
      </w:r>
    </w:p>
    <w:p w14:paraId="068876A3" w14:textId="77777777" w:rsidR="00BB4758" w:rsidRDefault="00BB4758" w:rsidP="00BB4758">
      <w:pPr>
        <w:pStyle w:val="Heading1"/>
      </w:pPr>
      <w:r>
        <w:t>Binding on the Crown</w:t>
      </w:r>
    </w:p>
    <w:p w14:paraId="3C3C0A3B" w14:textId="2DE47E43" w:rsidR="00BB4758" w:rsidRDefault="00BB4758" w:rsidP="00B141E1">
      <w:pPr>
        <w:pStyle w:val="BodyText"/>
        <w:numPr>
          <w:ilvl w:val="0"/>
          <w:numId w:val="4"/>
        </w:numPr>
      </w:pPr>
      <w:r>
        <w:t>The Social Security Ac</w:t>
      </w:r>
      <w:r w:rsidRPr="003F7EA0">
        <w:t>t 2018</w:t>
      </w:r>
      <w:r w:rsidR="00852935">
        <w:t xml:space="preserve">, </w:t>
      </w:r>
      <w:r w:rsidR="003A7231">
        <w:t xml:space="preserve">NZSRIA </w:t>
      </w:r>
      <w:r w:rsidR="00852935">
        <w:t>2001, and Veterans’ Support Act 20</w:t>
      </w:r>
      <w:r w:rsidR="00E12C33">
        <w:t>14</w:t>
      </w:r>
      <w:r w:rsidR="00852935">
        <w:t xml:space="preserve"> are</w:t>
      </w:r>
      <w:r w:rsidR="003D3CE3">
        <w:t xml:space="preserve"> </w:t>
      </w:r>
      <w:r>
        <w:t>binding on the Crown, and</w:t>
      </w:r>
      <w:r w:rsidR="009E2C6D">
        <w:t>,</w:t>
      </w:r>
      <w:r>
        <w:t xml:space="preserve"> as such</w:t>
      </w:r>
      <w:r w:rsidR="009E2C6D">
        <w:t>,</w:t>
      </w:r>
      <w:r>
        <w:t xml:space="preserve"> the amendments in the Bill will also be binding. </w:t>
      </w:r>
    </w:p>
    <w:p w14:paraId="66614A0E" w14:textId="77777777" w:rsidR="00BB4758" w:rsidRPr="00283D15" w:rsidRDefault="00BB4758" w:rsidP="00BB4758">
      <w:pPr>
        <w:pStyle w:val="Heading1"/>
      </w:pPr>
      <w:r w:rsidRPr="00283D15">
        <w:t>Creating new agencies or amending law relating to existing agencies</w:t>
      </w:r>
    </w:p>
    <w:p w14:paraId="3D62E602" w14:textId="77777777" w:rsidR="00BB4758" w:rsidRPr="00283D15" w:rsidRDefault="00BB4758" w:rsidP="00B141E1">
      <w:pPr>
        <w:pStyle w:val="BodyText"/>
        <w:numPr>
          <w:ilvl w:val="0"/>
          <w:numId w:val="4"/>
        </w:numPr>
      </w:pPr>
      <w:r w:rsidRPr="00283D15">
        <w:rPr>
          <w:lang w:eastAsia="en-NZ"/>
        </w:rPr>
        <w:t>Not applicable.</w:t>
      </w:r>
    </w:p>
    <w:p w14:paraId="161EBC49" w14:textId="5043667B" w:rsidR="00BB4758" w:rsidRPr="00283D15" w:rsidRDefault="00BB4758" w:rsidP="00BB4758">
      <w:pPr>
        <w:pStyle w:val="Heading1"/>
      </w:pPr>
      <w:r w:rsidRPr="00283D15">
        <w:t>Allocation of decision</w:t>
      </w:r>
      <w:r w:rsidR="009E2C6D">
        <w:t>-</w:t>
      </w:r>
      <w:r w:rsidRPr="00283D15">
        <w:t>making powers</w:t>
      </w:r>
    </w:p>
    <w:p w14:paraId="342A0307" w14:textId="7A2812B4" w:rsidR="00BB4758" w:rsidRPr="00283D15" w:rsidRDefault="00BB4758" w:rsidP="00B141E1">
      <w:pPr>
        <w:pStyle w:val="BodyText"/>
        <w:numPr>
          <w:ilvl w:val="0"/>
          <w:numId w:val="4"/>
        </w:numPr>
      </w:pPr>
      <w:r w:rsidRPr="00283D15">
        <w:t xml:space="preserve">The </w:t>
      </w:r>
      <w:r>
        <w:t>Bill</w:t>
      </w:r>
      <w:r w:rsidRPr="00283D15">
        <w:t xml:space="preserve"> does not allocate decision</w:t>
      </w:r>
      <w:r w:rsidR="009E2C6D">
        <w:t>-</w:t>
      </w:r>
      <w:r w:rsidRPr="00283D15">
        <w:t>making powers between the executive, the courts, or tribunals.</w:t>
      </w:r>
    </w:p>
    <w:p w14:paraId="4AC2FA76" w14:textId="77777777" w:rsidR="00BB4758" w:rsidRPr="00283D15" w:rsidRDefault="00BB4758" w:rsidP="00BB4758">
      <w:pPr>
        <w:pStyle w:val="Heading1"/>
      </w:pPr>
      <w:r w:rsidRPr="00283D15">
        <w:t>Associated regulations</w:t>
      </w:r>
    </w:p>
    <w:p w14:paraId="350F4F51" w14:textId="3C8A69E7" w:rsidR="00BB4758" w:rsidRPr="00283D15" w:rsidRDefault="00BB4758" w:rsidP="00B141E1">
      <w:pPr>
        <w:pStyle w:val="BodyText"/>
        <w:numPr>
          <w:ilvl w:val="0"/>
          <w:numId w:val="4"/>
        </w:numPr>
      </w:pPr>
      <w:r w:rsidRPr="00283D15">
        <w:t xml:space="preserve">The </w:t>
      </w:r>
      <w:r>
        <w:t>Bill</w:t>
      </w:r>
      <w:r w:rsidRPr="00283D15">
        <w:t xml:space="preserve"> </w:t>
      </w:r>
      <w:r w:rsidR="00ED1AE7">
        <w:t xml:space="preserve">includes </w:t>
      </w:r>
      <w:r w:rsidR="009F0835">
        <w:t xml:space="preserve">revisions </w:t>
      </w:r>
      <w:r w:rsidR="00ED1AE7">
        <w:t xml:space="preserve">to the Social Security Regulations </w:t>
      </w:r>
      <w:r w:rsidR="009F0835">
        <w:t xml:space="preserve">2018 </w:t>
      </w:r>
      <w:r w:rsidR="00ED1AE7">
        <w:t>in order t</w:t>
      </w:r>
      <w:r w:rsidR="009F0835">
        <w:t xml:space="preserve">o bring into effect the proposed amendments to how AS is calculated. </w:t>
      </w:r>
    </w:p>
    <w:p w14:paraId="2762B716" w14:textId="77777777" w:rsidR="00BB4758" w:rsidRPr="00283D15" w:rsidRDefault="00BB4758" w:rsidP="00BB4758">
      <w:pPr>
        <w:pStyle w:val="Heading1"/>
      </w:pPr>
      <w:r w:rsidRPr="00283D15">
        <w:t>Other instruments</w:t>
      </w:r>
    </w:p>
    <w:p w14:paraId="1116869C" w14:textId="16CBA0C7" w:rsidR="00BB4758" w:rsidRDefault="00BB4758" w:rsidP="00B141E1">
      <w:pPr>
        <w:pStyle w:val="BodyText"/>
        <w:numPr>
          <w:ilvl w:val="0"/>
          <w:numId w:val="4"/>
        </w:numPr>
      </w:pPr>
      <w:r w:rsidRPr="00283D15">
        <w:t xml:space="preserve">The </w:t>
      </w:r>
      <w:r>
        <w:t>Bill</w:t>
      </w:r>
      <w:r w:rsidRPr="00283D15">
        <w:t xml:space="preserve"> does not </w:t>
      </w:r>
      <w:r w:rsidRPr="00EC4E35">
        <w:t>include any provision empowering the making of other instruments that are deemed to be legislative instruments or disallowable instruments (or both).</w:t>
      </w:r>
    </w:p>
    <w:p w14:paraId="53E66ECE" w14:textId="2A79EFD9" w:rsidR="00D54504" w:rsidRPr="00D54504" w:rsidRDefault="00D54504" w:rsidP="00D54504">
      <w:pPr>
        <w:pStyle w:val="Heading2"/>
        <w:rPr>
          <w:rFonts w:ascii="Arial" w:hAnsi="Arial"/>
          <w:b w:val="0"/>
          <w:sz w:val="24"/>
          <w:szCs w:val="24"/>
        </w:rPr>
      </w:pPr>
      <w:r>
        <w:rPr>
          <w:sz w:val="24"/>
          <w:szCs w:val="24"/>
        </w:rPr>
        <w:t>Definition of Minister/department</w:t>
      </w:r>
    </w:p>
    <w:p w14:paraId="6D5394B3" w14:textId="4B61C541" w:rsidR="00D54504" w:rsidRPr="000B57D8" w:rsidRDefault="00D54504" w:rsidP="00D54504">
      <w:pPr>
        <w:pStyle w:val="BodyText"/>
        <w:rPr>
          <w:sz w:val="24"/>
          <w:szCs w:val="20"/>
        </w:rPr>
      </w:pPr>
      <w:r w:rsidRPr="000B57D8">
        <w:t xml:space="preserve">The </w:t>
      </w:r>
      <w:r w:rsidR="00061F6C" w:rsidRPr="000B57D8">
        <w:t>B</w:t>
      </w:r>
      <w:r w:rsidRPr="000B57D8">
        <w:t xml:space="preserve">ill does not contain a definition of Minister, department (or equivalent government agency), or chief executive of a department (or equivalent position).  </w:t>
      </w:r>
    </w:p>
    <w:p w14:paraId="627E20CA" w14:textId="77777777" w:rsidR="00BB4758" w:rsidRPr="000B57D8" w:rsidRDefault="00BB4758" w:rsidP="00BB4758">
      <w:pPr>
        <w:pStyle w:val="Heading1"/>
      </w:pPr>
      <w:r w:rsidRPr="000B57D8">
        <w:t>Financial implications</w:t>
      </w:r>
    </w:p>
    <w:p w14:paraId="44AD5B3B" w14:textId="26873B32" w:rsidR="0040227D" w:rsidRPr="00FC3BD7" w:rsidRDefault="00FA76BD" w:rsidP="0040227D">
      <w:pPr>
        <w:pStyle w:val="BodyText"/>
      </w:pPr>
      <w:r>
        <w:rPr>
          <w:rFonts w:cs="Arial"/>
        </w:rPr>
        <w:t xml:space="preserve">[Redacted content] </w:t>
      </w:r>
      <w:r w:rsidR="0040227D" w:rsidRPr="00FC3BD7">
        <w:t>officials advised that the changes would have “no or minimal” fiscal implications. Options for managing the “minimal” fiscal implications were not discussed.</w:t>
      </w:r>
    </w:p>
    <w:p w14:paraId="4991C73E" w14:textId="10FB6B17" w:rsidR="0040227D" w:rsidRPr="000B57D8" w:rsidRDefault="0040227D" w:rsidP="00B141E1">
      <w:pPr>
        <w:numPr>
          <w:ilvl w:val="0"/>
          <w:numId w:val="13"/>
        </w:numPr>
        <w:spacing w:before="240"/>
        <w:jc w:val="left"/>
        <w:rPr>
          <w:rFonts w:ascii="Arial Mäori" w:hAnsi="Arial Mäori"/>
        </w:rPr>
      </w:pPr>
      <w:r w:rsidRPr="00FC3BD7">
        <w:rPr>
          <w:rFonts w:ascii="Arial Mäori" w:hAnsi="Arial Mäori"/>
        </w:rPr>
        <w:t>In light of the finding that MSD’s current practice is inconsistent with the current law</w:t>
      </w:r>
      <w:r w:rsidR="00061F6C" w:rsidRPr="00FC3BD7">
        <w:rPr>
          <w:rFonts w:ascii="Arial Mäori" w:hAnsi="Arial Mäori"/>
        </w:rPr>
        <w:t xml:space="preserve"> and, thus, gives</w:t>
      </w:r>
      <w:r w:rsidRPr="00FC3BD7">
        <w:rPr>
          <w:rFonts w:ascii="Arial Mäori" w:hAnsi="Arial Mäori"/>
        </w:rPr>
        <w:t xml:space="preserve"> rise to unappropriated expenditure, the Treasury advises that the change to A</w:t>
      </w:r>
      <w:r w:rsidR="00061F6C" w:rsidRPr="00FC3BD7">
        <w:rPr>
          <w:rFonts w:ascii="Arial Mäori" w:hAnsi="Arial Mäori"/>
        </w:rPr>
        <w:t xml:space="preserve">S </w:t>
      </w:r>
      <w:r w:rsidRPr="00FC3BD7">
        <w:rPr>
          <w:rFonts w:ascii="Arial Mäori" w:hAnsi="Arial Mäori"/>
        </w:rPr>
        <w:t>does</w:t>
      </w:r>
      <w:r w:rsidRPr="000B57D8">
        <w:rPr>
          <w:rFonts w:ascii="Arial Mäori" w:hAnsi="Arial Mäori"/>
        </w:rPr>
        <w:t xml:space="preserve"> produce a cost to the Crown</w:t>
      </w:r>
      <w:r w:rsidR="000D3621">
        <w:rPr>
          <w:rFonts w:ascii="Arial Mäori" w:hAnsi="Arial Mäori"/>
        </w:rPr>
        <w:t xml:space="preserve">, </w:t>
      </w:r>
      <w:r w:rsidRPr="000B57D8">
        <w:rPr>
          <w:rFonts w:ascii="Arial Mäori" w:hAnsi="Arial Mäori"/>
        </w:rPr>
        <w:t xml:space="preserve">and this cost should be managed against allowances. In line with the Treasury’s guidance on this matter, MSD estimates the cost to be </w:t>
      </w:r>
      <w:r w:rsidR="00A03291">
        <w:rPr>
          <w:rFonts w:ascii="Arial Mäori" w:hAnsi="Arial Mäori"/>
        </w:rPr>
        <w:t xml:space="preserve">$0.196 million for the remainder of the 2022-23 financial year and over $0.300 million </w:t>
      </w:r>
      <w:r w:rsidR="00061F6C" w:rsidRPr="000B57D8">
        <w:rPr>
          <w:rFonts w:ascii="Arial Mäori" w:hAnsi="Arial Mäori"/>
        </w:rPr>
        <w:t>per annum</w:t>
      </w:r>
      <w:r w:rsidR="00A03291">
        <w:rPr>
          <w:rFonts w:ascii="Arial Mäori" w:hAnsi="Arial Mäori"/>
        </w:rPr>
        <w:t xml:space="preserve"> thereafter</w:t>
      </w:r>
      <w:r w:rsidRPr="000B57D8">
        <w:rPr>
          <w:rFonts w:ascii="Arial Mäori" w:hAnsi="Arial Mäori"/>
        </w:rPr>
        <w:t>.</w:t>
      </w:r>
    </w:p>
    <w:p w14:paraId="78956312" w14:textId="22EC1B1F" w:rsidR="0040227D" w:rsidRPr="000B57D8" w:rsidRDefault="0040227D" w:rsidP="00B141E1">
      <w:pPr>
        <w:numPr>
          <w:ilvl w:val="0"/>
          <w:numId w:val="13"/>
        </w:numPr>
        <w:spacing w:before="240"/>
        <w:jc w:val="left"/>
        <w:rPr>
          <w:rFonts w:ascii="Arial Mäori" w:hAnsi="Arial Mäori"/>
        </w:rPr>
      </w:pPr>
      <w:r w:rsidRPr="000B57D8">
        <w:rPr>
          <w:rFonts w:ascii="Arial Mäori" w:hAnsi="Arial Mäori"/>
        </w:rPr>
        <w:t xml:space="preserve">The cost arises because, if the policy change </w:t>
      </w:r>
      <w:r w:rsidR="004521C2">
        <w:rPr>
          <w:rFonts w:ascii="Arial Mäori" w:hAnsi="Arial Mäori"/>
        </w:rPr>
        <w:t>had not been</w:t>
      </w:r>
      <w:r w:rsidRPr="000B57D8">
        <w:rPr>
          <w:rFonts w:ascii="Arial Mäori" w:hAnsi="Arial Mäori"/>
        </w:rPr>
        <w:t xml:space="preserve"> agreed to, MSD would be required to apply the current law. </w:t>
      </w:r>
      <w:r w:rsidR="00061F6C" w:rsidRPr="000B57D8">
        <w:rPr>
          <w:rFonts w:ascii="Arial Mäori" w:hAnsi="Arial Mäori"/>
        </w:rPr>
        <w:t xml:space="preserve">This </w:t>
      </w:r>
      <w:r w:rsidRPr="000B57D8">
        <w:rPr>
          <w:rFonts w:ascii="Arial Mäori" w:hAnsi="Arial Mäori"/>
        </w:rPr>
        <w:t xml:space="preserve">would result in less </w:t>
      </w:r>
      <w:r w:rsidR="00061F6C" w:rsidRPr="000B57D8">
        <w:rPr>
          <w:rFonts w:ascii="Arial Mäori" w:hAnsi="Arial Mäori"/>
        </w:rPr>
        <w:t>AS</w:t>
      </w:r>
      <w:r w:rsidRPr="000B57D8">
        <w:rPr>
          <w:rFonts w:ascii="Arial Mäori" w:hAnsi="Arial Mäori"/>
        </w:rPr>
        <w:t xml:space="preserve"> being paid out than at present. </w:t>
      </w:r>
    </w:p>
    <w:p w14:paraId="1606A9AB" w14:textId="528EC1E7" w:rsidR="0040227D" w:rsidRPr="000B57D8" w:rsidRDefault="0040227D" w:rsidP="00B141E1">
      <w:pPr>
        <w:numPr>
          <w:ilvl w:val="0"/>
          <w:numId w:val="13"/>
        </w:numPr>
        <w:spacing w:before="240"/>
        <w:jc w:val="left"/>
        <w:rPr>
          <w:rFonts w:ascii="Arial Mäori" w:hAnsi="Arial Mäori"/>
        </w:rPr>
      </w:pPr>
      <w:r w:rsidRPr="000B57D8">
        <w:rPr>
          <w:rFonts w:ascii="Arial Mäori" w:hAnsi="Arial Mäori"/>
        </w:rPr>
        <w:t xml:space="preserve">Against this baseline, the policy change would increase the </w:t>
      </w:r>
      <w:r w:rsidR="00061F6C" w:rsidRPr="000B57D8">
        <w:rPr>
          <w:rFonts w:ascii="Arial Mäori" w:hAnsi="Arial Mäori"/>
        </w:rPr>
        <w:t xml:space="preserve">AS cost. </w:t>
      </w:r>
      <w:r w:rsidRPr="000B57D8">
        <w:rPr>
          <w:rFonts w:ascii="Arial Mäori" w:hAnsi="Arial Mäori"/>
        </w:rPr>
        <w:t>Similarly, because Ministers have a discretion as to whether to proceed with the change or not, the cost should be managed against allowances – in this case, again on Treasury advice, I propose to charge the cost against the Between-Budget Contingency.</w:t>
      </w:r>
    </w:p>
    <w:p w14:paraId="3761CCF1" w14:textId="77777777" w:rsidR="00BB4758" w:rsidRPr="000B57D8" w:rsidRDefault="00BB4758" w:rsidP="00BB4758">
      <w:pPr>
        <w:pStyle w:val="Heading1"/>
      </w:pPr>
      <w:r w:rsidRPr="000B57D8">
        <w:t xml:space="preserve">Impact Analysis </w:t>
      </w:r>
    </w:p>
    <w:p w14:paraId="3E0016FD" w14:textId="67C6BBE7" w:rsidR="00BB4758" w:rsidRDefault="00BB4758" w:rsidP="00B141E1">
      <w:pPr>
        <w:pStyle w:val="BodyText"/>
        <w:numPr>
          <w:ilvl w:val="0"/>
          <w:numId w:val="4"/>
        </w:numPr>
      </w:pPr>
      <w:r w:rsidRPr="000B57D8">
        <w:t>The Treasury Regulatory Quality Team has determined that</w:t>
      </w:r>
      <w:r w:rsidRPr="00C87DEA">
        <w:t xml:space="preserve"> the decisions sought in this paper are exempt from the Regulatory Impact Analysis requirements on the basis that they will have no or only minor impacts on businesses, individuals</w:t>
      </w:r>
      <w:r w:rsidR="009E2C6D">
        <w:t>,</w:t>
      </w:r>
      <w:r w:rsidRPr="00C87DEA">
        <w:t xml:space="preserve"> and not-for-profit entities.</w:t>
      </w:r>
    </w:p>
    <w:p w14:paraId="3AF85110" w14:textId="0B7F1D07" w:rsidR="004F692B" w:rsidRDefault="004F692B" w:rsidP="003F7EA0">
      <w:pPr>
        <w:pStyle w:val="Heading1"/>
        <w:tabs>
          <w:tab w:val="left" w:pos="5610"/>
        </w:tabs>
      </w:pPr>
      <w:r>
        <w:t>Climate Implications of Policy Assessment</w:t>
      </w:r>
      <w:r w:rsidR="003F7EA0">
        <w:tab/>
      </w:r>
    </w:p>
    <w:p w14:paraId="5C195EC8" w14:textId="30C100D3" w:rsidR="004F692B" w:rsidRPr="004F692B" w:rsidRDefault="004F692B" w:rsidP="004F692B">
      <w:pPr>
        <w:pStyle w:val="BodyText"/>
        <w:rPr>
          <w:rFonts w:ascii="Calibri" w:hAnsi="Calibri"/>
          <w:lang w:eastAsia="en-NZ"/>
        </w:rPr>
      </w:pPr>
      <w:r>
        <w:t xml:space="preserve">The Climate Implications of Policy Assessment (CIPA) team has been consulted and confirms that the CIPA requirements do not apply to this proposal as the threshold for significance is not met. </w:t>
      </w:r>
    </w:p>
    <w:p w14:paraId="580AD22B" w14:textId="581372C4" w:rsidR="004F692B" w:rsidRPr="000B57D8" w:rsidRDefault="004F692B" w:rsidP="004F692B">
      <w:pPr>
        <w:pStyle w:val="Heading1"/>
      </w:pPr>
      <w:r w:rsidRPr="000B57D8">
        <w:t>Population Implications</w:t>
      </w:r>
    </w:p>
    <w:p w14:paraId="3B1B8BEF" w14:textId="74C87BD9" w:rsidR="00B141E1" w:rsidRPr="000B57D8" w:rsidRDefault="00B141E1" w:rsidP="00B141E1">
      <w:pPr>
        <w:pStyle w:val="BodyText"/>
        <w:numPr>
          <w:ilvl w:val="0"/>
          <w:numId w:val="4"/>
        </w:numPr>
        <w:ind w:left="493" w:hanging="493"/>
        <w:rPr>
          <w:lang w:eastAsia="en-NZ"/>
        </w:rPr>
      </w:pPr>
      <w:r w:rsidRPr="000B57D8">
        <w:rPr>
          <w:lang w:eastAsia="en-NZ"/>
        </w:rPr>
        <w:t xml:space="preserve">This issue largely, but not entirely, affects older people. Currently, approximately </w:t>
      </w:r>
      <w:r w:rsidR="00061F6C" w:rsidRPr="000B57D8">
        <w:rPr>
          <w:lang w:eastAsia="en-NZ"/>
        </w:rPr>
        <w:t xml:space="preserve">300 </w:t>
      </w:r>
      <w:r w:rsidRPr="000B57D8">
        <w:rPr>
          <w:lang w:eastAsia="en-NZ"/>
        </w:rPr>
        <w:t xml:space="preserve">New Zealanders are receiving AS </w:t>
      </w:r>
      <w:proofErr w:type="spellStart"/>
      <w:r w:rsidRPr="000B57D8">
        <w:rPr>
          <w:lang w:eastAsia="en-NZ"/>
        </w:rPr>
        <w:t>as</w:t>
      </w:r>
      <w:proofErr w:type="spellEnd"/>
      <w:r w:rsidRPr="000B57D8">
        <w:rPr>
          <w:lang w:eastAsia="en-NZ"/>
        </w:rPr>
        <w:t xml:space="preserve"> a community partner, predominantly in receipt of either New Zealand Superannuation or a Veterans</w:t>
      </w:r>
      <w:r w:rsidR="00852935">
        <w:rPr>
          <w:lang w:eastAsia="en-NZ"/>
        </w:rPr>
        <w:t>’</w:t>
      </w:r>
      <w:r w:rsidRPr="000B57D8">
        <w:rPr>
          <w:lang w:eastAsia="en-NZ"/>
        </w:rPr>
        <w:t xml:space="preserve"> Pension. A significant proportion live in Central Auckland and are in private, rental accommodation. The impact of the proposed amendment to this cohort will be neutral, ensuring they continue to receive the same benefit rates. Alternative options have been explored, which would in the majority of cases result in a reduction in </w:t>
      </w:r>
      <w:r w:rsidR="008C6A24">
        <w:rPr>
          <w:lang w:eastAsia="en-NZ"/>
        </w:rPr>
        <w:t>AS</w:t>
      </w:r>
      <w:r w:rsidRPr="000B57D8">
        <w:rPr>
          <w:lang w:eastAsia="en-NZ"/>
        </w:rPr>
        <w:t xml:space="preserve"> that community partners would receive. </w:t>
      </w:r>
    </w:p>
    <w:p w14:paraId="247EAECB" w14:textId="77777777" w:rsidR="00BB4758" w:rsidRPr="000B57D8" w:rsidRDefault="00BB4758" w:rsidP="00BB4758">
      <w:pPr>
        <w:pStyle w:val="Heading1"/>
      </w:pPr>
      <w:r w:rsidRPr="000B57D8">
        <w:t>Certification by Parliamentary Counsel</w:t>
      </w:r>
    </w:p>
    <w:p w14:paraId="2B047525" w14:textId="77777777" w:rsidR="00BB4758" w:rsidRPr="000B57D8" w:rsidRDefault="00BB4758" w:rsidP="00B141E1">
      <w:pPr>
        <w:pStyle w:val="BodyText"/>
        <w:numPr>
          <w:ilvl w:val="0"/>
          <w:numId w:val="4"/>
        </w:numPr>
      </w:pPr>
      <w:r w:rsidRPr="000B57D8">
        <w:t>The Bill has been drafted and certified by the Parliamentary Counsel Office in anticipation of Cabinet’s approval.</w:t>
      </w:r>
    </w:p>
    <w:p w14:paraId="650EC649" w14:textId="77777777" w:rsidR="00BB4758" w:rsidRDefault="00BB4758" w:rsidP="00BB4758">
      <w:pPr>
        <w:pStyle w:val="Heading1"/>
      </w:pPr>
      <w:r>
        <w:t>Commencement of legislation</w:t>
      </w:r>
    </w:p>
    <w:p w14:paraId="02DC65B2" w14:textId="77777777" w:rsidR="0030579D" w:rsidRDefault="0030579D" w:rsidP="00B141E1">
      <w:pPr>
        <w:pStyle w:val="BodyText"/>
        <w:numPr>
          <w:ilvl w:val="0"/>
          <w:numId w:val="4"/>
        </w:numPr>
      </w:pPr>
      <w:r>
        <w:rPr>
          <w:iCs/>
        </w:rPr>
        <w:t xml:space="preserve">The Bill will come into force the day after the date on which it is granted Royal assent and no later than 1 December 2022. </w:t>
      </w:r>
    </w:p>
    <w:p w14:paraId="76CFE417" w14:textId="77777777" w:rsidR="00BB4758" w:rsidRDefault="00BB4758" w:rsidP="00BB4758">
      <w:pPr>
        <w:pStyle w:val="Heading1"/>
      </w:pPr>
      <w:r>
        <w:t>Parliamentary stages</w:t>
      </w:r>
    </w:p>
    <w:p w14:paraId="206E346E" w14:textId="40A7FB08" w:rsidR="00BB4758" w:rsidRDefault="00BB4758" w:rsidP="00B141E1">
      <w:pPr>
        <w:pStyle w:val="BodyText"/>
        <w:numPr>
          <w:ilvl w:val="0"/>
          <w:numId w:val="4"/>
        </w:numPr>
      </w:pPr>
      <w:r w:rsidRPr="00E20530">
        <w:t xml:space="preserve">The Bill should be introduced </w:t>
      </w:r>
      <w:r w:rsidR="0030579D">
        <w:t>by</w:t>
      </w:r>
      <w:r w:rsidRPr="00E20530">
        <w:t xml:space="preserve"> </w:t>
      </w:r>
      <w:r w:rsidR="009E2C6D">
        <w:t>1</w:t>
      </w:r>
      <w:r w:rsidR="0030579D">
        <w:t>7</w:t>
      </w:r>
      <w:r w:rsidRPr="00E20530">
        <w:t xml:space="preserve"> </w:t>
      </w:r>
      <w:r w:rsidR="009E2C6D">
        <w:t>November</w:t>
      </w:r>
      <w:r w:rsidRPr="00E20530">
        <w:t xml:space="preserve"> 20</w:t>
      </w:r>
      <w:r w:rsidR="009E2C6D">
        <w:t>22</w:t>
      </w:r>
      <w:r w:rsidRPr="00E20530">
        <w:t xml:space="preserve"> and </w:t>
      </w:r>
      <w:r>
        <w:t>enacted</w:t>
      </w:r>
      <w:r w:rsidRPr="00E20530">
        <w:t xml:space="preserve"> </w:t>
      </w:r>
      <w:r w:rsidR="009E2C6D">
        <w:t>no later than</w:t>
      </w:r>
      <w:r w:rsidR="00017FA3">
        <w:t xml:space="preserve"> </w:t>
      </w:r>
      <w:r w:rsidR="009E2C6D">
        <w:t>25</w:t>
      </w:r>
      <w:r w:rsidR="00017FA3">
        <w:t xml:space="preserve"> </w:t>
      </w:r>
      <w:r w:rsidR="009E2C6D">
        <w:t>November 2022</w:t>
      </w:r>
      <w:r>
        <w:t>. I propose that</w:t>
      </w:r>
      <w:r w:rsidR="009E2C6D">
        <w:t xml:space="preserve"> no Select Committee process be undertaken since the Bill proposes minor amendments and will not have an adverse effect on current clients. </w:t>
      </w:r>
    </w:p>
    <w:p w14:paraId="3EDE23EC" w14:textId="77777777" w:rsidR="00BB4758" w:rsidRPr="00E20530" w:rsidRDefault="00BB4758" w:rsidP="003D3CE3">
      <w:pPr>
        <w:pStyle w:val="BodyText"/>
        <w:keepNext/>
        <w:numPr>
          <w:ilvl w:val="0"/>
          <w:numId w:val="0"/>
        </w:numPr>
        <w:rPr>
          <w:b/>
          <w:kern w:val="28"/>
          <w:sz w:val="24"/>
          <w:szCs w:val="20"/>
        </w:rPr>
      </w:pPr>
      <w:r w:rsidRPr="00E20530">
        <w:rPr>
          <w:b/>
          <w:kern w:val="28"/>
          <w:sz w:val="24"/>
          <w:szCs w:val="20"/>
        </w:rPr>
        <w:t>Proactive release</w:t>
      </w:r>
    </w:p>
    <w:p w14:paraId="6B14E4E8" w14:textId="65D4BD33" w:rsidR="00BB4758" w:rsidRPr="00EF7063" w:rsidRDefault="00A6487F" w:rsidP="00B141E1">
      <w:pPr>
        <w:pStyle w:val="BodyText"/>
        <w:keepNext/>
        <w:numPr>
          <w:ilvl w:val="0"/>
          <w:numId w:val="4"/>
        </w:numPr>
      </w:pPr>
      <w:r>
        <w:t xml:space="preserve">I propose to partially release this </w:t>
      </w:r>
      <w:r w:rsidR="00BB4758">
        <w:t xml:space="preserve">paper as per Cabinet Office circular </w:t>
      </w:r>
      <w:proofErr w:type="gramStart"/>
      <w:r w:rsidR="00BB4758">
        <w:t>CO(</w:t>
      </w:r>
      <w:proofErr w:type="gramEnd"/>
      <w:r w:rsidR="00BB4758">
        <w:t xml:space="preserve">18) 4: Proactive Release of Cabinet Material </w:t>
      </w:r>
      <w:r w:rsidR="00FA76BD">
        <w:rPr>
          <w:rFonts w:cs="Arial"/>
        </w:rPr>
        <w:t>[Redacted content]</w:t>
      </w:r>
      <w:r w:rsidR="00FA76BD">
        <w:rPr>
          <w:rFonts w:cs="Arial"/>
        </w:rPr>
        <w:t>.</w:t>
      </w:r>
      <w:r w:rsidR="00BB4758">
        <w:t xml:space="preserve"> </w:t>
      </w:r>
      <w:r w:rsidR="00BB4758" w:rsidRPr="005F37F7">
        <w:t xml:space="preserve"> </w:t>
      </w:r>
    </w:p>
    <w:p w14:paraId="1B9E7FC3" w14:textId="77777777" w:rsidR="00BB4758" w:rsidRDefault="00BB4758" w:rsidP="00BB4758">
      <w:pPr>
        <w:pStyle w:val="Heading1"/>
      </w:pPr>
      <w:r>
        <w:t>Gender and disability implications</w:t>
      </w:r>
    </w:p>
    <w:p w14:paraId="2A980979" w14:textId="77777777" w:rsidR="00BB4758" w:rsidRPr="000B57D8" w:rsidRDefault="00BB4758" w:rsidP="00B141E1">
      <w:pPr>
        <w:pStyle w:val="BodyText"/>
        <w:numPr>
          <w:ilvl w:val="0"/>
          <w:numId w:val="4"/>
        </w:numPr>
      </w:pPr>
      <w:r>
        <w:t xml:space="preserve">The </w:t>
      </w:r>
      <w:r w:rsidRPr="000B57D8">
        <w:t>proposed amendments are policy neutral and do not have any gender or disability implications.</w:t>
      </w:r>
    </w:p>
    <w:p w14:paraId="681AF0A2" w14:textId="77777777" w:rsidR="002F03F2" w:rsidRDefault="002F03F2">
      <w:pPr>
        <w:jc w:val="left"/>
        <w:rPr>
          <w:rFonts w:ascii="Arial Mäori" w:hAnsi="Arial Mäori"/>
          <w:b/>
          <w:kern w:val="28"/>
          <w:sz w:val="24"/>
        </w:rPr>
      </w:pPr>
      <w:r>
        <w:br w:type="page"/>
      </w:r>
    </w:p>
    <w:p w14:paraId="25B03230" w14:textId="3888831E" w:rsidR="00BB4758" w:rsidRPr="000B57D8" w:rsidRDefault="00BB4758" w:rsidP="00BB4758">
      <w:pPr>
        <w:pStyle w:val="Heading1"/>
      </w:pPr>
      <w:r w:rsidRPr="000B57D8">
        <w:t>Recommendations</w:t>
      </w:r>
    </w:p>
    <w:p w14:paraId="73821CFF" w14:textId="77777777" w:rsidR="00BB4758" w:rsidRPr="000B57D8" w:rsidRDefault="00BB4758" w:rsidP="00B141E1">
      <w:pPr>
        <w:pStyle w:val="BodyText"/>
        <w:numPr>
          <w:ilvl w:val="0"/>
          <w:numId w:val="4"/>
        </w:numPr>
      </w:pPr>
      <w:r w:rsidRPr="000B57D8">
        <w:t>It is recommended that Cabinet:</w:t>
      </w:r>
    </w:p>
    <w:p w14:paraId="5B1E30A7" w14:textId="77777777" w:rsidR="00213E28" w:rsidRDefault="00BB4758" w:rsidP="00213E28">
      <w:pPr>
        <w:pStyle w:val="BodyTextlevel2"/>
      </w:pPr>
      <w:r w:rsidRPr="000B57D8">
        <w:rPr>
          <w:b/>
        </w:rPr>
        <w:t>agree</w:t>
      </w:r>
      <w:r w:rsidRPr="000B57D8">
        <w:t xml:space="preserve"> to add</w:t>
      </w:r>
      <w:r>
        <w:t xml:space="preserve"> the </w:t>
      </w:r>
      <w:r w:rsidR="00B141E1">
        <w:rPr>
          <w:i/>
          <w:iCs/>
        </w:rPr>
        <w:t>Social Security (</w:t>
      </w:r>
      <w:r w:rsidR="00B141E1" w:rsidRPr="0015714D">
        <w:rPr>
          <w:i/>
        </w:rPr>
        <w:t>Accommodation Supplement</w:t>
      </w:r>
      <w:r w:rsidR="00B141E1">
        <w:rPr>
          <w:i/>
        </w:rPr>
        <w:t>)</w:t>
      </w:r>
      <w:r w:rsidR="00B141E1" w:rsidRPr="0015714D">
        <w:rPr>
          <w:i/>
        </w:rPr>
        <w:t xml:space="preserve"> Amendment Bill</w:t>
      </w:r>
      <w:r w:rsidR="00B141E1">
        <w:t xml:space="preserve"> </w:t>
      </w:r>
      <w:r>
        <w:t>to the 20</w:t>
      </w:r>
      <w:r w:rsidR="009E2C6D">
        <w:t>22</w:t>
      </w:r>
      <w:r>
        <w:t xml:space="preserve"> Legislation Programme with a category 2 priority (must be passed in 20</w:t>
      </w:r>
      <w:r w:rsidR="009E2C6D">
        <w:t>22</w:t>
      </w:r>
      <w:r>
        <w:t>);</w:t>
      </w:r>
    </w:p>
    <w:p w14:paraId="5BDB1DE3" w14:textId="037BAB32" w:rsidR="00213E28" w:rsidRDefault="00FA76BD" w:rsidP="00213E28">
      <w:pPr>
        <w:pStyle w:val="BodyTextlevel2"/>
      </w:pPr>
      <w:r>
        <w:rPr>
          <w:rFonts w:cs="Arial"/>
        </w:rPr>
        <w:t>[Redacted content</w:t>
      </w:r>
      <w:proofErr w:type="gramStart"/>
      <w:r>
        <w:rPr>
          <w:rFonts w:cs="Arial"/>
        </w:rPr>
        <w:t>]</w:t>
      </w:r>
      <w:r w:rsidR="0030579D">
        <w:t>;</w:t>
      </w:r>
      <w:proofErr w:type="gramEnd"/>
    </w:p>
    <w:p w14:paraId="610440CC" w14:textId="7F9A7A45" w:rsidR="00C7028D" w:rsidRPr="00C7028D" w:rsidRDefault="00761B3A" w:rsidP="00213E28">
      <w:pPr>
        <w:pStyle w:val="BodyTextlevel2"/>
      </w:pPr>
      <w:r>
        <w:rPr>
          <w:b/>
        </w:rPr>
        <w:t>agree</w:t>
      </w:r>
      <w:r w:rsidR="00B141E1" w:rsidRPr="00C7028D">
        <w:rPr>
          <w:b/>
        </w:rPr>
        <w:t xml:space="preserve"> </w:t>
      </w:r>
      <w:r w:rsidR="00B141E1" w:rsidRPr="00C7028D">
        <w:t xml:space="preserve">that the purpose of </w:t>
      </w:r>
      <w:r w:rsidR="00B141E1" w:rsidRPr="0054467F">
        <w:t xml:space="preserve">the </w:t>
      </w:r>
      <w:r w:rsidR="00B141E1" w:rsidRPr="0054467F">
        <w:rPr>
          <w:i/>
          <w:iCs/>
        </w:rPr>
        <w:t>Social Security (</w:t>
      </w:r>
      <w:r w:rsidR="00B141E1" w:rsidRPr="0054467F">
        <w:rPr>
          <w:i/>
        </w:rPr>
        <w:t>Accommodation Supplement) Amendment Bill</w:t>
      </w:r>
      <w:r w:rsidR="00B141E1" w:rsidRPr="0054467F">
        <w:t xml:space="preserve"> is to </w:t>
      </w:r>
      <w:r w:rsidR="00C7028D" w:rsidRPr="0054467F">
        <w:t>amend the Social Security Act 2018</w:t>
      </w:r>
      <w:r w:rsidR="002F03F2" w:rsidRPr="0054467F">
        <w:t xml:space="preserve"> and</w:t>
      </w:r>
      <w:r w:rsidR="00852935" w:rsidRPr="0054467F">
        <w:t xml:space="preserve"> </w:t>
      </w:r>
      <w:r w:rsidR="00C7028D" w:rsidRPr="0054467F">
        <w:t>Social Security Regulations 2018</w:t>
      </w:r>
      <w:r w:rsidR="00852935" w:rsidRPr="0054467F">
        <w:t xml:space="preserve"> </w:t>
      </w:r>
      <w:r w:rsidR="002F03F2" w:rsidRPr="0054467F">
        <w:t xml:space="preserve">– </w:t>
      </w:r>
      <w:r w:rsidR="00E12C33" w:rsidRPr="0054467F">
        <w:t xml:space="preserve">with consequential amendments to the </w:t>
      </w:r>
      <w:r w:rsidR="00852935" w:rsidRPr="0054467F">
        <w:t xml:space="preserve">New Zealand Superannuation and Retirement Income Act 2001 and the Veterans’ Support Act 2014 </w:t>
      </w:r>
      <w:r w:rsidR="002F03F2" w:rsidRPr="0054467F">
        <w:t>–</w:t>
      </w:r>
      <w:r w:rsidR="002F03F2">
        <w:t xml:space="preserve"> </w:t>
      </w:r>
      <w:r w:rsidR="00C7028D" w:rsidRPr="00C7028D">
        <w:t>and recognise an individual, whose partner is in long-term residential care, as single for the purpose of calculating entitlement for Accommodation Supplement</w:t>
      </w:r>
      <w:r w:rsidR="00C7028D">
        <w:t>;</w:t>
      </w:r>
    </w:p>
    <w:p w14:paraId="2C62FD15" w14:textId="5AF1260D" w:rsidR="0040227D" w:rsidRPr="0080123A" w:rsidRDefault="0040227D" w:rsidP="00213E28">
      <w:pPr>
        <w:pStyle w:val="BodyTextlevel2"/>
      </w:pPr>
      <w:r w:rsidRPr="0080123A">
        <w:rPr>
          <w:b/>
        </w:rPr>
        <w:t xml:space="preserve">note </w:t>
      </w:r>
      <w:r w:rsidRPr="0080123A">
        <w:t xml:space="preserve">the following forecast changes to the cost of Accommodation Supplement with a corresponding impact on the operating balance and net debt, arising from the finding that MSD’s operational practice in respect of individuals whose partner is in </w:t>
      </w:r>
      <w:r w:rsidR="00743FBE" w:rsidRPr="0080123A">
        <w:t xml:space="preserve">long-term </w:t>
      </w:r>
      <w:r w:rsidRPr="0080123A">
        <w:t>residential care does not align with legislative requirements:</w:t>
      </w:r>
    </w:p>
    <w:p w14:paraId="6D72A7DF" w14:textId="77777777" w:rsidR="0040227D" w:rsidRPr="0080123A" w:rsidRDefault="0040227D" w:rsidP="00017FA3">
      <w:pPr>
        <w:pStyle w:val="BodyTextlevel2"/>
        <w:numPr>
          <w:ilvl w:val="0"/>
          <w:numId w:val="0"/>
        </w:numPr>
        <w:tabs>
          <w:tab w:val="left" w:pos="720"/>
        </w:tabs>
        <w:spacing w:before="0"/>
        <w:ind w:left="709"/>
      </w:pPr>
    </w:p>
    <w:tbl>
      <w:tblPr>
        <w:tblStyle w:val="TableGrid"/>
        <w:tblW w:w="0" w:type="auto"/>
        <w:tblInd w:w="925" w:type="dxa"/>
        <w:tblLook w:val="04A0" w:firstRow="1" w:lastRow="0" w:firstColumn="1" w:lastColumn="0" w:noHBand="0" w:noVBand="1"/>
      </w:tblPr>
      <w:tblGrid>
        <w:gridCol w:w="2222"/>
        <w:gridCol w:w="1112"/>
        <w:gridCol w:w="1112"/>
        <w:gridCol w:w="1113"/>
        <w:gridCol w:w="1113"/>
        <w:gridCol w:w="1113"/>
      </w:tblGrid>
      <w:tr w:rsidR="003B11DD" w:rsidRPr="0080123A" w14:paraId="34C9664E" w14:textId="77777777" w:rsidTr="00E71D33">
        <w:tc>
          <w:tcPr>
            <w:tcW w:w="2222" w:type="dxa"/>
            <w:tcBorders>
              <w:top w:val="nil"/>
              <w:left w:val="nil"/>
              <w:bottom w:val="single" w:sz="4" w:space="0" w:color="auto"/>
              <w:right w:val="single" w:sz="4" w:space="0" w:color="auto"/>
            </w:tcBorders>
          </w:tcPr>
          <w:p w14:paraId="629F1803" w14:textId="77777777" w:rsidR="0040227D" w:rsidRPr="0080123A" w:rsidRDefault="0040227D">
            <w:pPr>
              <w:pStyle w:val="BodyTextlevel2"/>
              <w:numPr>
                <w:ilvl w:val="0"/>
                <w:numId w:val="0"/>
              </w:numPr>
              <w:tabs>
                <w:tab w:val="left" w:pos="720"/>
              </w:tabs>
              <w:spacing w:before="0"/>
              <w:rPr>
                <w:sz w:val="20"/>
                <w:szCs w:val="20"/>
              </w:rPr>
            </w:pPr>
          </w:p>
        </w:tc>
        <w:tc>
          <w:tcPr>
            <w:tcW w:w="5563" w:type="dxa"/>
            <w:gridSpan w:val="5"/>
            <w:tcBorders>
              <w:top w:val="single" w:sz="4" w:space="0" w:color="auto"/>
              <w:left w:val="single" w:sz="4" w:space="0" w:color="auto"/>
              <w:bottom w:val="single" w:sz="4" w:space="0" w:color="auto"/>
              <w:right w:val="single" w:sz="4" w:space="0" w:color="auto"/>
            </w:tcBorders>
            <w:hideMark/>
          </w:tcPr>
          <w:p w14:paraId="0C690AA0" w14:textId="77777777" w:rsidR="0040227D" w:rsidRPr="0080123A" w:rsidRDefault="0040227D">
            <w:pPr>
              <w:pStyle w:val="BodyTextlevel2"/>
              <w:numPr>
                <w:ilvl w:val="0"/>
                <w:numId w:val="0"/>
              </w:numPr>
              <w:tabs>
                <w:tab w:val="left" w:pos="720"/>
              </w:tabs>
              <w:spacing w:before="0"/>
              <w:jc w:val="center"/>
              <w:rPr>
                <w:sz w:val="20"/>
                <w:szCs w:val="20"/>
              </w:rPr>
            </w:pPr>
            <w:r w:rsidRPr="0080123A">
              <w:rPr>
                <w:sz w:val="20"/>
                <w:szCs w:val="20"/>
              </w:rPr>
              <w:t>$m – increase / (decrease)</w:t>
            </w:r>
          </w:p>
        </w:tc>
      </w:tr>
      <w:tr w:rsidR="003B11DD" w:rsidRPr="0080123A" w14:paraId="244DC105" w14:textId="77777777" w:rsidTr="00E71D33">
        <w:tc>
          <w:tcPr>
            <w:tcW w:w="2222" w:type="dxa"/>
            <w:tcBorders>
              <w:top w:val="single" w:sz="4" w:space="0" w:color="auto"/>
              <w:left w:val="single" w:sz="4" w:space="0" w:color="auto"/>
              <w:bottom w:val="single" w:sz="4" w:space="0" w:color="auto"/>
              <w:right w:val="single" w:sz="4" w:space="0" w:color="auto"/>
            </w:tcBorders>
            <w:hideMark/>
          </w:tcPr>
          <w:p w14:paraId="2D66916F"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Vote Social Development</w:t>
            </w:r>
          </w:p>
          <w:p w14:paraId="52E613A8" w14:textId="01F271E4" w:rsidR="0040227D" w:rsidRPr="0080123A" w:rsidRDefault="0040227D">
            <w:pPr>
              <w:pStyle w:val="BodyTextlevel2"/>
              <w:numPr>
                <w:ilvl w:val="0"/>
                <w:numId w:val="0"/>
              </w:numPr>
              <w:tabs>
                <w:tab w:val="left" w:pos="720"/>
              </w:tabs>
              <w:spacing w:before="0"/>
              <w:rPr>
                <w:sz w:val="20"/>
                <w:szCs w:val="20"/>
              </w:rPr>
            </w:pPr>
            <w:r w:rsidRPr="0080123A">
              <w:rPr>
                <w:b/>
                <w:bCs/>
                <w:sz w:val="20"/>
                <w:szCs w:val="20"/>
              </w:rPr>
              <w:t xml:space="preserve">Minister </w:t>
            </w:r>
            <w:r w:rsidR="00761B3A" w:rsidRPr="0080123A">
              <w:rPr>
                <w:b/>
                <w:bCs/>
                <w:sz w:val="20"/>
                <w:szCs w:val="20"/>
              </w:rPr>
              <w:t>of</w:t>
            </w:r>
            <w:r w:rsidRPr="0080123A">
              <w:rPr>
                <w:b/>
                <w:bCs/>
                <w:sz w:val="20"/>
                <w:szCs w:val="20"/>
              </w:rPr>
              <w:t xml:space="preserve"> </w:t>
            </w:r>
            <w:r w:rsidR="003B11DD" w:rsidRPr="0080123A">
              <w:rPr>
                <w:b/>
                <w:bCs/>
                <w:sz w:val="20"/>
                <w:szCs w:val="20"/>
              </w:rPr>
              <w:t>H</w:t>
            </w:r>
            <w:r w:rsidR="003B11DD" w:rsidRPr="0080123A">
              <w:rPr>
                <w:b/>
                <w:bCs/>
                <w:sz w:val="20"/>
              </w:rPr>
              <w:t>ousing</w:t>
            </w:r>
          </w:p>
        </w:tc>
        <w:tc>
          <w:tcPr>
            <w:tcW w:w="1112" w:type="dxa"/>
            <w:tcBorders>
              <w:top w:val="single" w:sz="4" w:space="0" w:color="auto"/>
              <w:left w:val="single" w:sz="4" w:space="0" w:color="auto"/>
              <w:bottom w:val="single" w:sz="4" w:space="0" w:color="auto"/>
              <w:right w:val="single" w:sz="4" w:space="0" w:color="auto"/>
            </w:tcBorders>
            <w:hideMark/>
          </w:tcPr>
          <w:p w14:paraId="5F8D070B"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2022/23</w:t>
            </w:r>
          </w:p>
        </w:tc>
        <w:tc>
          <w:tcPr>
            <w:tcW w:w="1112" w:type="dxa"/>
            <w:tcBorders>
              <w:top w:val="single" w:sz="4" w:space="0" w:color="auto"/>
              <w:left w:val="single" w:sz="4" w:space="0" w:color="auto"/>
              <w:bottom w:val="single" w:sz="4" w:space="0" w:color="auto"/>
              <w:right w:val="single" w:sz="4" w:space="0" w:color="auto"/>
            </w:tcBorders>
            <w:hideMark/>
          </w:tcPr>
          <w:p w14:paraId="40542A3B"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2023/24</w:t>
            </w:r>
          </w:p>
        </w:tc>
        <w:tc>
          <w:tcPr>
            <w:tcW w:w="1113" w:type="dxa"/>
            <w:tcBorders>
              <w:top w:val="single" w:sz="4" w:space="0" w:color="auto"/>
              <w:left w:val="single" w:sz="4" w:space="0" w:color="auto"/>
              <w:bottom w:val="single" w:sz="4" w:space="0" w:color="auto"/>
              <w:right w:val="single" w:sz="4" w:space="0" w:color="auto"/>
            </w:tcBorders>
            <w:hideMark/>
          </w:tcPr>
          <w:p w14:paraId="77E4EF39"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2024/25</w:t>
            </w:r>
          </w:p>
        </w:tc>
        <w:tc>
          <w:tcPr>
            <w:tcW w:w="1113" w:type="dxa"/>
            <w:tcBorders>
              <w:top w:val="single" w:sz="4" w:space="0" w:color="auto"/>
              <w:left w:val="single" w:sz="4" w:space="0" w:color="auto"/>
              <w:bottom w:val="single" w:sz="4" w:space="0" w:color="auto"/>
              <w:right w:val="single" w:sz="4" w:space="0" w:color="auto"/>
            </w:tcBorders>
            <w:hideMark/>
          </w:tcPr>
          <w:p w14:paraId="24BA5D16"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2025/26</w:t>
            </w:r>
          </w:p>
        </w:tc>
        <w:tc>
          <w:tcPr>
            <w:tcW w:w="1113" w:type="dxa"/>
            <w:tcBorders>
              <w:top w:val="single" w:sz="4" w:space="0" w:color="auto"/>
              <w:left w:val="single" w:sz="4" w:space="0" w:color="auto"/>
              <w:bottom w:val="single" w:sz="4" w:space="0" w:color="auto"/>
              <w:right w:val="single" w:sz="4" w:space="0" w:color="auto"/>
            </w:tcBorders>
            <w:hideMark/>
          </w:tcPr>
          <w:p w14:paraId="1C91E6BE"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2026/27 &amp; Outyears</w:t>
            </w:r>
          </w:p>
        </w:tc>
      </w:tr>
      <w:tr w:rsidR="003B11DD" w:rsidRPr="0080123A" w14:paraId="765B2755" w14:textId="77777777" w:rsidTr="00E71D33">
        <w:tc>
          <w:tcPr>
            <w:tcW w:w="2222" w:type="dxa"/>
            <w:tcBorders>
              <w:top w:val="single" w:sz="4" w:space="0" w:color="auto"/>
              <w:left w:val="single" w:sz="4" w:space="0" w:color="auto"/>
              <w:bottom w:val="single" w:sz="4" w:space="0" w:color="auto"/>
              <w:right w:val="single" w:sz="4" w:space="0" w:color="auto"/>
            </w:tcBorders>
            <w:hideMark/>
          </w:tcPr>
          <w:p w14:paraId="55F2A6EB" w14:textId="77777777" w:rsidR="0040227D" w:rsidRPr="0080123A" w:rsidRDefault="0040227D">
            <w:pPr>
              <w:pStyle w:val="BodyTextlevel2"/>
              <w:numPr>
                <w:ilvl w:val="0"/>
                <w:numId w:val="0"/>
              </w:numPr>
              <w:tabs>
                <w:tab w:val="left" w:pos="720"/>
              </w:tabs>
              <w:spacing w:before="0"/>
              <w:rPr>
                <w:sz w:val="20"/>
                <w:szCs w:val="20"/>
              </w:rPr>
            </w:pPr>
            <w:r w:rsidRPr="0080123A">
              <w:rPr>
                <w:sz w:val="20"/>
                <w:szCs w:val="20"/>
              </w:rPr>
              <w:t>Benefits or Related Expenses:</w:t>
            </w:r>
          </w:p>
          <w:p w14:paraId="58FA77DC" w14:textId="77777777" w:rsidR="0040227D" w:rsidRPr="0080123A" w:rsidRDefault="0040227D">
            <w:pPr>
              <w:pStyle w:val="BodyTextlevel2"/>
              <w:numPr>
                <w:ilvl w:val="0"/>
                <w:numId w:val="0"/>
              </w:numPr>
              <w:tabs>
                <w:tab w:val="left" w:pos="720"/>
              </w:tabs>
              <w:spacing w:before="0"/>
              <w:rPr>
                <w:i/>
                <w:iCs/>
                <w:sz w:val="20"/>
                <w:szCs w:val="20"/>
              </w:rPr>
            </w:pPr>
            <w:r w:rsidRPr="0080123A">
              <w:rPr>
                <w:i/>
                <w:iCs/>
                <w:sz w:val="20"/>
                <w:szCs w:val="20"/>
              </w:rPr>
              <w:t>Accommodation Assistance</w:t>
            </w:r>
          </w:p>
        </w:tc>
        <w:tc>
          <w:tcPr>
            <w:tcW w:w="1112" w:type="dxa"/>
            <w:tcBorders>
              <w:top w:val="single" w:sz="4" w:space="0" w:color="auto"/>
              <w:left w:val="single" w:sz="4" w:space="0" w:color="auto"/>
              <w:bottom w:val="single" w:sz="4" w:space="0" w:color="auto"/>
              <w:right w:val="single" w:sz="4" w:space="0" w:color="auto"/>
            </w:tcBorders>
            <w:hideMark/>
          </w:tcPr>
          <w:p w14:paraId="1BD521BE" w14:textId="3D19743C" w:rsidR="0040227D" w:rsidRPr="0080123A" w:rsidRDefault="00DF669C" w:rsidP="00DF669C">
            <w:pPr>
              <w:pStyle w:val="BodyTextlevel2"/>
              <w:numPr>
                <w:ilvl w:val="0"/>
                <w:numId w:val="0"/>
              </w:numPr>
              <w:tabs>
                <w:tab w:val="left" w:pos="720"/>
              </w:tabs>
              <w:spacing w:before="0"/>
              <w:jc w:val="center"/>
              <w:rPr>
                <w:sz w:val="20"/>
                <w:szCs w:val="20"/>
              </w:rPr>
            </w:pPr>
            <w:r w:rsidRPr="0080123A">
              <w:rPr>
                <w:sz w:val="20"/>
                <w:szCs w:val="20"/>
              </w:rPr>
              <w:t>(0.196)</w:t>
            </w:r>
          </w:p>
        </w:tc>
        <w:tc>
          <w:tcPr>
            <w:tcW w:w="1112" w:type="dxa"/>
            <w:tcBorders>
              <w:top w:val="single" w:sz="4" w:space="0" w:color="auto"/>
              <w:left w:val="single" w:sz="4" w:space="0" w:color="auto"/>
              <w:bottom w:val="single" w:sz="4" w:space="0" w:color="auto"/>
              <w:right w:val="single" w:sz="4" w:space="0" w:color="auto"/>
            </w:tcBorders>
          </w:tcPr>
          <w:p w14:paraId="5A7C424D" w14:textId="4DD84160" w:rsidR="0040227D" w:rsidRPr="0080123A" w:rsidRDefault="00DF669C" w:rsidP="00DF669C">
            <w:pPr>
              <w:pStyle w:val="BodyTextlevel2"/>
              <w:numPr>
                <w:ilvl w:val="0"/>
                <w:numId w:val="0"/>
              </w:numPr>
              <w:tabs>
                <w:tab w:val="left" w:pos="720"/>
              </w:tabs>
              <w:spacing w:before="0"/>
              <w:jc w:val="center"/>
              <w:rPr>
                <w:sz w:val="20"/>
                <w:szCs w:val="20"/>
              </w:rPr>
            </w:pPr>
            <w:r w:rsidRPr="0080123A">
              <w:rPr>
                <w:sz w:val="20"/>
                <w:szCs w:val="20"/>
              </w:rPr>
              <w:t>(0.330)</w:t>
            </w:r>
          </w:p>
        </w:tc>
        <w:tc>
          <w:tcPr>
            <w:tcW w:w="1113" w:type="dxa"/>
            <w:tcBorders>
              <w:top w:val="single" w:sz="4" w:space="0" w:color="auto"/>
              <w:left w:val="single" w:sz="4" w:space="0" w:color="auto"/>
              <w:bottom w:val="single" w:sz="4" w:space="0" w:color="auto"/>
              <w:right w:val="single" w:sz="4" w:space="0" w:color="auto"/>
            </w:tcBorders>
          </w:tcPr>
          <w:p w14:paraId="6C085A5D" w14:textId="2176C924" w:rsidR="0040227D" w:rsidRPr="0080123A" w:rsidRDefault="00DF669C" w:rsidP="00DF669C">
            <w:pPr>
              <w:pStyle w:val="BodyTextlevel2"/>
              <w:numPr>
                <w:ilvl w:val="0"/>
                <w:numId w:val="0"/>
              </w:numPr>
              <w:tabs>
                <w:tab w:val="left" w:pos="720"/>
              </w:tabs>
              <w:spacing w:before="0"/>
              <w:jc w:val="center"/>
              <w:rPr>
                <w:sz w:val="20"/>
                <w:szCs w:val="20"/>
              </w:rPr>
            </w:pPr>
            <w:r w:rsidRPr="0080123A">
              <w:rPr>
                <w:sz w:val="20"/>
                <w:szCs w:val="20"/>
              </w:rPr>
              <w:t>(0.321)</w:t>
            </w:r>
          </w:p>
        </w:tc>
        <w:tc>
          <w:tcPr>
            <w:tcW w:w="1113" w:type="dxa"/>
            <w:tcBorders>
              <w:top w:val="single" w:sz="4" w:space="0" w:color="auto"/>
              <w:left w:val="single" w:sz="4" w:space="0" w:color="auto"/>
              <w:bottom w:val="single" w:sz="4" w:space="0" w:color="auto"/>
              <w:right w:val="single" w:sz="4" w:space="0" w:color="auto"/>
            </w:tcBorders>
          </w:tcPr>
          <w:p w14:paraId="177F8C30" w14:textId="2FAB94A3" w:rsidR="0040227D" w:rsidRPr="0080123A" w:rsidRDefault="00DF669C" w:rsidP="00DF669C">
            <w:pPr>
              <w:pStyle w:val="BodyTextlevel2"/>
              <w:numPr>
                <w:ilvl w:val="0"/>
                <w:numId w:val="0"/>
              </w:numPr>
              <w:tabs>
                <w:tab w:val="left" w:pos="720"/>
              </w:tabs>
              <w:spacing w:before="0"/>
              <w:jc w:val="center"/>
              <w:rPr>
                <w:sz w:val="20"/>
                <w:szCs w:val="20"/>
              </w:rPr>
            </w:pPr>
            <w:r w:rsidRPr="0080123A">
              <w:rPr>
                <w:sz w:val="20"/>
                <w:szCs w:val="20"/>
              </w:rPr>
              <w:t>(0.312)</w:t>
            </w:r>
          </w:p>
        </w:tc>
        <w:tc>
          <w:tcPr>
            <w:tcW w:w="1113" w:type="dxa"/>
            <w:tcBorders>
              <w:top w:val="single" w:sz="4" w:space="0" w:color="auto"/>
              <w:left w:val="single" w:sz="4" w:space="0" w:color="auto"/>
              <w:bottom w:val="single" w:sz="4" w:space="0" w:color="auto"/>
              <w:right w:val="single" w:sz="4" w:space="0" w:color="auto"/>
            </w:tcBorders>
          </w:tcPr>
          <w:p w14:paraId="1331BE38" w14:textId="064C0338" w:rsidR="0040227D" w:rsidRPr="0080123A" w:rsidRDefault="00DF669C" w:rsidP="00DF669C">
            <w:pPr>
              <w:pStyle w:val="BodyTextlevel2"/>
              <w:numPr>
                <w:ilvl w:val="0"/>
                <w:numId w:val="0"/>
              </w:numPr>
              <w:tabs>
                <w:tab w:val="left" w:pos="720"/>
              </w:tabs>
              <w:spacing w:before="0"/>
              <w:jc w:val="center"/>
              <w:rPr>
                <w:sz w:val="20"/>
                <w:szCs w:val="20"/>
              </w:rPr>
            </w:pPr>
            <w:r w:rsidRPr="0080123A">
              <w:rPr>
                <w:sz w:val="20"/>
                <w:szCs w:val="20"/>
              </w:rPr>
              <w:t>(0.30</w:t>
            </w:r>
            <w:r w:rsidR="00674F90" w:rsidRPr="0080123A">
              <w:rPr>
                <w:sz w:val="20"/>
                <w:szCs w:val="20"/>
              </w:rPr>
              <w:t>4</w:t>
            </w:r>
            <w:r w:rsidRPr="0080123A">
              <w:rPr>
                <w:sz w:val="20"/>
                <w:szCs w:val="20"/>
              </w:rPr>
              <w:t>)</w:t>
            </w:r>
          </w:p>
        </w:tc>
      </w:tr>
    </w:tbl>
    <w:p w14:paraId="2200E28A" w14:textId="58228F33" w:rsidR="0040227D" w:rsidRPr="0080123A" w:rsidRDefault="0040227D" w:rsidP="00213E28">
      <w:pPr>
        <w:pStyle w:val="BodyTextlevel2"/>
      </w:pPr>
      <w:r w:rsidRPr="0080123A">
        <w:rPr>
          <w:b/>
        </w:rPr>
        <w:t xml:space="preserve">approve </w:t>
      </w:r>
      <w:r w:rsidRPr="0080123A">
        <w:t xml:space="preserve">the following changes to appropriations to provide for the decision in recommendation </w:t>
      </w:r>
      <w:r w:rsidR="00213E28" w:rsidRPr="0080123A">
        <w:t>4</w:t>
      </w:r>
      <w:r w:rsidR="00D4524B" w:rsidRPr="0080123A">
        <w:t>9</w:t>
      </w:r>
      <w:r w:rsidRPr="0080123A">
        <w:t>.</w:t>
      </w:r>
      <w:r w:rsidR="00213E28" w:rsidRPr="0080123A">
        <w:t>3</w:t>
      </w:r>
      <w:r w:rsidRPr="0080123A">
        <w:t xml:space="preserve"> above with a corresponding impact on the operating balance and net debt:</w:t>
      </w:r>
    </w:p>
    <w:p w14:paraId="16FF88F3" w14:textId="77777777" w:rsidR="0040227D" w:rsidRPr="0080123A" w:rsidRDefault="0040227D" w:rsidP="00017FA3">
      <w:pPr>
        <w:pStyle w:val="BodyTextlevel2"/>
        <w:numPr>
          <w:ilvl w:val="0"/>
          <w:numId w:val="0"/>
        </w:numPr>
        <w:tabs>
          <w:tab w:val="left" w:pos="720"/>
        </w:tabs>
        <w:spacing w:before="0"/>
        <w:ind w:left="709"/>
      </w:pPr>
    </w:p>
    <w:tbl>
      <w:tblPr>
        <w:tblStyle w:val="TableGrid"/>
        <w:tblW w:w="0" w:type="auto"/>
        <w:tblInd w:w="964" w:type="dxa"/>
        <w:tblLook w:val="04A0" w:firstRow="1" w:lastRow="0" w:firstColumn="1" w:lastColumn="0" w:noHBand="0" w:noVBand="1"/>
      </w:tblPr>
      <w:tblGrid>
        <w:gridCol w:w="2149"/>
        <w:gridCol w:w="1112"/>
        <w:gridCol w:w="1112"/>
        <w:gridCol w:w="1113"/>
        <w:gridCol w:w="1113"/>
        <w:gridCol w:w="1113"/>
      </w:tblGrid>
      <w:tr w:rsidR="003B11DD" w:rsidRPr="0080123A" w14:paraId="5E6049BD" w14:textId="77777777" w:rsidTr="00E71D33">
        <w:tc>
          <w:tcPr>
            <w:tcW w:w="2149" w:type="dxa"/>
            <w:tcBorders>
              <w:top w:val="nil"/>
              <w:left w:val="nil"/>
              <w:bottom w:val="single" w:sz="4" w:space="0" w:color="auto"/>
              <w:right w:val="single" w:sz="4" w:space="0" w:color="auto"/>
            </w:tcBorders>
          </w:tcPr>
          <w:p w14:paraId="64358A52" w14:textId="77777777" w:rsidR="0040227D" w:rsidRPr="0080123A" w:rsidRDefault="0040227D">
            <w:pPr>
              <w:pStyle w:val="BodyTextlevel2"/>
              <w:numPr>
                <w:ilvl w:val="0"/>
                <w:numId w:val="0"/>
              </w:numPr>
              <w:tabs>
                <w:tab w:val="left" w:pos="720"/>
              </w:tabs>
              <w:spacing w:before="0"/>
              <w:rPr>
                <w:sz w:val="20"/>
                <w:szCs w:val="20"/>
              </w:rPr>
            </w:pPr>
          </w:p>
        </w:tc>
        <w:tc>
          <w:tcPr>
            <w:tcW w:w="5563" w:type="dxa"/>
            <w:gridSpan w:val="5"/>
            <w:tcBorders>
              <w:top w:val="single" w:sz="4" w:space="0" w:color="auto"/>
              <w:left w:val="single" w:sz="4" w:space="0" w:color="auto"/>
              <w:bottom w:val="single" w:sz="4" w:space="0" w:color="auto"/>
              <w:right w:val="single" w:sz="4" w:space="0" w:color="auto"/>
            </w:tcBorders>
            <w:hideMark/>
          </w:tcPr>
          <w:p w14:paraId="750866E5" w14:textId="77777777" w:rsidR="0040227D" w:rsidRPr="0080123A" w:rsidRDefault="0040227D">
            <w:pPr>
              <w:pStyle w:val="BodyTextlevel2"/>
              <w:numPr>
                <w:ilvl w:val="0"/>
                <w:numId w:val="0"/>
              </w:numPr>
              <w:tabs>
                <w:tab w:val="left" w:pos="720"/>
              </w:tabs>
              <w:spacing w:before="0"/>
              <w:jc w:val="center"/>
              <w:rPr>
                <w:sz w:val="20"/>
                <w:szCs w:val="20"/>
              </w:rPr>
            </w:pPr>
            <w:r w:rsidRPr="0080123A">
              <w:rPr>
                <w:sz w:val="20"/>
                <w:szCs w:val="20"/>
              </w:rPr>
              <w:t>$m – increase / (decrease)</w:t>
            </w:r>
          </w:p>
        </w:tc>
      </w:tr>
      <w:tr w:rsidR="003B11DD" w:rsidRPr="0080123A" w14:paraId="1380E938" w14:textId="77777777" w:rsidTr="00E71D33">
        <w:tc>
          <w:tcPr>
            <w:tcW w:w="2149" w:type="dxa"/>
            <w:tcBorders>
              <w:top w:val="single" w:sz="4" w:space="0" w:color="auto"/>
              <w:left w:val="single" w:sz="4" w:space="0" w:color="auto"/>
              <w:bottom w:val="single" w:sz="4" w:space="0" w:color="auto"/>
              <w:right w:val="single" w:sz="4" w:space="0" w:color="auto"/>
            </w:tcBorders>
            <w:hideMark/>
          </w:tcPr>
          <w:p w14:paraId="2EF9BCE4"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Vote Social Development</w:t>
            </w:r>
          </w:p>
          <w:p w14:paraId="3DD03984" w14:textId="2D5C811E" w:rsidR="0040227D" w:rsidRPr="0080123A" w:rsidRDefault="0040227D">
            <w:pPr>
              <w:pStyle w:val="BodyTextlevel2"/>
              <w:numPr>
                <w:ilvl w:val="0"/>
                <w:numId w:val="0"/>
              </w:numPr>
              <w:tabs>
                <w:tab w:val="left" w:pos="720"/>
              </w:tabs>
              <w:spacing w:before="0"/>
              <w:rPr>
                <w:sz w:val="20"/>
                <w:szCs w:val="20"/>
              </w:rPr>
            </w:pPr>
            <w:r w:rsidRPr="0080123A">
              <w:rPr>
                <w:b/>
                <w:bCs/>
                <w:sz w:val="20"/>
                <w:szCs w:val="20"/>
              </w:rPr>
              <w:t xml:space="preserve">Minister </w:t>
            </w:r>
            <w:r w:rsidR="00761B3A" w:rsidRPr="0080123A">
              <w:rPr>
                <w:b/>
                <w:bCs/>
                <w:sz w:val="20"/>
                <w:szCs w:val="20"/>
              </w:rPr>
              <w:t>of</w:t>
            </w:r>
            <w:r w:rsidRPr="0080123A">
              <w:rPr>
                <w:b/>
                <w:bCs/>
                <w:sz w:val="20"/>
                <w:szCs w:val="20"/>
              </w:rPr>
              <w:t xml:space="preserve"> </w:t>
            </w:r>
            <w:r w:rsidR="003B11DD" w:rsidRPr="0080123A">
              <w:rPr>
                <w:b/>
                <w:bCs/>
                <w:sz w:val="20"/>
                <w:szCs w:val="20"/>
              </w:rPr>
              <w:t>H</w:t>
            </w:r>
            <w:r w:rsidR="003B11DD" w:rsidRPr="0080123A">
              <w:rPr>
                <w:b/>
                <w:bCs/>
                <w:sz w:val="20"/>
              </w:rPr>
              <w:t>ousing</w:t>
            </w:r>
          </w:p>
        </w:tc>
        <w:tc>
          <w:tcPr>
            <w:tcW w:w="1112" w:type="dxa"/>
            <w:tcBorders>
              <w:top w:val="single" w:sz="4" w:space="0" w:color="auto"/>
              <w:left w:val="single" w:sz="4" w:space="0" w:color="auto"/>
              <w:bottom w:val="single" w:sz="4" w:space="0" w:color="auto"/>
              <w:right w:val="single" w:sz="4" w:space="0" w:color="auto"/>
            </w:tcBorders>
            <w:hideMark/>
          </w:tcPr>
          <w:p w14:paraId="783B49C0"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2022/23</w:t>
            </w:r>
          </w:p>
        </w:tc>
        <w:tc>
          <w:tcPr>
            <w:tcW w:w="1112" w:type="dxa"/>
            <w:tcBorders>
              <w:top w:val="single" w:sz="4" w:space="0" w:color="auto"/>
              <w:left w:val="single" w:sz="4" w:space="0" w:color="auto"/>
              <w:bottom w:val="single" w:sz="4" w:space="0" w:color="auto"/>
              <w:right w:val="single" w:sz="4" w:space="0" w:color="auto"/>
            </w:tcBorders>
            <w:hideMark/>
          </w:tcPr>
          <w:p w14:paraId="158951EC"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2023/24</w:t>
            </w:r>
          </w:p>
        </w:tc>
        <w:tc>
          <w:tcPr>
            <w:tcW w:w="1113" w:type="dxa"/>
            <w:tcBorders>
              <w:top w:val="single" w:sz="4" w:space="0" w:color="auto"/>
              <w:left w:val="single" w:sz="4" w:space="0" w:color="auto"/>
              <w:bottom w:val="single" w:sz="4" w:space="0" w:color="auto"/>
              <w:right w:val="single" w:sz="4" w:space="0" w:color="auto"/>
            </w:tcBorders>
            <w:hideMark/>
          </w:tcPr>
          <w:p w14:paraId="50189849"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2024/25</w:t>
            </w:r>
          </w:p>
        </w:tc>
        <w:tc>
          <w:tcPr>
            <w:tcW w:w="1113" w:type="dxa"/>
            <w:tcBorders>
              <w:top w:val="single" w:sz="4" w:space="0" w:color="auto"/>
              <w:left w:val="single" w:sz="4" w:space="0" w:color="auto"/>
              <w:bottom w:val="single" w:sz="4" w:space="0" w:color="auto"/>
              <w:right w:val="single" w:sz="4" w:space="0" w:color="auto"/>
            </w:tcBorders>
            <w:hideMark/>
          </w:tcPr>
          <w:p w14:paraId="5A970248"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2025/26</w:t>
            </w:r>
          </w:p>
        </w:tc>
        <w:tc>
          <w:tcPr>
            <w:tcW w:w="1113" w:type="dxa"/>
            <w:tcBorders>
              <w:top w:val="single" w:sz="4" w:space="0" w:color="auto"/>
              <w:left w:val="single" w:sz="4" w:space="0" w:color="auto"/>
              <w:bottom w:val="single" w:sz="4" w:space="0" w:color="auto"/>
              <w:right w:val="single" w:sz="4" w:space="0" w:color="auto"/>
            </w:tcBorders>
            <w:hideMark/>
          </w:tcPr>
          <w:p w14:paraId="6E3F7538" w14:textId="77777777" w:rsidR="0040227D" w:rsidRPr="0080123A" w:rsidRDefault="0040227D">
            <w:pPr>
              <w:pStyle w:val="BodyTextlevel2"/>
              <w:numPr>
                <w:ilvl w:val="0"/>
                <w:numId w:val="0"/>
              </w:numPr>
              <w:tabs>
                <w:tab w:val="left" w:pos="720"/>
              </w:tabs>
              <w:spacing w:before="0"/>
              <w:rPr>
                <w:b/>
                <w:bCs/>
                <w:sz w:val="20"/>
                <w:szCs w:val="20"/>
              </w:rPr>
            </w:pPr>
            <w:r w:rsidRPr="0080123A">
              <w:rPr>
                <w:b/>
                <w:bCs/>
                <w:sz w:val="20"/>
                <w:szCs w:val="20"/>
              </w:rPr>
              <w:t>2026/27 &amp; Outyears</w:t>
            </w:r>
          </w:p>
        </w:tc>
      </w:tr>
      <w:tr w:rsidR="00DF669C" w:rsidRPr="0080123A" w14:paraId="5F3D4911" w14:textId="77777777" w:rsidTr="00E71D33">
        <w:tc>
          <w:tcPr>
            <w:tcW w:w="2149" w:type="dxa"/>
            <w:tcBorders>
              <w:top w:val="single" w:sz="4" w:space="0" w:color="auto"/>
              <w:left w:val="single" w:sz="4" w:space="0" w:color="auto"/>
              <w:bottom w:val="single" w:sz="4" w:space="0" w:color="auto"/>
              <w:right w:val="single" w:sz="4" w:space="0" w:color="auto"/>
            </w:tcBorders>
            <w:hideMark/>
          </w:tcPr>
          <w:p w14:paraId="537FD732" w14:textId="77777777" w:rsidR="00DF669C" w:rsidRPr="0080123A" w:rsidRDefault="00DF669C" w:rsidP="00DF669C">
            <w:pPr>
              <w:pStyle w:val="BodyTextlevel2"/>
              <w:numPr>
                <w:ilvl w:val="0"/>
                <w:numId w:val="0"/>
              </w:numPr>
              <w:tabs>
                <w:tab w:val="left" w:pos="720"/>
              </w:tabs>
              <w:spacing w:before="0"/>
              <w:rPr>
                <w:sz w:val="20"/>
                <w:szCs w:val="20"/>
              </w:rPr>
            </w:pPr>
            <w:r w:rsidRPr="0080123A">
              <w:rPr>
                <w:sz w:val="20"/>
                <w:szCs w:val="20"/>
              </w:rPr>
              <w:t>Benefits or Related Expenses:</w:t>
            </w:r>
          </w:p>
          <w:p w14:paraId="6A6F6870" w14:textId="77777777" w:rsidR="00DF669C" w:rsidRPr="0080123A" w:rsidRDefault="00DF669C" w:rsidP="00DF669C">
            <w:pPr>
              <w:pStyle w:val="BodyTextlevel2"/>
              <w:numPr>
                <w:ilvl w:val="0"/>
                <w:numId w:val="0"/>
              </w:numPr>
              <w:tabs>
                <w:tab w:val="left" w:pos="720"/>
              </w:tabs>
              <w:spacing w:before="0"/>
              <w:rPr>
                <w:i/>
                <w:iCs/>
                <w:sz w:val="20"/>
                <w:szCs w:val="20"/>
              </w:rPr>
            </w:pPr>
            <w:r w:rsidRPr="0080123A">
              <w:rPr>
                <w:i/>
                <w:iCs/>
                <w:sz w:val="20"/>
                <w:szCs w:val="20"/>
              </w:rPr>
              <w:t>Accommodation Assistance</w:t>
            </w:r>
          </w:p>
        </w:tc>
        <w:tc>
          <w:tcPr>
            <w:tcW w:w="1112" w:type="dxa"/>
            <w:tcBorders>
              <w:top w:val="single" w:sz="4" w:space="0" w:color="auto"/>
              <w:left w:val="single" w:sz="4" w:space="0" w:color="auto"/>
              <w:bottom w:val="single" w:sz="4" w:space="0" w:color="auto"/>
              <w:right w:val="single" w:sz="4" w:space="0" w:color="auto"/>
            </w:tcBorders>
            <w:hideMark/>
          </w:tcPr>
          <w:p w14:paraId="4F067145" w14:textId="07A7FF1D" w:rsidR="00DF669C" w:rsidRPr="0080123A" w:rsidRDefault="00DF669C" w:rsidP="00DF669C">
            <w:pPr>
              <w:pStyle w:val="BodyTextlevel2"/>
              <w:numPr>
                <w:ilvl w:val="0"/>
                <w:numId w:val="0"/>
              </w:numPr>
              <w:tabs>
                <w:tab w:val="left" w:pos="720"/>
              </w:tabs>
              <w:spacing w:before="0"/>
              <w:jc w:val="center"/>
              <w:rPr>
                <w:sz w:val="20"/>
                <w:szCs w:val="20"/>
              </w:rPr>
            </w:pPr>
            <w:r w:rsidRPr="0080123A">
              <w:rPr>
                <w:sz w:val="20"/>
                <w:szCs w:val="20"/>
              </w:rPr>
              <w:t>0.196</w:t>
            </w:r>
          </w:p>
        </w:tc>
        <w:tc>
          <w:tcPr>
            <w:tcW w:w="1112" w:type="dxa"/>
            <w:tcBorders>
              <w:top w:val="single" w:sz="4" w:space="0" w:color="auto"/>
              <w:left w:val="single" w:sz="4" w:space="0" w:color="auto"/>
              <w:bottom w:val="single" w:sz="4" w:space="0" w:color="auto"/>
              <w:right w:val="single" w:sz="4" w:space="0" w:color="auto"/>
            </w:tcBorders>
          </w:tcPr>
          <w:p w14:paraId="45344313" w14:textId="414B0D9E" w:rsidR="00DF669C" w:rsidRPr="0080123A" w:rsidRDefault="00DF669C" w:rsidP="00DF669C">
            <w:pPr>
              <w:pStyle w:val="BodyTextlevel2"/>
              <w:numPr>
                <w:ilvl w:val="0"/>
                <w:numId w:val="0"/>
              </w:numPr>
              <w:tabs>
                <w:tab w:val="left" w:pos="720"/>
              </w:tabs>
              <w:spacing w:before="0"/>
              <w:jc w:val="center"/>
              <w:rPr>
                <w:sz w:val="20"/>
                <w:szCs w:val="20"/>
              </w:rPr>
            </w:pPr>
            <w:r w:rsidRPr="0080123A">
              <w:rPr>
                <w:sz w:val="20"/>
                <w:szCs w:val="20"/>
              </w:rPr>
              <w:t>0.330</w:t>
            </w:r>
          </w:p>
        </w:tc>
        <w:tc>
          <w:tcPr>
            <w:tcW w:w="1113" w:type="dxa"/>
            <w:tcBorders>
              <w:top w:val="single" w:sz="4" w:space="0" w:color="auto"/>
              <w:left w:val="single" w:sz="4" w:space="0" w:color="auto"/>
              <w:bottom w:val="single" w:sz="4" w:space="0" w:color="auto"/>
              <w:right w:val="single" w:sz="4" w:space="0" w:color="auto"/>
            </w:tcBorders>
          </w:tcPr>
          <w:p w14:paraId="00FE1609" w14:textId="43BD0C64" w:rsidR="00DF669C" w:rsidRPr="0080123A" w:rsidRDefault="00DF669C" w:rsidP="00DF669C">
            <w:pPr>
              <w:pStyle w:val="BodyTextlevel2"/>
              <w:numPr>
                <w:ilvl w:val="0"/>
                <w:numId w:val="0"/>
              </w:numPr>
              <w:tabs>
                <w:tab w:val="left" w:pos="720"/>
              </w:tabs>
              <w:spacing w:before="0"/>
              <w:jc w:val="center"/>
              <w:rPr>
                <w:sz w:val="20"/>
                <w:szCs w:val="20"/>
              </w:rPr>
            </w:pPr>
            <w:r w:rsidRPr="0080123A">
              <w:rPr>
                <w:sz w:val="20"/>
                <w:szCs w:val="20"/>
              </w:rPr>
              <w:t>0.321</w:t>
            </w:r>
          </w:p>
        </w:tc>
        <w:tc>
          <w:tcPr>
            <w:tcW w:w="1113" w:type="dxa"/>
            <w:tcBorders>
              <w:top w:val="single" w:sz="4" w:space="0" w:color="auto"/>
              <w:left w:val="single" w:sz="4" w:space="0" w:color="auto"/>
              <w:bottom w:val="single" w:sz="4" w:space="0" w:color="auto"/>
              <w:right w:val="single" w:sz="4" w:space="0" w:color="auto"/>
            </w:tcBorders>
          </w:tcPr>
          <w:p w14:paraId="2E9FFA7D" w14:textId="4C18E377" w:rsidR="00DF669C" w:rsidRPr="0080123A" w:rsidRDefault="00DF669C" w:rsidP="00DF669C">
            <w:pPr>
              <w:pStyle w:val="BodyTextlevel2"/>
              <w:numPr>
                <w:ilvl w:val="0"/>
                <w:numId w:val="0"/>
              </w:numPr>
              <w:tabs>
                <w:tab w:val="left" w:pos="720"/>
              </w:tabs>
              <w:spacing w:before="0"/>
              <w:jc w:val="center"/>
              <w:rPr>
                <w:sz w:val="20"/>
                <w:szCs w:val="20"/>
              </w:rPr>
            </w:pPr>
            <w:r w:rsidRPr="0080123A">
              <w:rPr>
                <w:sz w:val="20"/>
                <w:szCs w:val="20"/>
              </w:rPr>
              <w:t>0.312</w:t>
            </w:r>
          </w:p>
        </w:tc>
        <w:tc>
          <w:tcPr>
            <w:tcW w:w="1113" w:type="dxa"/>
            <w:tcBorders>
              <w:top w:val="single" w:sz="4" w:space="0" w:color="auto"/>
              <w:left w:val="single" w:sz="4" w:space="0" w:color="auto"/>
              <w:bottom w:val="single" w:sz="4" w:space="0" w:color="auto"/>
              <w:right w:val="single" w:sz="4" w:space="0" w:color="auto"/>
            </w:tcBorders>
          </w:tcPr>
          <w:p w14:paraId="4A594F20" w14:textId="61F0EB44" w:rsidR="00DF669C" w:rsidRPr="0080123A" w:rsidRDefault="00DF669C" w:rsidP="00DF669C">
            <w:pPr>
              <w:pStyle w:val="BodyTextlevel2"/>
              <w:numPr>
                <w:ilvl w:val="0"/>
                <w:numId w:val="0"/>
              </w:numPr>
              <w:tabs>
                <w:tab w:val="left" w:pos="720"/>
              </w:tabs>
              <w:spacing w:before="0"/>
              <w:jc w:val="center"/>
              <w:rPr>
                <w:sz w:val="20"/>
                <w:szCs w:val="20"/>
              </w:rPr>
            </w:pPr>
            <w:r w:rsidRPr="0080123A">
              <w:rPr>
                <w:sz w:val="20"/>
                <w:szCs w:val="20"/>
              </w:rPr>
              <w:t>0.30</w:t>
            </w:r>
            <w:r w:rsidR="00674F90" w:rsidRPr="0080123A">
              <w:rPr>
                <w:sz w:val="20"/>
                <w:szCs w:val="20"/>
              </w:rPr>
              <w:t>4</w:t>
            </w:r>
          </w:p>
        </w:tc>
      </w:tr>
    </w:tbl>
    <w:p w14:paraId="4D28E971" w14:textId="77777777" w:rsidR="0040227D" w:rsidRPr="0080123A" w:rsidRDefault="0040227D" w:rsidP="00213E28">
      <w:pPr>
        <w:pStyle w:val="BodyTextlevel2"/>
      </w:pPr>
      <w:r w:rsidRPr="0080123A">
        <w:rPr>
          <w:b/>
        </w:rPr>
        <w:t xml:space="preserve">agree </w:t>
      </w:r>
      <w:r w:rsidRPr="0080123A">
        <w:t xml:space="preserve">that the proposed change to appropriation for 2022/23 above be included in the 2022/23 Supplementary Estimates and that, in the interim, the increase be met from </w:t>
      </w:r>
      <w:proofErr w:type="spellStart"/>
      <w:r w:rsidRPr="0080123A">
        <w:t>Imprest</w:t>
      </w:r>
      <w:proofErr w:type="spellEnd"/>
      <w:r w:rsidRPr="0080123A">
        <w:t xml:space="preserve"> Supply;</w:t>
      </w:r>
    </w:p>
    <w:p w14:paraId="2968251D" w14:textId="06630E6C" w:rsidR="0040227D" w:rsidRPr="0080123A" w:rsidRDefault="0040227D" w:rsidP="00213E28">
      <w:pPr>
        <w:pStyle w:val="BodyTextlevel2"/>
      </w:pPr>
      <w:r w:rsidRPr="0080123A">
        <w:rPr>
          <w:b/>
        </w:rPr>
        <w:t xml:space="preserve">agree </w:t>
      </w:r>
      <w:r w:rsidRPr="0080123A">
        <w:t xml:space="preserve">that the expenses </w:t>
      </w:r>
      <w:proofErr w:type="spellStart"/>
      <w:r w:rsidRPr="0080123A">
        <w:t>incurrent</w:t>
      </w:r>
      <w:proofErr w:type="spellEnd"/>
      <w:r w:rsidRPr="0080123A">
        <w:t xml:space="preserve"> under recommendation </w:t>
      </w:r>
      <w:r w:rsidR="00213E28" w:rsidRPr="0080123A">
        <w:t>4</w:t>
      </w:r>
      <w:r w:rsidR="00D4524B" w:rsidRPr="0080123A">
        <w:t>9</w:t>
      </w:r>
      <w:r w:rsidR="00213E28" w:rsidRPr="0080123A">
        <w:t>.5</w:t>
      </w:r>
      <w:r w:rsidRPr="0080123A">
        <w:t xml:space="preserve"> above be charged against the between-Budget contingency established as part of Budget 2022;</w:t>
      </w:r>
    </w:p>
    <w:p w14:paraId="2F27D7E4" w14:textId="54FAACB7" w:rsidR="00882EF5" w:rsidRPr="000B57D8" w:rsidRDefault="00882EF5" w:rsidP="00213E28">
      <w:pPr>
        <w:pStyle w:val="BodyText"/>
      </w:pPr>
      <w:r w:rsidRPr="000B57D8">
        <w:rPr>
          <w:rFonts w:cs="Arial"/>
          <w:b/>
        </w:rPr>
        <w:t>approve</w:t>
      </w:r>
      <w:r w:rsidRPr="000B57D8">
        <w:rPr>
          <w:rFonts w:cs="Arial"/>
        </w:rPr>
        <w:t xml:space="preserve"> the introduction of the </w:t>
      </w:r>
      <w:r w:rsidR="003B11DD" w:rsidRPr="000B57D8">
        <w:rPr>
          <w:i/>
          <w:iCs/>
        </w:rPr>
        <w:t>Social Security (</w:t>
      </w:r>
      <w:r w:rsidR="003B11DD" w:rsidRPr="000B57D8">
        <w:rPr>
          <w:i/>
        </w:rPr>
        <w:t>Accommodation Supplement) Amendment Bill</w:t>
      </w:r>
      <w:r w:rsidRPr="000B57D8">
        <w:rPr>
          <w:rFonts w:cs="Arial"/>
        </w:rPr>
        <w:t xml:space="preserve">, subject to the final approval of the </w:t>
      </w:r>
      <w:r w:rsidR="00BF70CE" w:rsidRPr="000B57D8">
        <w:rPr>
          <w:rFonts w:cs="Arial"/>
        </w:rPr>
        <w:t>G</w:t>
      </w:r>
      <w:r w:rsidRPr="000B57D8">
        <w:rPr>
          <w:rFonts w:cs="Arial"/>
        </w:rPr>
        <w:t>overnment caucus</w:t>
      </w:r>
      <w:r w:rsidR="003B6DBE" w:rsidRPr="000B57D8">
        <w:rPr>
          <w:rFonts w:cs="Arial"/>
        </w:rPr>
        <w:t>;</w:t>
      </w:r>
      <w:r w:rsidRPr="000B57D8">
        <w:rPr>
          <w:b/>
        </w:rPr>
        <w:t xml:space="preserve"> </w:t>
      </w:r>
      <w:r w:rsidR="008C6A24" w:rsidRPr="008C6A24">
        <w:rPr>
          <w:bCs/>
        </w:rPr>
        <w:t>and</w:t>
      </w:r>
    </w:p>
    <w:p w14:paraId="26921029" w14:textId="6B138A65" w:rsidR="00BB4758" w:rsidRDefault="00BB4758" w:rsidP="00213E28">
      <w:pPr>
        <w:pStyle w:val="BodyText"/>
      </w:pPr>
      <w:r w:rsidRPr="000B57D8">
        <w:rPr>
          <w:b/>
        </w:rPr>
        <w:t>agree</w:t>
      </w:r>
      <w:r w:rsidRPr="000B57D8">
        <w:t xml:space="preserve"> that the </w:t>
      </w:r>
      <w:r w:rsidR="003B11DD" w:rsidRPr="000B57D8">
        <w:rPr>
          <w:i/>
          <w:iCs/>
        </w:rPr>
        <w:t>Social Security (</w:t>
      </w:r>
      <w:r w:rsidR="003B11DD" w:rsidRPr="000B57D8">
        <w:rPr>
          <w:i/>
        </w:rPr>
        <w:t>Accommodation Supplement) Amendment Bill</w:t>
      </w:r>
      <w:r w:rsidR="003B11DD" w:rsidRPr="000B57D8">
        <w:t xml:space="preserve"> </w:t>
      </w:r>
      <w:r w:rsidRPr="000B57D8">
        <w:t xml:space="preserve">be introduced </w:t>
      </w:r>
      <w:r w:rsidR="0030579D" w:rsidRPr="000B57D8">
        <w:t>by</w:t>
      </w:r>
      <w:r w:rsidRPr="000B57D8">
        <w:t xml:space="preserve"> </w:t>
      </w:r>
      <w:r w:rsidR="00C250F6" w:rsidRPr="000B57D8">
        <w:t>1</w:t>
      </w:r>
      <w:r w:rsidR="0030579D" w:rsidRPr="000B57D8">
        <w:t>7 </w:t>
      </w:r>
      <w:r w:rsidR="00C250F6" w:rsidRPr="000B57D8">
        <w:t>November</w:t>
      </w:r>
      <w:r w:rsidRPr="000B57D8">
        <w:t xml:space="preserve"> 20</w:t>
      </w:r>
      <w:r w:rsidR="00C250F6" w:rsidRPr="000B57D8">
        <w:t>22</w:t>
      </w:r>
      <w:r w:rsidR="00B141E1" w:rsidRPr="000B57D8">
        <w:t xml:space="preserve"> and passed through all stages under urgency</w:t>
      </w:r>
      <w:r w:rsidR="008C6A24">
        <w:t>.</w:t>
      </w:r>
    </w:p>
    <w:p w14:paraId="67B12B57" w14:textId="77777777" w:rsidR="00C3097F" w:rsidRPr="000B57D8" w:rsidRDefault="00C3097F" w:rsidP="00C3097F">
      <w:pPr>
        <w:pStyle w:val="BodyText"/>
        <w:numPr>
          <w:ilvl w:val="0"/>
          <w:numId w:val="0"/>
        </w:numPr>
      </w:pPr>
    </w:p>
    <w:tbl>
      <w:tblPr>
        <w:tblW w:w="9606" w:type="dxa"/>
        <w:tblLayout w:type="fixed"/>
        <w:tblLook w:val="0000" w:firstRow="0" w:lastRow="0" w:firstColumn="0" w:lastColumn="0" w:noHBand="0" w:noVBand="0"/>
      </w:tblPr>
      <w:tblGrid>
        <w:gridCol w:w="9606"/>
      </w:tblGrid>
      <w:tr w:rsidR="00BB4758" w14:paraId="58B8C756" w14:textId="77777777" w:rsidTr="00E64B97">
        <w:tc>
          <w:tcPr>
            <w:tcW w:w="9606" w:type="dxa"/>
          </w:tcPr>
          <w:p w14:paraId="5BE2AFF9" w14:textId="1D4F4AEA" w:rsidR="00D71DBE" w:rsidRDefault="00D71DBE" w:rsidP="00E64B97">
            <w:pPr>
              <w:keepNext/>
            </w:pPr>
            <w:bookmarkStart w:id="7" w:name="bkmMinName"/>
          </w:p>
          <w:p w14:paraId="6B983C77" w14:textId="0D366B26" w:rsidR="00017FA3" w:rsidRDefault="00017FA3" w:rsidP="00E64B97">
            <w:pPr>
              <w:keepNext/>
            </w:pPr>
          </w:p>
          <w:p w14:paraId="775C7CE5" w14:textId="45CD23D9" w:rsidR="00017FA3" w:rsidRDefault="00017FA3" w:rsidP="00E64B97">
            <w:pPr>
              <w:keepNext/>
            </w:pPr>
          </w:p>
          <w:p w14:paraId="69E51DC3" w14:textId="15B3AB31" w:rsidR="00206C30" w:rsidRDefault="00206C30" w:rsidP="00E64B97">
            <w:pPr>
              <w:keepNext/>
            </w:pPr>
          </w:p>
          <w:p w14:paraId="28BB391D" w14:textId="77777777" w:rsidR="00206C30" w:rsidRDefault="00206C30" w:rsidP="00E64B97">
            <w:pPr>
              <w:keepNext/>
            </w:pPr>
          </w:p>
          <w:p w14:paraId="2285B85A" w14:textId="54D0DC17" w:rsidR="00BB4758" w:rsidRDefault="00BB4758" w:rsidP="00017FA3">
            <w:pPr>
              <w:keepNext/>
              <w:spacing w:before="120"/>
            </w:pPr>
            <w:r>
              <w:t xml:space="preserve">Hon </w:t>
            </w:r>
            <w:bookmarkEnd w:id="7"/>
            <w:r w:rsidR="00D71DBE">
              <w:t>Carmel Sepuloni</w:t>
            </w:r>
          </w:p>
          <w:p w14:paraId="7EFE26D0" w14:textId="1B18EA8A" w:rsidR="009D0970" w:rsidRDefault="00BB4758" w:rsidP="00E64B97">
            <w:pPr>
              <w:keepNext/>
            </w:pPr>
            <w:bookmarkStart w:id="8" w:name="bkmMinPort"/>
            <w:r>
              <w:t>Minister for Social Development</w:t>
            </w:r>
            <w:bookmarkEnd w:id="8"/>
            <w:r w:rsidR="00B33ABE">
              <w:t xml:space="preserve"> and Employment</w:t>
            </w:r>
          </w:p>
          <w:p w14:paraId="7723FCC2" w14:textId="77777777" w:rsidR="00D71DBE" w:rsidRDefault="00D71DBE" w:rsidP="00E64B97">
            <w:pPr>
              <w:keepNext/>
            </w:pPr>
          </w:p>
          <w:p w14:paraId="3AA4A0C7" w14:textId="77777777" w:rsidR="009D0970" w:rsidRDefault="009D0970" w:rsidP="00E64B97">
            <w:pPr>
              <w:keepNext/>
            </w:pPr>
            <w:r>
              <w:t>Approved for lodging</w:t>
            </w:r>
          </w:p>
        </w:tc>
      </w:tr>
    </w:tbl>
    <w:p w14:paraId="43C40E4D" w14:textId="77777777" w:rsidR="000F3269" w:rsidRPr="00BB4758" w:rsidRDefault="000F3269" w:rsidP="00017FA3"/>
    <w:sectPr w:rsidR="000F3269" w:rsidRPr="00BB4758" w:rsidSect="009566BD">
      <w:headerReference w:type="default" r:id="rId8"/>
      <w:pgSz w:w="11907" w:h="16840" w:code="9"/>
      <w:pgMar w:top="1418" w:right="1134" w:bottom="1418" w:left="1134" w:header="709"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CE01" w14:textId="77777777" w:rsidR="00E32E7C" w:rsidRDefault="00E32E7C">
      <w:r>
        <w:separator/>
      </w:r>
    </w:p>
  </w:endnote>
  <w:endnote w:type="continuationSeparator" w:id="0">
    <w:p w14:paraId="5B9CAD71" w14:textId="77777777" w:rsidR="00E32E7C" w:rsidRDefault="00E3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CC9E" w14:textId="77777777" w:rsidR="00E32E7C" w:rsidRDefault="00E32E7C">
      <w:r>
        <w:separator/>
      </w:r>
    </w:p>
  </w:footnote>
  <w:footnote w:type="continuationSeparator" w:id="0">
    <w:p w14:paraId="4E9A2DC1" w14:textId="77777777" w:rsidR="00E32E7C" w:rsidRDefault="00E32E7C">
      <w:r>
        <w:continuationSeparator/>
      </w:r>
    </w:p>
  </w:footnote>
  <w:footnote w:id="1">
    <w:p w14:paraId="1C481CC3" w14:textId="0B001B57" w:rsidR="004E2702" w:rsidRDefault="004E2702">
      <w:pPr>
        <w:pStyle w:val="FootnoteText"/>
      </w:pPr>
      <w:r w:rsidRPr="00B431D6">
        <w:rPr>
          <w:rStyle w:val="FootnoteReference"/>
        </w:rPr>
        <w:footnoteRef/>
      </w:r>
      <w:r w:rsidRPr="00B431D6">
        <w:t xml:space="preserve"> The Bill will also include consequential amendments to the New Zealand Superannuation and Retirement Income Act </w:t>
      </w:r>
      <w:r w:rsidR="002F03F2" w:rsidRPr="00B431D6">
        <w:t xml:space="preserve">(NZSRI) </w:t>
      </w:r>
      <w:r w:rsidRPr="00B431D6">
        <w:t>2001</w:t>
      </w:r>
      <w:r w:rsidR="002F03F2" w:rsidRPr="00B431D6">
        <w:t xml:space="preserve"> </w:t>
      </w:r>
      <w:r w:rsidRPr="00B431D6">
        <w:t>and the Veterans’ Support Act 2014</w:t>
      </w:r>
      <w:r w:rsidRPr="004E2702">
        <w:t xml:space="preserve">  </w:t>
      </w:r>
    </w:p>
  </w:footnote>
  <w:footnote w:id="2">
    <w:p w14:paraId="603F5295" w14:textId="410C7EE8" w:rsidR="0079266A" w:rsidRPr="002F03F2" w:rsidRDefault="0079266A" w:rsidP="002F03F2">
      <w:pPr>
        <w:pStyle w:val="BodyText"/>
        <w:numPr>
          <w:ilvl w:val="0"/>
          <w:numId w:val="0"/>
        </w:numPr>
        <w:spacing w:before="0" w:after="120"/>
        <w:rPr>
          <w:sz w:val="20"/>
          <w:szCs w:val="20"/>
        </w:rPr>
      </w:pPr>
      <w:r>
        <w:rPr>
          <w:rStyle w:val="FootnoteReference"/>
        </w:rPr>
        <w:footnoteRef/>
      </w:r>
      <w:r>
        <w:t xml:space="preserve"> </w:t>
      </w:r>
      <w:r w:rsidRPr="00E24E42">
        <w:rPr>
          <w:sz w:val="20"/>
          <w:szCs w:val="20"/>
        </w:rPr>
        <w:t>The NZSRIA</w:t>
      </w:r>
      <w:r w:rsidR="002F03F2">
        <w:rPr>
          <w:sz w:val="20"/>
          <w:szCs w:val="20"/>
        </w:rPr>
        <w:t xml:space="preserve"> 2001</w:t>
      </w:r>
      <w:r w:rsidRPr="00E24E42">
        <w:rPr>
          <w:sz w:val="20"/>
          <w:szCs w:val="20"/>
        </w:rPr>
        <w:t xml:space="preserve"> and Veterans’ Support Act 2014 specifically make provision for the single rate of NZS, Veteran’s Pension, and Emergency Benefit</w:t>
      </w:r>
      <w:r w:rsidR="000B57D8">
        <w:rPr>
          <w:sz w:val="20"/>
          <w:szCs w:val="20"/>
        </w:rPr>
        <w:t xml:space="preserve"> for individuals whose partners are in long-term residential care</w:t>
      </w:r>
      <w:r w:rsidRPr="00E24E42">
        <w:rPr>
          <w:sz w:val="20"/>
          <w:szCs w:val="20"/>
        </w:rPr>
        <w:t>. The NZSRIA is silent on the rate for AS.</w:t>
      </w:r>
    </w:p>
  </w:footnote>
  <w:footnote w:id="3">
    <w:p w14:paraId="091A7BED" w14:textId="773259C3" w:rsidR="004E2702" w:rsidRPr="00254901" w:rsidRDefault="004E2702" w:rsidP="00254901">
      <w:pPr>
        <w:pStyle w:val="CommentText"/>
      </w:pPr>
      <w:r w:rsidRPr="00FC3BD7">
        <w:rPr>
          <w:rStyle w:val="FootnoteReference"/>
        </w:rPr>
        <w:footnoteRef/>
      </w:r>
      <w:r w:rsidRPr="00FC3BD7">
        <w:t xml:space="preserve"> </w:t>
      </w:r>
      <w:r w:rsidR="00FA76BD">
        <w:rPr>
          <w:rFonts w:cs="Arial"/>
        </w:rPr>
        <w:t>[Redacted content]</w:t>
      </w:r>
      <w:r w:rsidR="00FA76BD">
        <w:rPr>
          <w:rFonts w:cs="Arial"/>
        </w:rPr>
        <w:t>.</w:t>
      </w:r>
      <w:r w:rsidRPr="0025490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8D75" w14:textId="3F41A593" w:rsidR="001121C3" w:rsidRPr="009547E1" w:rsidRDefault="00D0678D" w:rsidP="003F7EA0">
    <w:pPr>
      <w:pStyle w:val="Header"/>
      <w:spacing w:before="180" w:after="180"/>
      <w:jc w:val="center"/>
      <w:rPr>
        <w:spacing w:val="20"/>
        <w:lang w:val="en-US"/>
      </w:rPr>
    </w:pPr>
    <w:r w:rsidRPr="009547E1">
      <w:rPr>
        <w:spacing w:val="20"/>
        <w:lang w:val="en-US"/>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15:restartNumberingAfterBreak="0">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2453E"/>
    <w:multiLevelType w:val="multilevel"/>
    <w:tmpl w:val="8D3A8EFC"/>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15:restartNumberingAfterBreak="0">
    <w:nsid w:val="0FFA1D0B"/>
    <w:multiLevelType w:val="hybridMultilevel"/>
    <w:tmpl w:val="EFB232F4"/>
    <w:lvl w:ilvl="0" w:tplc="D69839DA">
      <w:start w:val="9"/>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6" w15:restartNumberingAfterBreak="0">
    <w:nsid w:val="31AC5BCC"/>
    <w:multiLevelType w:val="multilevel"/>
    <w:tmpl w:val="61E89C3C"/>
    <w:lvl w:ilvl="0">
      <w:start w:val="1"/>
      <w:numFmt w:val="decimal"/>
      <w:pStyle w:val="CabStandard"/>
      <w:lvlText w:val="%1"/>
      <w:lvlJc w:val="left"/>
      <w:pPr>
        <w:tabs>
          <w:tab w:val="num" w:pos="720"/>
        </w:tabs>
        <w:ind w:left="720" w:hanging="720"/>
      </w:pPr>
    </w:lvl>
    <w:lvl w:ilvl="1">
      <w:start w:val="1"/>
      <w:numFmt w:val="decimal"/>
      <w:lvlText w:val="%1.%2"/>
      <w:lvlJc w:val="left"/>
      <w:pPr>
        <w:tabs>
          <w:tab w:val="num" w:pos="1440"/>
        </w:tabs>
        <w:ind w:left="1440" w:hanging="720"/>
      </w:pPr>
      <w:rPr>
        <w:i w:val="0"/>
        <w:iCs w:val="0"/>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7" w15:restartNumberingAfterBreak="0">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8" w15:restartNumberingAfterBreak="0">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15:restartNumberingAfterBreak="0">
    <w:nsid w:val="59F54BCE"/>
    <w:multiLevelType w:val="multilevel"/>
    <w:tmpl w:val="7662F0D2"/>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1701"/>
        </w:tabs>
        <w:ind w:left="2195"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0" w15:restartNumberingAfterBreak="0">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11"/>
  </w:num>
  <w:num w:numId="4">
    <w:abstractNumId w:val="9"/>
  </w:num>
  <w:num w:numId="5">
    <w:abstractNumId w:val="9"/>
  </w:num>
  <w:num w:numId="6">
    <w:abstractNumId w:val="10"/>
  </w:num>
  <w:num w:numId="7">
    <w:abstractNumId w:val="7"/>
  </w:num>
  <w:num w:numId="8">
    <w:abstractNumId w:val="2"/>
  </w:num>
  <w:num w:numId="9">
    <w:abstractNumId w:val="0"/>
  </w:num>
  <w:num w:numId="10">
    <w:abstractNumId w:val="1"/>
  </w:num>
  <w:num w:numId="11">
    <w:abstractNumId w:val="5"/>
    <w:lvlOverride w:ilvl="0">
      <w:lvl w:ilvl="0">
        <w:start w:val="1"/>
        <w:numFmt w:val="decimal"/>
        <w:pStyle w:val="ReportBody"/>
        <w:lvlText w:val="%1"/>
        <w:lvlJc w:val="left"/>
        <w:pPr>
          <w:tabs>
            <w:tab w:val="num" w:pos="493"/>
          </w:tabs>
          <w:ind w:left="493" w:hanging="493"/>
        </w:pPr>
        <w:rPr>
          <w:rFonts w:hint="default"/>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ctiveWritingStyle w:appName="MSWord" w:lang="en-NZ" w:vendorID="8" w:dllVersion="513" w:checkStyle="1"/>
  <w:activeWritingStyle w:appName="MSWord" w:lang="en-GB" w:vendorID="8" w:dllVersion="513" w:checkStyle="1"/>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0F"/>
    <w:rsid w:val="0000206B"/>
    <w:rsid w:val="00005729"/>
    <w:rsid w:val="00007E4E"/>
    <w:rsid w:val="00011696"/>
    <w:rsid w:val="00012460"/>
    <w:rsid w:val="0001360E"/>
    <w:rsid w:val="00017FA3"/>
    <w:rsid w:val="00036757"/>
    <w:rsid w:val="00040CCF"/>
    <w:rsid w:val="00041DBB"/>
    <w:rsid w:val="000421B9"/>
    <w:rsid w:val="000522E8"/>
    <w:rsid w:val="000578C2"/>
    <w:rsid w:val="00060ECF"/>
    <w:rsid w:val="00061869"/>
    <w:rsid w:val="00061F6C"/>
    <w:rsid w:val="0006593C"/>
    <w:rsid w:val="00072367"/>
    <w:rsid w:val="000816B2"/>
    <w:rsid w:val="00091842"/>
    <w:rsid w:val="000936FA"/>
    <w:rsid w:val="000950B7"/>
    <w:rsid w:val="000977A6"/>
    <w:rsid w:val="000A32CE"/>
    <w:rsid w:val="000A47D6"/>
    <w:rsid w:val="000A5A1A"/>
    <w:rsid w:val="000A5F57"/>
    <w:rsid w:val="000B57D8"/>
    <w:rsid w:val="000C27CE"/>
    <w:rsid w:val="000C71F3"/>
    <w:rsid w:val="000C7617"/>
    <w:rsid w:val="000C7BF3"/>
    <w:rsid w:val="000D3070"/>
    <w:rsid w:val="000D3621"/>
    <w:rsid w:val="000D50F7"/>
    <w:rsid w:val="000E01F5"/>
    <w:rsid w:val="000E07B9"/>
    <w:rsid w:val="000E0A5D"/>
    <w:rsid w:val="000E2157"/>
    <w:rsid w:val="000E5378"/>
    <w:rsid w:val="000F3269"/>
    <w:rsid w:val="00101F4F"/>
    <w:rsid w:val="0010300C"/>
    <w:rsid w:val="001051CC"/>
    <w:rsid w:val="001121C3"/>
    <w:rsid w:val="0011287B"/>
    <w:rsid w:val="00122763"/>
    <w:rsid w:val="001250FE"/>
    <w:rsid w:val="001252F2"/>
    <w:rsid w:val="00125E3C"/>
    <w:rsid w:val="001311F0"/>
    <w:rsid w:val="00132455"/>
    <w:rsid w:val="001410CD"/>
    <w:rsid w:val="00154003"/>
    <w:rsid w:val="00154ADF"/>
    <w:rsid w:val="001555E1"/>
    <w:rsid w:val="0015714D"/>
    <w:rsid w:val="0016044F"/>
    <w:rsid w:val="001640E4"/>
    <w:rsid w:val="001646CE"/>
    <w:rsid w:val="00165F9A"/>
    <w:rsid w:val="0018236D"/>
    <w:rsid w:val="00183151"/>
    <w:rsid w:val="00183C9B"/>
    <w:rsid w:val="0019255B"/>
    <w:rsid w:val="001975D9"/>
    <w:rsid w:val="001A14AD"/>
    <w:rsid w:val="001A4D0E"/>
    <w:rsid w:val="001A793C"/>
    <w:rsid w:val="001B4E9D"/>
    <w:rsid w:val="001C0933"/>
    <w:rsid w:val="001C18A6"/>
    <w:rsid w:val="001C1917"/>
    <w:rsid w:val="001C19E6"/>
    <w:rsid w:val="001C4658"/>
    <w:rsid w:val="001C5E80"/>
    <w:rsid w:val="001D0C8B"/>
    <w:rsid w:val="001D285A"/>
    <w:rsid w:val="001D3915"/>
    <w:rsid w:val="001D4D36"/>
    <w:rsid w:val="001D5176"/>
    <w:rsid w:val="001D794E"/>
    <w:rsid w:val="001E36CF"/>
    <w:rsid w:val="001E6D91"/>
    <w:rsid w:val="002032DD"/>
    <w:rsid w:val="00203ABB"/>
    <w:rsid w:val="00205EA7"/>
    <w:rsid w:val="00206C30"/>
    <w:rsid w:val="00207CD6"/>
    <w:rsid w:val="00213E28"/>
    <w:rsid w:val="002173AB"/>
    <w:rsid w:val="00224FC4"/>
    <w:rsid w:val="00232186"/>
    <w:rsid w:val="00232194"/>
    <w:rsid w:val="00236A61"/>
    <w:rsid w:val="00240D1B"/>
    <w:rsid w:val="00241BEC"/>
    <w:rsid w:val="00244C19"/>
    <w:rsid w:val="002466D8"/>
    <w:rsid w:val="00254901"/>
    <w:rsid w:val="00254CCD"/>
    <w:rsid w:val="0025619C"/>
    <w:rsid w:val="00257C9B"/>
    <w:rsid w:val="00257CC2"/>
    <w:rsid w:val="00257D2B"/>
    <w:rsid w:val="002608DC"/>
    <w:rsid w:val="0026138D"/>
    <w:rsid w:val="00264D23"/>
    <w:rsid w:val="00267DBF"/>
    <w:rsid w:val="00274342"/>
    <w:rsid w:val="00281F05"/>
    <w:rsid w:val="002820DD"/>
    <w:rsid w:val="00282C7D"/>
    <w:rsid w:val="002847DE"/>
    <w:rsid w:val="00285679"/>
    <w:rsid w:val="0028705D"/>
    <w:rsid w:val="00290A85"/>
    <w:rsid w:val="0029172E"/>
    <w:rsid w:val="002933C7"/>
    <w:rsid w:val="002A05FC"/>
    <w:rsid w:val="002A161B"/>
    <w:rsid w:val="002A3219"/>
    <w:rsid w:val="002A45C6"/>
    <w:rsid w:val="002A5EA5"/>
    <w:rsid w:val="002B38F4"/>
    <w:rsid w:val="002C1311"/>
    <w:rsid w:val="002C6020"/>
    <w:rsid w:val="002C6173"/>
    <w:rsid w:val="002C7635"/>
    <w:rsid w:val="002D4137"/>
    <w:rsid w:val="002D78FD"/>
    <w:rsid w:val="002D7C4D"/>
    <w:rsid w:val="002F03F2"/>
    <w:rsid w:val="002F617C"/>
    <w:rsid w:val="0030579D"/>
    <w:rsid w:val="003122B8"/>
    <w:rsid w:val="0031613F"/>
    <w:rsid w:val="00320B9B"/>
    <w:rsid w:val="003236AA"/>
    <w:rsid w:val="00324EA7"/>
    <w:rsid w:val="003257F4"/>
    <w:rsid w:val="003307CB"/>
    <w:rsid w:val="003464DA"/>
    <w:rsid w:val="0035380E"/>
    <w:rsid w:val="00355831"/>
    <w:rsid w:val="00356216"/>
    <w:rsid w:val="00357075"/>
    <w:rsid w:val="00357D84"/>
    <w:rsid w:val="003641F5"/>
    <w:rsid w:val="003720D4"/>
    <w:rsid w:val="00372FCE"/>
    <w:rsid w:val="00374ED0"/>
    <w:rsid w:val="00376581"/>
    <w:rsid w:val="00376805"/>
    <w:rsid w:val="00377DD8"/>
    <w:rsid w:val="00377E29"/>
    <w:rsid w:val="00385901"/>
    <w:rsid w:val="00390B09"/>
    <w:rsid w:val="00392DA7"/>
    <w:rsid w:val="00394C2A"/>
    <w:rsid w:val="003A26AB"/>
    <w:rsid w:val="003A7231"/>
    <w:rsid w:val="003B11DD"/>
    <w:rsid w:val="003B2A5D"/>
    <w:rsid w:val="003B2D30"/>
    <w:rsid w:val="003B2F22"/>
    <w:rsid w:val="003B6DBE"/>
    <w:rsid w:val="003B6F29"/>
    <w:rsid w:val="003B79AA"/>
    <w:rsid w:val="003C4220"/>
    <w:rsid w:val="003C5F07"/>
    <w:rsid w:val="003D079B"/>
    <w:rsid w:val="003D12A3"/>
    <w:rsid w:val="003D1536"/>
    <w:rsid w:val="003D21F5"/>
    <w:rsid w:val="003D2297"/>
    <w:rsid w:val="003D3CE3"/>
    <w:rsid w:val="003D3F66"/>
    <w:rsid w:val="003D55FB"/>
    <w:rsid w:val="003E021C"/>
    <w:rsid w:val="003F0267"/>
    <w:rsid w:val="003F6A04"/>
    <w:rsid w:val="003F7EA0"/>
    <w:rsid w:val="00401E87"/>
    <w:rsid w:val="0040227D"/>
    <w:rsid w:val="004031E2"/>
    <w:rsid w:val="00405D27"/>
    <w:rsid w:val="00413108"/>
    <w:rsid w:val="004147FD"/>
    <w:rsid w:val="00425665"/>
    <w:rsid w:val="004305CC"/>
    <w:rsid w:val="004348CB"/>
    <w:rsid w:val="00436424"/>
    <w:rsid w:val="00437A44"/>
    <w:rsid w:val="00440D44"/>
    <w:rsid w:val="0044381D"/>
    <w:rsid w:val="00443D9D"/>
    <w:rsid w:val="0044545B"/>
    <w:rsid w:val="00446517"/>
    <w:rsid w:val="00446D5F"/>
    <w:rsid w:val="004505AD"/>
    <w:rsid w:val="00450CA1"/>
    <w:rsid w:val="004514CC"/>
    <w:rsid w:val="00451FD4"/>
    <w:rsid w:val="004521C2"/>
    <w:rsid w:val="00454CE1"/>
    <w:rsid w:val="00463C20"/>
    <w:rsid w:val="00467A68"/>
    <w:rsid w:val="00470220"/>
    <w:rsid w:val="00477FF4"/>
    <w:rsid w:val="004933C0"/>
    <w:rsid w:val="00494588"/>
    <w:rsid w:val="00495656"/>
    <w:rsid w:val="004969CE"/>
    <w:rsid w:val="004A5B07"/>
    <w:rsid w:val="004A75F3"/>
    <w:rsid w:val="004B1038"/>
    <w:rsid w:val="004B3941"/>
    <w:rsid w:val="004C0B9F"/>
    <w:rsid w:val="004C635D"/>
    <w:rsid w:val="004C7420"/>
    <w:rsid w:val="004D049E"/>
    <w:rsid w:val="004D1055"/>
    <w:rsid w:val="004D3417"/>
    <w:rsid w:val="004D4C07"/>
    <w:rsid w:val="004E2702"/>
    <w:rsid w:val="004F692B"/>
    <w:rsid w:val="00504D09"/>
    <w:rsid w:val="00514EDD"/>
    <w:rsid w:val="00514FAA"/>
    <w:rsid w:val="00517877"/>
    <w:rsid w:val="00524262"/>
    <w:rsid w:val="0053362A"/>
    <w:rsid w:val="005358CC"/>
    <w:rsid w:val="00540F7A"/>
    <w:rsid w:val="0054467F"/>
    <w:rsid w:val="005446F5"/>
    <w:rsid w:val="005467F4"/>
    <w:rsid w:val="00547258"/>
    <w:rsid w:val="00550CBC"/>
    <w:rsid w:val="005544F4"/>
    <w:rsid w:val="00554AF2"/>
    <w:rsid w:val="00567125"/>
    <w:rsid w:val="005706A3"/>
    <w:rsid w:val="005743CE"/>
    <w:rsid w:val="00580161"/>
    <w:rsid w:val="00580D84"/>
    <w:rsid w:val="00581A73"/>
    <w:rsid w:val="005851E6"/>
    <w:rsid w:val="00586B74"/>
    <w:rsid w:val="00592893"/>
    <w:rsid w:val="00593D35"/>
    <w:rsid w:val="00594BDC"/>
    <w:rsid w:val="005A13B0"/>
    <w:rsid w:val="005A1776"/>
    <w:rsid w:val="005A34FE"/>
    <w:rsid w:val="005A3ACD"/>
    <w:rsid w:val="005B14CC"/>
    <w:rsid w:val="005C3979"/>
    <w:rsid w:val="005C6042"/>
    <w:rsid w:val="005C687B"/>
    <w:rsid w:val="005E197A"/>
    <w:rsid w:val="005E2600"/>
    <w:rsid w:val="005E4D01"/>
    <w:rsid w:val="005F1835"/>
    <w:rsid w:val="00600408"/>
    <w:rsid w:val="00601DB3"/>
    <w:rsid w:val="0062494C"/>
    <w:rsid w:val="00625AB5"/>
    <w:rsid w:val="006366CA"/>
    <w:rsid w:val="00640CD7"/>
    <w:rsid w:val="00641B08"/>
    <w:rsid w:val="00641DB3"/>
    <w:rsid w:val="00642EB5"/>
    <w:rsid w:val="006449DB"/>
    <w:rsid w:val="00651E6A"/>
    <w:rsid w:val="006525AF"/>
    <w:rsid w:val="00652A07"/>
    <w:rsid w:val="00656659"/>
    <w:rsid w:val="006576FB"/>
    <w:rsid w:val="00662DB4"/>
    <w:rsid w:val="006651BA"/>
    <w:rsid w:val="00670D1E"/>
    <w:rsid w:val="00674F90"/>
    <w:rsid w:val="00683268"/>
    <w:rsid w:val="00690309"/>
    <w:rsid w:val="006B04A3"/>
    <w:rsid w:val="006C3A53"/>
    <w:rsid w:val="006C441D"/>
    <w:rsid w:val="006C7FA3"/>
    <w:rsid w:val="006D2F77"/>
    <w:rsid w:val="006D4975"/>
    <w:rsid w:val="006D6C37"/>
    <w:rsid w:val="006E09F7"/>
    <w:rsid w:val="006E1D5E"/>
    <w:rsid w:val="006E4BF7"/>
    <w:rsid w:val="006F3D86"/>
    <w:rsid w:val="006F70BE"/>
    <w:rsid w:val="006F7F84"/>
    <w:rsid w:val="007042E2"/>
    <w:rsid w:val="00707129"/>
    <w:rsid w:val="00711923"/>
    <w:rsid w:val="007140F8"/>
    <w:rsid w:val="00731BD6"/>
    <w:rsid w:val="00737F4C"/>
    <w:rsid w:val="00743941"/>
    <w:rsid w:val="00743FBE"/>
    <w:rsid w:val="00744B87"/>
    <w:rsid w:val="007470C2"/>
    <w:rsid w:val="00747A39"/>
    <w:rsid w:val="00751DA0"/>
    <w:rsid w:val="00753C08"/>
    <w:rsid w:val="00760FA8"/>
    <w:rsid w:val="00761B3A"/>
    <w:rsid w:val="00765383"/>
    <w:rsid w:val="007742FF"/>
    <w:rsid w:val="00774C0B"/>
    <w:rsid w:val="007759F4"/>
    <w:rsid w:val="00780C3E"/>
    <w:rsid w:val="0078714C"/>
    <w:rsid w:val="00787205"/>
    <w:rsid w:val="00791B40"/>
    <w:rsid w:val="0079266A"/>
    <w:rsid w:val="007A2A2E"/>
    <w:rsid w:val="007A5DFF"/>
    <w:rsid w:val="007B0CAE"/>
    <w:rsid w:val="007B115D"/>
    <w:rsid w:val="007B3057"/>
    <w:rsid w:val="007B4855"/>
    <w:rsid w:val="007B6119"/>
    <w:rsid w:val="007B6D4F"/>
    <w:rsid w:val="007C0D2F"/>
    <w:rsid w:val="007C2AA0"/>
    <w:rsid w:val="007D0E71"/>
    <w:rsid w:val="007D6275"/>
    <w:rsid w:val="007D704C"/>
    <w:rsid w:val="007E0C2B"/>
    <w:rsid w:val="007F746A"/>
    <w:rsid w:val="0080123A"/>
    <w:rsid w:val="008012FB"/>
    <w:rsid w:val="00801DDC"/>
    <w:rsid w:val="00814BE8"/>
    <w:rsid w:val="0081710E"/>
    <w:rsid w:val="00826559"/>
    <w:rsid w:val="00835633"/>
    <w:rsid w:val="008421C9"/>
    <w:rsid w:val="00846DDE"/>
    <w:rsid w:val="00852935"/>
    <w:rsid w:val="00854935"/>
    <w:rsid w:val="00856235"/>
    <w:rsid w:val="00856796"/>
    <w:rsid w:val="00860FB3"/>
    <w:rsid w:val="00864836"/>
    <w:rsid w:val="00875F48"/>
    <w:rsid w:val="00877415"/>
    <w:rsid w:val="00880561"/>
    <w:rsid w:val="00882EF5"/>
    <w:rsid w:val="00883488"/>
    <w:rsid w:val="00893EE4"/>
    <w:rsid w:val="0089630F"/>
    <w:rsid w:val="00897413"/>
    <w:rsid w:val="008B5BB0"/>
    <w:rsid w:val="008C37A6"/>
    <w:rsid w:val="008C6A24"/>
    <w:rsid w:val="008D3072"/>
    <w:rsid w:val="008D7FB8"/>
    <w:rsid w:val="008E6BBB"/>
    <w:rsid w:val="008F1140"/>
    <w:rsid w:val="008F2AA2"/>
    <w:rsid w:val="008F4D49"/>
    <w:rsid w:val="008F5C66"/>
    <w:rsid w:val="00900797"/>
    <w:rsid w:val="00901474"/>
    <w:rsid w:val="009055E9"/>
    <w:rsid w:val="00906500"/>
    <w:rsid w:val="0091080C"/>
    <w:rsid w:val="00912CFA"/>
    <w:rsid w:val="009153AE"/>
    <w:rsid w:val="00921979"/>
    <w:rsid w:val="0092225E"/>
    <w:rsid w:val="009323BF"/>
    <w:rsid w:val="00935678"/>
    <w:rsid w:val="00936FDA"/>
    <w:rsid w:val="0094270B"/>
    <w:rsid w:val="00944415"/>
    <w:rsid w:val="00944AD4"/>
    <w:rsid w:val="00950FB5"/>
    <w:rsid w:val="009547E1"/>
    <w:rsid w:val="009566BD"/>
    <w:rsid w:val="0095796C"/>
    <w:rsid w:val="00957A7B"/>
    <w:rsid w:val="00967BF1"/>
    <w:rsid w:val="00972DF3"/>
    <w:rsid w:val="009762DB"/>
    <w:rsid w:val="00976387"/>
    <w:rsid w:val="00980AF0"/>
    <w:rsid w:val="00985E5A"/>
    <w:rsid w:val="00996187"/>
    <w:rsid w:val="009A27E0"/>
    <w:rsid w:val="009A3F24"/>
    <w:rsid w:val="009B3903"/>
    <w:rsid w:val="009B75CD"/>
    <w:rsid w:val="009C24AF"/>
    <w:rsid w:val="009D006A"/>
    <w:rsid w:val="009D0970"/>
    <w:rsid w:val="009D09B8"/>
    <w:rsid w:val="009D3B71"/>
    <w:rsid w:val="009D46E5"/>
    <w:rsid w:val="009D5834"/>
    <w:rsid w:val="009D7496"/>
    <w:rsid w:val="009E0B13"/>
    <w:rsid w:val="009E137F"/>
    <w:rsid w:val="009E2C6D"/>
    <w:rsid w:val="009E3775"/>
    <w:rsid w:val="009E3D86"/>
    <w:rsid w:val="009E78DD"/>
    <w:rsid w:val="009F05A3"/>
    <w:rsid w:val="009F0835"/>
    <w:rsid w:val="009F6CF3"/>
    <w:rsid w:val="00A00B05"/>
    <w:rsid w:val="00A01958"/>
    <w:rsid w:val="00A03291"/>
    <w:rsid w:val="00A0389B"/>
    <w:rsid w:val="00A03C51"/>
    <w:rsid w:val="00A05BBC"/>
    <w:rsid w:val="00A12A8E"/>
    <w:rsid w:val="00A1489C"/>
    <w:rsid w:val="00A1597C"/>
    <w:rsid w:val="00A168CF"/>
    <w:rsid w:val="00A24645"/>
    <w:rsid w:val="00A32350"/>
    <w:rsid w:val="00A32EE0"/>
    <w:rsid w:val="00A51C4B"/>
    <w:rsid w:val="00A56CD2"/>
    <w:rsid w:val="00A63302"/>
    <w:rsid w:val="00A6487F"/>
    <w:rsid w:val="00A72D57"/>
    <w:rsid w:val="00A72E37"/>
    <w:rsid w:val="00A74BAF"/>
    <w:rsid w:val="00A77428"/>
    <w:rsid w:val="00A83CCF"/>
    <w:rsid w:val="00A87939"/>
    <w:rsid w:val="00A907C5"/>
    <w:rsid w:val="00A9246A"/>
    <w:rsid w:val="00AA3AE4"/>
    <w:rsid w:val="00AB1195"/>
    <w:rsid w:val="00AB3FC8"/>
    <w:rsid w:val="00AC049E"/>
    <w:rsid w:val="00AC186D"/>
    <w:rsid w:val="00AC378E"/>
    <w:rsid w:val="00AC46FB"/>
    <w:rsid w:val="00AD10FE"/>
    <w:rsid w:val="00AD40FB"/>
    <w:rsid w:val="00AD4E15"/>
    <w:rsid w:val="00AF2AAD"/>
    <w:rsid w:val="00AF3AD4"/>
    <w:rsid w:val="00AF52E0"/>
    <w:rsid w:val="00B00520"/>
    <w:rsid w:val="00B049BE"/>
    <w:rsid w:val="00B141E1"/>
    <w:rsid w:val="00B33ABE"/>
    <w:rsid w:val="00B33D5E"/>
    <w:rsid w:val="00B4059F"/>
    <w:rsid w:val="00B431D6"/>
    <w:rsid w:val="00B505A6"/>
    <w:rsid w:val="00B56BE6"/>
    <w:rsid w:val="00B604A5"/>
    <w:rsid w:val="00B63E9A"/>
    <w:rsid w:val="00B66E0D"/>
    <w:rsid w:val="00B722A7"/>
    <w:rsid w:val="00B76E88"/>
    <w:rsid w:val="00B80C92"/>
    <w:rsid w:val="00B8266A"/>
    <w:rsid w:val="00B83BE5"/>
    <w:rsid w:val="00B84A91"/>
    <w:rsid w:val="00B91BF3"/>
    <w:rsid w:val="00B92E5C"/>
    <w:rsid w:val="00B9422E"/>
    <w:rsid w:val="00B958A7"/>
    <w:rsid w:val="00BA7270"/>
    <w:rsid w:val="00BB4215"/>
    <w:rsid w:val="00BB4758"/>
    <w:rsid w:val="00BB4A9E"/>
    <w:rsid w:val="00BB5578"/>
    <w:rsid w:val="00BC01CC"/>
    <w:rsid w:val="00BC0E6D"/>
    <w:rsid w:val="00BC282B"/>
    <w:rsid w:val="00BC4F4F"/>
    <w:rsid w:val="00BC56C9"/>
    <w:rsid w:val="00BD035C"/>
    <w:rsid w:val="00BE4D5E"/>
    <w:rsid w:val="00BE70DD"/>
    <w:rsid w:val="00BF19D4"/>
    <w:rsid w:val="00BF260F"/>
    <w:rsid w:val="00BF3217"/>
    <w:rsid w:val="00BF70CE"/>
    <w:rsid w:val="00BF7478"/>
    <w:rsid w:val="00BF774C"/>
    <w:rsid w:val="00C00E55"/>
    <w:rsid w:val="00C02369"/>
    <w:rsid w:val="00C13857"/>
    <w:rsid w:val="00C1389B"/>
    <w:rsid w:val="00C167ED"/>
    <w:rsid w:val="00C209EA"/>
    <w:rsid w:val="00C20C14"/>
    <w:rsid w:val="00C250F6"/>
    <w:rsid w:val="00C3097F"/>
    <w:rsid w:val="00C31580"/>
    <w:rsid w:val="00C41467"/>
    <w:rsid w:val="00C519D9"/>
    <w:rsid w:val="00C5497C"/>
    <w:rsid w:val="00C55FAC"/>
    <w:rsid w:val="00C63282"/>
    <w:rsid w:val="00C6503E"/>
    <w:rsid w:val="00C65D94"/>
    <w:rsid w:val="00C7028D"/>
    <w:rsid w:val="00C70426"/>
    <w:rsid w:val="00C77F81"/>
    <w:rsid w:val="00C80713"/>
    <w:rsid w:val="00C80DB7"/>
    <w:rsid w:val="00C845AF"/>
    <w:rsid w:val="00C86736"/>
    <w:rsid w:val="00C87DEA"/>
    <w:rsid w:val="00C94689"/>
    <w:rsid w:val="00C966F4"/>
    <w:rsid w:val="00CB092D"/>
    <w:rsid w:val="00CB3599"/>
    <w:rsid w:val="00CC0A2C"/>
    <w:rsid w:val="00CC1D9A"/>
    <w:rsid w:val="00CD3DA7"/>
    <w:rsid w:val="00CD4C33"/>
    <w:rsid w:val="00CD6FC6"/>
    <w:rsid w:val="00D0211D"/>
    <w:rsid w:val="00D026D6"/>
    <w:rsid w:val="00D043D2"/>
    <w:rsid w:val="00D059D7"/>
    <w:rsid w:val="00D0678D"/>
    <w:rsid w:val="00D105FE"/>
    <w:rsid w:val="00D12C54"/>
    <w:rsid w:val="00D14233"/>
    <w:rsid w:val="00D26A9B"/>
    <w:rsid w:val="00D30B48"/>
    <w:rsid w:val="00D31EB8"/>
    <w:rsid w:val="00D34E2E"/>
    <w:rsid w:val="00D3672D"/>
    <w:rsid w:val="00D37272"/>
    <w:rsid w:val="00D4158B"/>
    <w:rsid w:val="00D41C61"/>
    <w:rsid w:val="00D44762"/>
    <w:rsid w:val="00D44AA2"/>
    <w:rsid w:val="00D4524B"/>
    <w:rsid w:val="00D532B2"/>
    <w:rsid w:val="00D54504"/>
    <w:rsid w:val="00D55C39"/>
    <w:rsid w:val="00D60A62"/>
    <w:rsid w:val="00D63B42"/>
    <w:rsid w:val="00D71DBE"/>
    <w:rsid w:val="00D8075E"/>
    <w:rsid w:val="00D80B37"/>
    <w:rsid w:val="00D838B2"/>
    <w:rsid w:val="00D84AC9"/>
    <w:rsid w:val="00D92BB5"/>
    <w:rsid w:val="00D931A4"/>
    <w:rsid w:val="00D95151"/>
    <w:rsid w:val="00D95D97"/>
    <w:rsid w:val="00D979A9"/>
    <w:rsid w:val="00DA0177"/>
    <w:rsid w:val="00DA2BD0"/>
    <w:rsid w:val="00DA38E4"/>
    <w:rsid w:val="00DB2759"/>
    <w:rsid w:val="00DB4F9E"/>
    <w:rsid w:val="00DB51C2"/>
    <w:rsid w:val="00DB6C46"/>
    <w:rsid w:val="00DC13C4"/>
    <w:rsid w:val="00DC252F"/>
    <w:rsid w:val="00DD0632"/>
    <w:rsid w:val="00DD5969"/>
    <w:rsid w:val="00DD6ED0"/>
    <w:rsid w:val="00DE0843"/>
    <w:rsid w:val="00DE23A4"/>
    <w:rsid w:val="00DE5B41"/>
    <w:rsid w:val="00DE7809"/>
    <w:rsid w:val="00DF22FE"/>
    <w:rsid w:val="00DF47DB"/>
    <w:rsid w:val="00DF669C"/>
    <w:rsid w:val="00E009D4"/>
    <w:rsid w:val="00E03707"/>
    <w:rsid w:val="00E12C33"/>
    <w:rsid w:val="00E12DB0"/>
    <w:rsid w:val="00E20530"/>
    <w:rsid w:val="00E22273"/>
    <w:rsid w:val="00E228EB"/>
    <w:rsid w:val="00E24E42"/>
    <w:rsid w:val="00E25DE6"/>
    <w:rsid w:val="00E26D67"/>
    <w:rsid w:val="00E27B01"/>
    <w:rsid w:val="00E32CBA"/>
    <w:rsid w:val="00E32E7C"/>
    <w:rsid w:val="00E35857"/>
    <w:rsid w:val="00E40C8D"/>
    <w:rsid w:val="00E42831"/>
    <w:rsid w:val="00E66D21"/>
    <w:rsid w:val="00E71D33"/>
    <w:rsid w:val="00E7301F"/>
    <w:rsid w:val="00E812C3"/>
    <w:rsid w:val="00E87DA8"/>
    <w:rsid w:val="00E914C7"/>
    <w:rsid w:val="00EA0282"/>
    <w:rsid w:val="00EA0D4B"/>
    <w:rsid w:val="00EA2502"/>
    <w:rsid w:val="00EA5010"/>
    <w:rsid w:val="00EB093F"/>
    <w:rsid w:val="00EB1DED"/>
    <w:rsid w:val="00EB4BD7"/>
    <w:rsid w:val="00EC26E1"/>
    <w:rsid w:val="00ED1492"/>
    <w:rsid w:val="00ED1AE7"/>
    <w:rsid w:val="00ED2637"/>
    <w:rsid w:val="00ED6A94"/>
    <w:rsid w:val="00EE0A6F"/>
    <w:rsid w:val="00EE6D4E"/>
    <w:rsid w:val="00EE78E2"/>
    <w:rsid w:val="00EF0472"/>
    <w:rsid w:val="00EF2B71"/>
    <w:rsid w:val="00EF5F55"/>
    <w:rsid w:val="00F0308F"/>
    <w:rsid w:val="00F04317"/>
    <w:rsid w:val="00F07626"/>
    <w:rsid w:val="00F07F10"/>
    <w:rsid w:val="00F11A42"/>
    <w:rsid w:val="00F13C36"/>
    <w:rsid w:val="00F15B87"/>
    <w:rsid w:val="00F17039"/>
    <w:rsid w:val="00F23824"/>
    <w:rsid w:val="00F25249"/>
    <w:rsid w:val="00F35F61"/>
    <w:rsid w:val="00F36A8C"/>
    <w:rsid w:val="00F36CB5"/>
    <w:rsid w:val="00F42C59"/>
    <w:rsid w:val="00F54AD3"/>
    <w:rsid w:val="00F634D6"/>
    <w:rsid w:val="00F6397D"/>
    <w:rsid w:val="00F64550"/>
    <w:rsid w:val="00F67F84"/>
    <w:rsid w:val="00F73792"/>
    <w:rsid w:val="00F77E21"/>
    <w:rsid w:val="00F812D4"/>
    <w:rsid w:val="00F86DE6"/>
    <w:rsid w:val="00F90F33"/>
    <w:rsid w:val="00F91E89"/>
    <w:rsid w:val="00F920C4"/>
    <w:rsid w:val="00F93FE3"/>
    <w:rsid w:val="00FA204F"/>
    <w:rsid w:val="00FA2681"/>
    <w:rsid w:val="00FA76BD"/>
    <w:rsid w:val="00FB4A8D"/>
    <w:rsid w:val="00FC099A"/>
    <w:rsid w:val="00FC397D"/>
    <w:rsid w:val="00FC3BD7"/>
    <w:rsid w:val="00FC5243"/>
    <w:rsid w:val="00FC76A8"/>
    <w:rsid w:val="00FD02B5"/>
    <w:rsid w:val="00FD4E78"/>
    <w:rsid w:val="00FE0452"/>
    <w:rsid w:val="00FE34DC"/>
    <w:rsid w:val="00FF412F"/>
    <w:rsid w:val="00FF610B"/>
    <w:rsid w:val="00FF66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BD3AE"/>
  <w15:docId w15:val="{66800842-7491-4B20-A829-D6031417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58"/>
    <w:pPr>
      <w:jc w:val="both"/>
    </w:pPr>
    <w:rPr>
      <w:rFonts w:ascii="Arial" w:hAnsi="Arial"/>
      <w:sz w:val="22"/>
      <w:lang w:eastAsia="en-US"/>
    </w:rPr>
  </w:style>
  <w:style w:type="paragraph" w:styleId="Heading1">
    <w:name w:val="heading 1"/>
    <w:basedOn w:val="Normal"/>
    <w:next w:val="BodyText"/>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spacing w:before="240"/>
      <w:ind w:left="493" w:hanging="493"/>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uiPriority w:val="4"/>
    <w:qFormat/>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link w:val="BalloonTextChar"/>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semiHidden/>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aliases w:val="p,Normal + Times: 9 Point,Footnote Text Char Char Char Char,Footnote Text Char Char Char,Footnote Text Char Char,Footnote Text Char Char Char Char Char Char,p Char Char,p Char,Footnote Text Char1,Footnote Text Char Char2 Char Char"/>
    <w:basedOn w:val="Normal"/>
    <w:link w:val="FootnoteTextChar"/>
    <w:uiPriority w:val="4"/>
    <w:qFormat/>
    <w:rsid w:val="00D63B42"/>
    <w:rPr>
      <w:rFonts w:ascii="Arial Mäori" w:hAnsi="Arial Mäori"/>
      <w:sz w:val="20"/>
    </w:rPr>
  </w:style>
  <w:style w:type="character" w:styleId="FootnoteReference">
    <w:name w:val="footnote reference"/>
    <w:basedOn w:val="DefaultParagraphFont"/>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tabs>
        <w:tab w:val="clear" w:pos="1701"/>
        <w:tab w:val="num" w:pos="493"/>
      </w:tabs>
      <w:ind w:left="987"/>
    </w:pPr>
  </w:style>
  <w:style w:type="paragraph" w:customStyle="1" w:styleId="RecNumbering2">
    <w:name w:val="Rec Numbering 2"/>
    <w:basedOn w:val="RecNumbering"/>
    <w:qFormat/>
    <w:rsid w:val="005A13B0"/>
    <w:pPr>
      <w:numPr>
        <w:ilvl w:val="1"/>
      </w:numPr>
    </w:pPr>
  </w:style>
  <w:style w:type="character" w:styleId="CommentReference">
    <w:name w:val="annotation reference"/>
    <w:basedOn w:val="DefaultParagraphFont"/>
    <w:semiHidden/>
    <w:unhideWhenUsed/>
    <w:rsid w:val="00A12A8E"/>
    <w:rPr>
      <w:sz w:val="16"/>
      <w:szCs w:val="16"/>
    </w:rPr>
  </w:style>
  <w:style w:type="paragraph" w:styleId="CommentText">
    <w:name w:val="annotation text"/>
    <w:basedOn w:val="Normal"/>
    <w:link w:val="CommentTextChar"/>
    <w:unhideWhenUsed/>
    <w:rsid w:val="00A12A8E"/>
    <w:rPr>
      <w:sz w:val="20"/>
    </w:rPr>
  </w:style>
  <w:style w:type="character" w:customStyle="1" w:styleId="CommentTextChar">
    <w:name w:val="Comment Text Char"/>
    <w:basedOn w:val="DefaultParagraphFont"/>
    <w:link w:val="CommentText"/>
    <w:rsid w:val="00A12A8E"/>
    <w:rPr>
      <w:rFonts w:ascii="Arial" w:hAnsi="Arial"/>
      <w:lang w:eastAsia="en-US"/>
    </w:rPr>
  </w:style>
  <w:style w:type="paragraph" w:styleId="CommentSubject">
    <w:name w:val="annotation subject"/>
    <w:basedOn w:val="CommentText"/>
    <w:next w:val="CommentText"/>
    <w:link w:val="CommentSubjectChar"/>
    <w:semiHidden/>
    <w:unhideWhenUsed/>
    <w:rsid w:val="00A12A8E"/>
    <w:rPr>
      <w:b/>
      <w:bCs/>
    </w:rPr>
  </w:style>
  <w:style w:type="character" w:customStyle="1" w:styleId="CommentSubjectChar">
    <w:name w:val="Comment Subject Char"/>
    <w:basedOn w:val="CommentTextChar"/>
    <w:link w:val="CommentSubject"/>
    <w:semiHidden/>
    <w:rsid w:val="00A12A8E"/>
    <w:rPr>
      <w:rFonts w:ascii="Arial" w:hAnsi="Arial"/>
      <w:b/>
      <w:bCs/>
      <w:lang w:eastAsia="en-US"/>
    </w:rPr>
  </w:style>
  <w:style w:type="paragraph" w:styleId="ListParagraph">
    <w:name w:val="List Paragraph"/>
    <w:basedOn w:val="Normal"/>
    <w:uiPriority w:val="34"/>
    <w:qFormat/>
    <w:rsid w:val="008E6BBB"/>
    <w:pPr>
      <w:spacing w:after="160" w:line="259" w:lineRule="auto"/>
      <w:ind w:left="720"/>
      <w:contextualSpacing/>
      <w:jc w:val="left"/>
    </w:pPr>
    <w:rPr>
      <w:rFonts w:asciiTheme="minorHAnsi" w:eastAsiaTheme="minorHAnsi" w:hAnsiTheme="minorHAnsi" w:cstheme="minorBidi"/>
      <w:szCs w:val="22"/>
    </w:rPr>
  </w:style>
  <w:style w:type="character" w:styleId="Hyperlink">
    <w:name w:val="Hyperlink"/>
    <w:basedOn w:val="DefaultParagraphFont"/>
    <w:uiPriority w:val="99"/>
    <w:unhideWhenUsed/>
    <w:rsid w:val="008E6BBB"/>
    <w:rPr>
      <w:color w:val="0000FF" w:themeColor="hyperlink"/>
      <w:u w:val="single"/>
    </w:rPr>
  </w:style>
  <w:style w:type="paragraph" w:styleId="NormalWeb">
    <w:name w:val="Normal (Web)"/>
    <w:basedOn w:val="Normal"/>
    <w:uiPriority w:val="99"/>
    <w:semiHidden/>
    <w:unhideWhenUsed/>
    <w:rsid w:val="00BB4758"/>
    <w:pPr>
      <w:spacing w:before="100" w:beforeAutospacing="1" w:after="100" w:afterAutospacing="1"/>
      <w:jc w:val="left"/>
    </w:pPr>
    <w:rPr>
      <w:rFonts w:ascii="Times New Roman" w:hAnsi="Times New Roman"/>
      <w:sz w:val="24"/>
      <w:szCs w:val="24"/>
      <w:lang w:eastAsia="en-NZ"/>
    </w:rPr>
  </w:style>
  <w:style w:type="character" w:customStyle="1" w:styleId="FootnoteTextChar">
    <w:name w:val="Footnote Text Char"/>
    <w:aliases w:val="p Char1,Normal + Times: 9 Point Char,Footnote Text Char Char Char Char Char,Footnote Text Char Char Char Char1,Footnote Text Char Char Char1,Footnote Text Char Char Char Char Char Char Char,p Char Char Char,p Char Char1"/>
    <w:link w:val="FootnoteText"/>
    <w:uiPriority w:val="4"/>
    <w:rsid w:val="00BB4758"/>
    <w:rPr>
      <w:rFonts w:ascii="Arial Mäori" w:hAnsi="Arial Mäori"/>
      <w:lang w:eastAsia="en-US"/>
    </w:rPr>
  </w:style>
  <w:style w:type="paragraph" w:customStyle="1" w:styleId="ReportBody">
    <w:name w:val="Report Body"/>
    <w:basedOn w:val="Normal"/>
    <w:link w:val="ReportBodyChar"/>
    <w:qFormat/>
    <w:rsid w:val="006576FB"/>
    <w:pPr>
      <w:numPr>
        <w:numId w:val="11"/>
      </w:numPr>
      <w:spacing w:before="120" w:after="120" w:line="288" w:lineRule="auto"/>
      <w:jc w:val="left"/>
    </w:pPr>
    <w:rPr>
      <w:rFonts w:ascii="Verdana" w:hAnsi="Verdana" w:cs="Arial"/>
      <w:color w:val="000000"/>
      <w:kern w:val="22"/>
      <w:lang w:eastAsia="en-NZ"/>
    </w:rPr>
  </w:style>
  <w:style w:type="character" w:customStyle="1" w:styleId="ReportBodyChar">
    <w:name w:val="Report Body Char"/>
    <w:basedOn w:val="DefaultParagraphFont"/>
    <w:link w:val="ReportBody"/>
    <w:rsid w:val="006576FB"/>
    <w:rPr>
      <w:rFonts w:ascii="Verdana" w:hAnsi="Verdana" w:cs="Arial"/>
      <w:color w:val="000000"/>
      <w:kern w:val="22"/>
      <w:sz w:val="22"/>
    </w:rPr>
  </w:style>
  <w:style w:type="paragraph" w:customStyle="1" w:styleId="ReportBody2">
    <w:name w:val="Report Body 2"/>
    <w:basedOn w:val="ReportBody"/>
    <w:qFormat/>
    <w:rsid w:val="006576FB"/>
    <w:pPr>
      <w:numPr>
        <w:ilvl w:val="1"/>
      </w:numPr>
      <w:tabs>
        <w:tab w:val="clear" w:pos="493"/>
        <w:tab w:val="num" w:pos="1440"/>
      </w:tabs>
      <w:ind w:left="986" w:hanging="493"/>
    </w:pPr>
  </w:style>
  <w:style w:type="character" w:customStyle="1" w:styleId="BalloonTextChar">
    <w:name w:val="Balloon Text Char"/>
    <w:link w:val="BalloonText"/>
    <w:semiHidden/>
    <w:rsid w:val="0035380E"/>
    <w:rPr>
      <w:rFonts w:ascii="Tahoma" w:hAnsi="Tahoma" w:cs="Tahoma"/>
      <w:sz w:val="16"/>
      <w:szCs w:val="16"/>
      <w:lang w:eastAsia="en-US"/>
    </w:rPr>
  </w:style>
  <w:style w:type="paragraph" w:customStyle="1" w:styleId="CabStandard">
    <w:name w:val="CabStandard"/>
    <w:basedOn w:val="Normal"/>
    <w:rsid w:val="00D54504"/>
    <w:pPr>
      <w:numPr>
        <w:numId w:val="12"/>
      </w:numPr>
      <w:spacing w:after="240"/>
      <w:jc w:val="left"/>
    </w:pPr>
    <w:rPr>
      <w:sz w:val="24"/>
      <w:lang w:val="en-GB" w:eastAsia="ja-JP"/>
    </w:rPr>
  </w:style>
  <w:style w:type="table" w:styleId="TableGrid">
    <w:name w:val="Table Grid"/>
    <w:basedOn w:val="TableNormal"/>
    <w:uiPriority w:val="59"/>
    <w:rsid w:val="0040227D"/>
    <w:rPr>
      <w:rFonts w:ascii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3887">
      <w:bodyDiv w:val="1"/>
      <w:marLeft w:val="0"/>
      <w:marRight w:val="0"/>
      <w:marTop w:val="0"/>
      <w:marBottom w:val="0"/>
      <w:divBdr>
        <w:top w:val="none" w:sz="0" w:space="0" w:color="auto"/>
        <w:left w:val="none" w:sz="0" w:space="0" w:color="auto"/>
        <w:bottom w:val="none" w:sz="0" w:space="0" w:color="auto"/>
        <w:right w:val="none" w:sz="0" w:space="0" w:color="auto"/>
      </w:divBdr>
    </w:div>
    <w:div w:id="454299746">
      <w:bodyDiv w:val="1"/>
      <w:marLeft w:val="0"/>
      <w:marRight w:val="0"/>
      <w:marTop w:val="0"/>
      <w:marBottom w:val="0"/>
      <w:divBdr>
        <w:top w:val="none" w:sz="0" w:space="0" w:color="auto"/>
        <w:left w:val="none" w:sz="0" w:space="0" w:color="auto"/>
        <w:bottom w:val="none" w:sz="0" w:space="0" w:color="auto"/>
        <w:right w:val="none" w:sz="0" w:space="0" w:color="auto"/>
      </w:divBdr>
    </w:div>
    <w:div w:id="584917770">
      <w:bodyDiv w:val="1"/>
      <w:marLeft w:val="0"/>
      <w:marRight w:val="0"/>
      <w:marTop w:val="0"/>
      <w:marBottom w:val="0"/>
      <w:divBdr>
        <w:top w:val="none" w:sz="0" w:space="0" w:color="auto"/>
        <w:left w:val="none" w:sz="0" w:space="0" w:color="auto"/>
        <w:bottom w:val="none" w:sz="0" w:space="0" w:color="auto"/>
        <w:right w:val="none" w:sz="0" w:space="0" w:color="auto"/>
      </w:divBdr>
    </w:div>
    <w:div w:id="702363570">
      <w:bodyDiv w:val="1"/>
      <w:marLeft w:val="0"/>
      <w:marRight w:val="0"/>
      <w:marTop w:val="0"/>
      <w:marBottom w:val="0"/>
      <w:divBdr>
        <w:top w:val="none" w:sz="0" w:space="0" w:color="auto"/>
        <w:left w:val="none" w:sz="0" w:space="0" w:color="auto"/>
        <w:bottom w:val="none" w:sz="0" w:space="0" w:color="auto"/>
        <w:right w:val="none" w:sz="0" w:space="0" w:color="auto"/>
      </w:divBdr>
    </w:div>
    <w:div w:id="739137009">
      <w:bodyDiv w:val="1"/>
      <w:marLeft w:val="0"/>
      <w:marRight w:val="0"/>
      <w:marTop w:val="0"/>
      <w:marBottom w:val="0"/>
      <w:divBdr>
        <w:top w:val="none" w:sz="0" w:space="0" w:color="auto"/>
        <w:left w:val="none" w:sz="0" w:space="0" w:color="auto"/>
        <w:bottom w:val="none" w:sz="0" w:space="0" w:color="auto"/>
        <w:right w:val="none" w:sz="0" w:space="0" w:color="auto"/>
      </w:divBdr>
    </w:div>
    <w:div w:id="848327123">
      <w:bodyDiv w:val="1"/>
      <w:marLeft w:val="0"/>
      <w:marRight w:val="0"/>
      <w:marTop w:val="0"/>
      <w:marBottom w:val="0"/>
      <w:divBdr>
        <w:top w:val="none" w:sz="0" w:space="0" w:color="auto"/>
        <w:left w:val="none" w:sz="0" w:space="0" w:color="auto"/>
        <w:bottom w:val="none" w:sz="0" w:space="0" w:color="auto"/>
        <w:right w:val="none" w:sz="0" w:space="0" w:color="auto"/>
      </w:divBdr>
    </w:div>
    <w:div w:id="1280724104">
      <w:bodyDiv w:val="1"/>
      <w:marLeft w:val="0"/>
      <w:marRight w:val="0"/>
      <w:marTop w:val="0"/>
      <w:marBottom w:val="0"/>
      <w:divBdr>
        <w:top w:val="none" w:sz="0" w:space="0" w:color="auto"/>
        <w:left w:val="none" w:sz="0" w:space="0" w:color="auto"/>
        <w:bottom w:val="none" w:sz="0" w:space="0" w:color="auto"/>
        <w:right w:val="none" w:sz="0" w:space="0" w:color="auto"/>
      </w:divBdr>
    </w:div>
    <w:div w:id="1320765675">
      <w:bodyDiv w:val="1"/>
      <w:marLeft w:val="0"/>
      <w:marRight w:val="0"/>
      <w:marTop w:val="0"/>
      <w:marBottom w:val="0"/>
      <w:divBdr>
        <w:top w:val="none" w:sz="0" w:space="0" w:color="auto"/>
        <w:left w:val="none" w:sz="0" w:space="0" w:color="auto"/>
        <w:bottom w:val="none" w:sz="0" w:space="0" w:color="auto"/>
        <w:right w:val="none" w:sz="0" w:space="0" w:color="auto"/>
      </w:divBdr>
    </w:div>
    <w:div w:id="1674994333">
      <w:bodyDiv w:val="1"/>
      <w:marLeft w:val="0"/>
      <w:marRight w:val="0"/>
      <w:marTop w:val="0"/>
      <w:marBottom w:val="0"/>
      <w:divBdr>
        <w:top w:val="none" w:sz="0" w:space="0" w:color="auto"/>
        <w:left w:val="none" w:sz="0" w:space="0" w:color="auto"/>
        <w:bottom w:val="none" w:sz="0" w:space="0" w:color="auto"/>
        <w:right w:val="none" w:sz="0" w:space="0" w:color="auto"/>
      </w:divBdr>
    </w:div>
    <w:div w:id="1729376744">
      <w:bodyDiv w:val="1"/>
      <w:marLeft w:val="0"/>
      <w:marRight w:val="0"/>
      <w:marTop w:val="0"/>
      <w:marBottom w:val="0"/>
      <w:divBdr>
        <w:top w:val="none" w:sz="0" w:space="0" w:color="auto"/>
        <w:left w:val="none" w:sz="0" w:space="0" w:color="auto"/>
        <w:bottom w:val="none" w:sz="0" w:space="0" w:color="auto"/>
        <w:right w:val="none" w:sz="0" w:space="0" w:color="auto"/>
      </w:divBdr>
    </w:div>
    <w:div w:id="1959333689">
      <w:bodyDiv w:val="1"/>
      <w:marLeft w:val="0"/>
      <w:marRight w:val="0"/>
      <w:marTop w:val="0"/>
      <w:marBottom w:val="0"/>
      <w:divBdr>
        <w:top w:val="none" w:sz="0" w:space="0" w:color="auto"/>
        <w:left w:val="none" w:sz="0" w:space="0" w:color="auto"/>
        <w:bottom w:val="none" w:sz="0" w:space="0" w:color="auto"/>
        <w:right w:val="none" w:sz="0" w:space="0" w:color="auto"/>
      </w:divBdr>
    </w:div>
    <w:div w:id="2008096263">
      <w:bodyDiv w:val="1"/>
      <w:marLeft w:val="0"/>
      <w:marRight w:val="0"/>
      <w:marTop w:val="0"/>
      <w:marBottom w:val="0"/>
      <w:divBdr>
        <w:top w:val="none" w:sz="0" w:space="0" w:color="auto"/>
        <w:left w:val="none" w:sz="0" w:space="0" w:color="auto"/>
        <w:bottom w:val="none" w:sz="0" w:space="0" w:color="auto"/>
        <w:right w:val="none" w:sz="0" w:space="0" w:color="auto"/>
      </w:divBdr>
    </w:div>
    <w:div w:id="20920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2EFE-174E-42DB-AD18-CB0C2B9E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Martha Carrillo Cardenas</dc:creator>
  <cp:lastModifiedBy>Ben Yung</cp:lastModifiedBy>
  <cp:revision>2</cp:revision>
  <cp:lastPrinted>2019-02-27T00:14:00Z</cp:lastPrinted>
  <dcterms:created xsi:type="dcterms:W3CDTF">2022-11-29T03:46:00Z</dcterms:created>
  <dcterms:modified xsi:type="dcterms:W3CDTF">2022-11-29T03:46:00Z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A11160784</vt:lpwstr>
  </property>
  <property fmtid="{D5CDD505-2E9C-101B-9397-08002B2CF9AE}" pid="4" name="Objective-Title">
    <vt:lpwstr>Cabinet paper Addressing errors with the Winter Energy Payment legislation</vt:lpwstr>
  </property>
  <property fmtid="{D5CDD505-2E9C-101B-9397-08002B2CF9AE}" pid="5" name="Objective-Comment">
    <vt:lpwstr/>
  </property>
  <property fmtid="{D5CDD505-2E9C-101B-9397-08002B2CF9AE}" pid="6" name="Objective-CreationStamp">
    <vt:filetime>2019-01-30T04:00:09Z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2019-02-27T20:41:45Z</vt:filetime>
  </property>
  <property fmtid="{D5CDD505-2E9C-101B-9397-08002B2CF9AE}" pid="11" name="Objective-Owner">
    <vt:lpwstr>Martha Carrillo Cardenas</vt:lpwstr>
  </property>
  <property fmtid="{D5CDD505-2E9C-101B-9397-08002B2CF9AE}" pid="12" name="Objective-Path">
    <vt:lpwstr>Families:Financial Assistance:Family Income Assistance:Families Package:WEP alignment issues:</vt:lpwstr>
  </property>
  <property fmtid="{D5CDD505-2E9C-101B-9397-08002B2CF9AE}" pid="13" name="Objective-Parent">
    <vt:lpwstr>WEP alignment issues</vt:lpwstr>
  </property>
  <property fmtid="{D5CDD505-2E9C-101B-9397-08002B2CF9AE}" pid="14" name="Objective-State">
    <vt:lpwstr>Being Edited</vt:lpwstr>
  </property>
  <property fmtid="{D5CDD505-2E9C-101B-9397-08002B2CF9AE}" pid="15" name="Objective-Version">
    <vt:lpwstr>0.26</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SO/FA/03/03/17-24825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