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CD10" w14:textId="6F821FDA" w:rsidR="00F80E84" w:rsidRDefault="000E2A0D" w:rsidP="000E2A0D">
      <w:pPr>
        <w:pStyle w:val="Heading3"/>
        <w:ind w:left="284"/>
      </w:pPr>
      <w:r>
        <w:rPr>
          <w:noProof/>
        </w:rPr>
        <mc:AlternateContent>
          <mc:Choice Requires="wps">
            <w:drawing>
              <wp:anchor distT="0" distB="0" distL="114300" distR="114300" simplePos="0" relativeHeight="251659264" behindDoc="0" locked="0" layoutInCell="1" allowOverlap="1" wp14:anchorId="13DA9FF2" wp14:editId="0ECDD416">
                <wp:simplePos x="0" y="0"/>
                <wp:positionH relativeFrom="column">
                  <wp:posOffset>196034</wp:posOffset>
                </wp:positionH>
                <wp:positionV relativeFrom="paragraph">
                  <wp:posOffset>935990</wp:posOffset>
                </wp:positionV>
                <wp:extent cx="285750" cy="16319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31950"/>
                        </a:xfrm>
                        <a:prstGeom prst="rect">
                          <a:avLst/>
                        </a:prstGeom>
                        <a:solidFill>
                          <a:srgbClr val="FFCC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C3981" id="Rectangle 5" o:spid="_x0000_s1026" alt="&quot;&quot;" style="position:absolute;margin-left:15.45pt;margin-top:73.7pt;width:22.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" fillcolor="#ffcc04" stroked="f" strokeweight="2pt"/>
            </w:pict>
          </mc:Fallback>
        </mc:AlternateContent>
      </w:r>
      <w:r w:rsidR="0050631D">
        <w:rPr>
          <w:noProof/>
        </w:rPr>
        <w:drawing>
          <wp:inline distT="0" distB="0" distL="0" distR="0" wp14:anchorId="1E919DF7" wp14:editId="1EB7B219">
            <wp:extent cx="2134048" cy="681258"/>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8"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rsidR="00F80E84" w:rsidRPr="00F80E84">
        <w:t xml:space="preserve"> </w:t>
      </w:r>
      <w:r w:rsidR="00F80E84">
        <w:rPr>
          <w:noProof/>
        </w:rPr>
        <w:drawing>
          <wp:inline distT="0" distB="0" distL="0" distR="0" wp14:anchorId="0A255C43" wp14:editId="7F7C44E7">
            <wp:extent cx="2665095" cy="723164"/>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9"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503F8D58" w14:textId="7847A497" w:rsidR="00F80E84" w:rsidRPr="0050631D" w:rsidRDefault="00F80E84" w:rsidP="000E2A0D">
      <w:pPr>
        <w:pStyle w:val="Subtitle"/>
      </w:pPr>
      <w:r w:rsidRPr="000E2A0D">
        <w:t>Factsheet</w:t>
      </w:r>
    </w:p>
    <w:p w14:paraId="64D4037A" w14:textId="4E428189" w:rsidR="0050631D" w:rsidRDefault="00F80E84" w:rsidP="000E2A0D">
      <w:pPr>
        <w:pStyle w:val="Title"/>
      </w:pPr>
      <w:r w:rsidRPr="00F80E84">
        <w:t xml:space="preserve">Care in the Community Disability </w:t>
      </w:r>
      <w:r w:rsidRPr="000E2A0D">
        <w:t>Welfare</w:t>
      </w:r>
      <w:r w:rsidRPr="00F80E84">
        <w:t xml:space="preserve"> Fund</w:t>
      </w:r>
    </w:p>
    <w:p w14:paraId="6BDB4B9F" w14:textId="29A61746" w:rsidR="00F80E84" w:rsidRDefault="00F80E84" w:rsidP="000E2A0D">
      <w:pPr>
        <w:ind w:left="284"/>
      </w:pPr>
      <w:r>
        <w:t xml:space="preserve">The $5m Care in the Community (CiC) Disability Welfare Fund is specifically to support the welfare needs of the disabled community and the wellbeing of disabled people and their whānau impacted by COVID-19. </w:t>
      </w:r>
    </w:p>
    <w:p w14:paraId="10E83593" w14:textId="5A23A939" w:rsidR="00F80E84" w:rsidRDefault="00F80E84" w:rsidP="000E2A0D">
      <w:pPr>
        <w:ind w:left="284"/>
      </w:pPr>
      <w:r>
        <w:t>In line with the ‘nothing about us without us’ approach, the Fund is administered by the Ministry of Social Development (MSD) in collaboration with disabled communities.</w:t>
      </w:r>
    </w:p>
    <w:p w14:paraId="251FC6A0" w14:textId="6B6AE11E" w:rsidR="000E2A0D" w:rsidRDefault="00F80E84" w:rsidP="000E2A0D">
      <w:pPr>
        <w:pStyle w:val="Heading4"/>
        <w:ind w:left="284"/>
      </w:pPr>
      <w:r w:rsidRPr="00222C48">
        <w:rPr>
          <w:noProof/>
          <w:lang w:val="en-US"/>
        </w:rPr>
        <w:drawing>
          <wp:inline distT="0" distB="0" distL="0" distR="0" wp14:anchorId="4250060F" wp14:editId="3BD5A954">
            <wp:extent cx="5858691" cy="4331303"/>
            <wp:effectExtent l="0" t="0" r="8890" b="0"/>
            <wp:docPr id="12" name="Picture 12" descr="Diagram showing how the wellbeing of disabled people and whanau impacted by COZVID-19 is improved by the $5m Care in the Community Disability Welfare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howing how the wellbeing of disabled people and whanau impacted by COZVID-19 is improved by the $5m Care in the Community Disability Welfare Fu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4675" cy="4335727"/>
                    </a:xfrm>
                    <a:prstGeom prst="rect">
                      <a:avLst/>
                    </a:prstGeom>
                    <a:noFill/>
                    <a:ln>
                      <a:noFill/>
                    </a:ln>
                  </pic:spPr>
                </pic:pic>
              </a:graphicData>
            </a:graphic>
          </wp:inline>
        </w:drawing>
      </w:r>
    </w:p>
    <w:p w14:paraId="7E4B3534" w14:textId="77777777" w:rsidR="000E2A0D" w:rsidRDefault="000E2A0D" w:rsidP="000E2A0D">
      <w:pPr>
        <w:spacing w:before="0" w:after="0" w:line="240" w:lineRule="auto"/>
        <w:ind w:left="284"/>
        <w:rPr>
          <w:rFonts w:ascii="Verdana Pro SemiBold" w:hAnsi="Verdana Pro SemiBold"/>
          <w:color w:val="000000" w:themeColor="text1"/>
          <w:sz w:val="24"/>
          <w:szCs w:val="24"/>
        </w:rPr>
      </w:pPr>
      <w:r>
        <w:br w:type="page"/>
      </w:r>
    </w:p>
    <w:p w14:paraId="17639925" w14:textId="77777777" w:rsidR="000E2A0D" w:rsidRDefault="000E2A0D" w:rsidP="000E2A0D">
      <w:pPr>
        <w:pStyle w:val="Heading2"/>
        <w:ind w:left="284"/>
      </w:pPr>
      <w:r>
        <w:lastRenderedPageBreak/>
        <w:t>The Fund</w:t>
      </w:r>
    </w:p>
    <w:p w14:paraId="62F6E72C" w14:textId="77777777" w:rsidR="000E2A0D" w:rsidRDefault="000E2A0D" w:rsidP="000E2A0D">
      <w:pPr>
        <w:ind w:left="284"/>
      </w:pPr>
      <w:r>
        <w:t>MSD has engaged with the disability sector and other government agencies to determine the best options for the use of this funding.</w:t>
      </w:r>
    </w:p>
    <w:p w14:paraId="350F6ECF" w14:textId="475FF948" w:rsidR="000E2A0D" w:rsidRDefault="000E2A0D" w:rsidP="000E2A0D">
      <w:pPr>
        <w:ind w:left="284"/>
      </w:pPr>
      <w:r>
        <w:t xml:space="preserve">Four </w:t>
      </w:r>
      <w:r w:rsidR="00F02A60">
        <w:t xml:space="preserve">key </w:t>
      </w:r>
      <w:r>
        <w:t>needs have been identified through this engagement and meeting one or more of these needs is the basic criteria for the distribution of funds from either of two new fund types. These needs are:</w:t>
      </w:r>
    </w:p>
    <w:p w14:paraId="2C1ABD4A" w14:textId="77777777" w:rsidR="000E2A0D" w:rsidRPr="00B51BC3" w:rsidRDefault="000E2A0D" w:rsidP="00B51BC3">
      <w:pPr>
        <w:pStyle w:val="Bullet1"/>
      </w:pPr>
      <w:r w:rsidRPr="00B51BC3">
        <w:t>Connecting to social networks, communities, and identities</w:t>
      </w:r>
    </w:p>
    <w:p w14:paraId="18DC7B4E" w14:textId="77777777" w:rsidR="000E2A0D" w:rsidRPr="00B51BC3" w:rsidRDefault="000E2A0D" w:rsidP="00B51BC3">
      <w:pPr>
        <w:pStyle w:val="Bullet1"/>
      </w:pPr>
      <w:r w:rsidRPr="00B51BC3">
        <w:t>Support for the whānau of a disabled person</w:t>
      </w:r>
    </w:p>
    <w:p w14:paraId="5D731462" w14:textId="77777777" w:rsidR="000E2A0D" w:rsidRPr="00B51BC3" w:rsidRDefault="000E2A0D" w:rsidP="00B51BC3">
      <w:pPr>
        <w:pStyle w:val="Bullet1"/>
      </w:pPr>
      <w:r w:rsidRPr="00B51BC3">
        <w:t>Precautions to prevent exposure to COVID-19, and</w:t>
      </w:r>
    </w:p>
    <w:p w14:paraId="22E1E485" w14:textId="77777777" w:rsidR="000E2A0D" w:rsidRDefault="000E2A0D" w:rsidP="00B51BC3">
      <w:pPr>
        <w:pStyle w:val="Bullet1"/>
      </w:pPr>
      <w:r w:rsidRPr="00B51BC3">
        <w:t>Connecting</w:t>
      </w:r>
      <w:r>
        <w:t xml:space="preserve"> with support networks.</w:t>
      </w:r>
    </w:p>
    <w:p w14:paraId="4F0891E4" w14:textId="77777777" w:rsidR="000E2A0D" w:rsidRDefault="000E2A0D" w:rsidP="000E2A0D">
      <w:pPr>
        <w:ind w:left="284"/>
      </w:pPr>
      <w:r>
        <w:t xml:space="preserve">The Fund will be split between two fund options: </w:t>
      </w:r>
    </w:p>
    <w:p w14:paraId="5EA339CA" w14:textId="5B708619" w:rsidR="000E2A0D" w:rsidRDefault="000E2A0D" w:rsidP="000E2A0D">
      <w:pPr>
        <w:pStyle w:val="Heading3-numbered"/>
      </w:pPr>
      <w:r>
        <w:t xml:space="preserve">Direct </w:t>
      </w:r>
      <w:r w:rsidRPr="000E2A0D">
        <w:t>support</w:t>
      </w:r>
      <w:r>
        <w:t xml:space="preserve"> fund (COVID-19 Wellbeing Grants)</w:t>
      </w:r>
    </w:p>
    <w:p w14:paraId="2A571FC7" w14:textId="69AB563C" w:rsidR="00F80E84" w:rsidRDefault="000E2A0D" w:rsidP="000E2A0D">
      <w:pPr>
        <w:pStyle w:val="BodyText"/>
        <w:ind w:left="284"/>
      </w:pPr>
      <w:r>
        <w:t>The direct support fund enables disabled people and whānau to access support directly from providers that have applied for and received funding.</w:t>
      </w:r>
    </w:p>
    <w:p w14:paraId="589B75C5" w14:textId="4ECEDA78" w:rsidR="000E2A0D" w:rsidRDefault="000E2A0D" w:rsidP="000E2A0D">
      <w:pPr>
        <w:ind w:left="284"/>
      </w:pPr>
      <w:r>
        <w:t xml:space="preserve">Providers can apply for up to $50,000 + 15% administration fee, with a disabled person within a whānau able to apply to a provider for assistance of up to $2,000. </w:t>
      </w:r>
    </w:p>
    <w:p w14:paraId="1499E726" w14:textId="08F9EE98" w:rsidR="00F02A60" w:rsidRPr="00955A33" w:rsidRDefault="00F02A60" w:rsidP="00F02A60">
      <w:pPr>
        <w:spacing w:before="0"/>
        <w:ind w:left="284"/>
      </w:pPr>
      <w:r w:rsidRPr="00955A33">
        <w:t>Funding is to meet the current needs of the disabled person and whānau only, not their future needs.</w:t>
      </w:r>
    </w:p>
    <w:p w14:paraId="0F91426E" w14:textId="05BF3D28" w:rsidR="00F02A60" w:rsidRPr="00955A33" w:rsidRDefault="00F02A60" w:rsidP="00F02A60">
      <w:pPr>
        <w:spacing w:before="0"/>
        <w:ind w:left="284"/>
      </w:pPr>
      <w:r w:rsidRPr="00955A33">
        <w:t>Providers of CIC funding should take all necessary steps to ensure the disabled person and whānau they are funding do not receive funding from any other CIC provider.</w:t>
      </w:r>
    </w:p>
    <w:p w14:paraId="52AE375F" w14:textId="7FD1AAA6" w:rsidR="00F02A60" w:rsidRPr="00F02A60" w:rsidRDefault="00F02A60" w:rsidP="00F02A60">
      <w:pPr>
        <w:spacing w:before="0"/>
        <w:ind w:left="284"/>
      </w:pPr>
      <w:r w:rsidRPr="00955A33">
        <w:t xml:space="preserve">Providers should also ensure funding for declared needs is not available or already being received from another funding stream. This would mean providers need to be aware of other funds available to meet needs specific to the disabled person and whānau, including food grants, hardship grants, or other MSD funding options. Check out what help’s available for disabled people on the </w:t>
      </w:r>
      <w:hyperlink r:id="rId11" w:history="1">
        <w:r w:rsidRPr="00955A33">
          <w:t>Work and Income</w:t>
        </w:r>
      </w:hyperlink>
      <w:r w:rsidRPr="00955A33">
        <w:t xml:space="preserve"> site.</w:t>
      </w:r>
      <w:r w:rsidRPr="00F02A60">
        <w:t xml:space="preserve"> </w:t>
      </w:r>
    </w:p>
    <w:p w14:paraId="5F01ED37" w14:textId="12621014" w:rsidR="000E2A0D" w:rsidRDefault="000E2A0D" w:rsidP="000E2A0D">
      <w:pPr>
        <w:pStyle w:val="Heading3-numbered"/>
      </w:pPr>
      <w:r>
        <w:t>Provider-led innovation fund (community support)</w:t>
      </w:r>
    </w:p>
    <w:p w14:paraId="67F65156" w14:textId="77777777" w:rsidR="000E2A0D" w:rsidRDefault="000E2A0D" w:rsidP="000E2A0D">
      <w:pPr>
        <w:pStyle w:val="BodyText"/>
        <w:ind w:left="284"/>
      </w:pPr>
      <w:r>
        <w:t xml:space="preserve">The provider-led innovation fund enables providers to deliver a project, product, or initiative to a target community. </w:t>
      </w:r>
    </w:p>
    <w:p w14:paraId="3239704E" w14:textId="77777777" w:rsidR="000E2A0D" w:rsidRDefault="000E2A0D" w:rsidP="000E2A0D">
      <w:pPr>
        <w:pStyle w:val="BodyText"/>
        <w:ind w:left="284"/>
      </w:pPr>
      <w:r>
        <w:t>Providers can apply for up to $50,000 based on how many disabled people and whānau the project, product, or initiative will reach. Any costs for capacity will be included in the application and funding provided.</w:t>
      </w:r>
    </w:p>
    <w:p w14:paraId="7DE6A628" w14:textId="77777777" w:rsidR="000E2A0D" w:rsidRDefault="000E2A0D" w:rsidP="000E2A0D">
      <w:pPr>
        <w:pStyle w:val="BodyText"/>
        <w:ind w:left="284"/>
      </w:pPr>
      <w:r>
        <w:t>The funds can be used for:</w:t>
      </w:r>
    </w:p>
    <w:p w14:paraId="148136B5" w14:textId="77777777" w:rsidR="000E2A0D" w:rsidRDefault="000E2A0D" w:rsidP="000E2A0D">
      <w:pPr>
        <w:pStyle w:val="ListBullet"/>
      </w:pPr>
      <w:r>
        <w:t>Previously delivered provider-led initiatives that are no longer funded</w:t>
      </w:r>
    </w:p>
    <w:p w14:paraId="3C1C8011" w14:textId="77777777" w:rsidR="000E2A0D" w:rsidRDefault="000E2A0D" w:rsidP="000E2A0D">
      <w:pPr>
        <w:pStyle w:val="ListBullet"/>
      </w:pPr>
      <w:r>
        <w:t>New and innovative provider-led initiatives</w:t>
      </w:r>
    </w:p>
    <w:p w14:paraId="743CE98C" w14:textId="77777777" w:rsidR="000E2A0D" w:rsidRDefault="000E2A0D" w:rsidP="000E2A0D">
      <w:pPr>
        <w:pStyle w:val="BodyText"/>
        <w:ind w:left="284"/>
      </w:pPr>
      <w:r w:rsidRPr="000E2A0D">
        <w:rPr>
          <w:rStyle w:val="Emphasis"/>
        </w:rPr>
        <w:t>NB:</w:t>
      </w:r>
      <w:r>
        <w:t xml:space="preserve"> The funds cannot be used for capital expenses.</w:t>
      </w:r>
    </w:p>
    <w:p w14:paraId="7E594B6E" w14:textId="77777777" w:rsidR="000E2A0D" w:rsidRDefault="000E2A0D">
      <w:pPr>
        <w:spacing w:before="0" w:after="0" w:line="240" w:lineRule="auto"/>
        <w:rPr>
          <w:rFonts w:ascii="Verdana Pro SemiBold" w:hAnsi="Verdana Pro SemiBold"/>
          <w:color w:val="000000" w:themeColor="text1"/>
          <w:sz w:val="32"/>
          <w:szCs w:val="28"/>
        </w:rPr>
      </w:pPr>
      <w:bookmarkStart w:id="0" w:name="_Hlk112339663"/>
      <w:r>
        <w:br w:type="page"/>
      </w:r>
    </w:p>
    <w:p w14:paraId="573EF1A5" w14:textId="77777777" w:rsidR="000E2A0D" w:rsidRPr="000E2A0D" w:rsidRDefault="000E2A0D" w:rsidP="000E2A0D">
      <w:pPr>
        <w:pStyle w:val="Heading2"/>
        <w:ind w:left="284"/>
      </w:pPr>
      <w:r w:rsidRPr="000E2A0D">
        <w:lastRenderedPageBreak/>
        <w:t>Application process</w:t>
      </w:r>
    </w:p>
    <w:p w14:paraId="24C928CD" w14:textId="77777777" w:rsidR="000E2A0D" w:rsidRPr="000E2A0D" w:rsidRDefault="000E2A0D" w:rsidP="000E2A0D">
      <w:pPr>
        <w:pStyle w:val="BodyText"/>
        <w:ind w:left="284"/>
      </w:pPr>
      <w:r w:rsidRPr="000E2A0D">
        <w:t xml:space="preserve">The open funding round invites applicants (providers/community groups/organisations etc) to apply to receive funding from one or </w:t>
      </w:r>
      <w:proofErr w:type="gramStart"/>
      <w:r w:rsidRPr="000E2A0D">
        <w:t>both of the funds</w:t>
      </w:r>
      <w:proofErr w:type="gramEnd"/>
      <w:r w:rsidRPr="000E2A0D">
        <w:t xml:space="preserve">. </w:t>
      </w:r>
    </w:p>
    <w:p w14:paraId="542EFC7D" w14:textId="77777777" w:rsidR="000E2A0D" w:rsidRPr="000E2A0D" w:rsidRDefault="000E2A0D" w:rsidP="000E2A0D">
      <w:pPr>
        <w:pStyle w:val="BodyText"/>
        <w:ind w:left="284"/>
      </w:pPr>
      <w:r w:rsidRPr="000E2A0D">
        <w:t xml:space="preserve">All applicants should have a New Zealand Business Number (NZBN). A NZBN can be applied for </w:t>
      </w:r>
      <w:hyperlink r:id="rId12" w:history="1">
        <w:r w:rsidRPr="000E2A0D">
          <w:rPr>
            <w:rStyle w:val="Hyperlink"/>
          </w:rPr>
          <w:t>here</w:t>
        </w:r>
      </w:hyperlink>
      <w:r w:rsidRPr="000E2A0D">
        <w:t>.</w:t>
      </w:r>
    </w:p>
    <w:p w14:paraId="29993435" w14:textId="77777777" w:rsidR="000E2A0D" w:rsidRPr="000E2A0D" w:rsidRDefault="000E2A0D" w:rsidP="000E2A0D">
      <w:pPr>
        <w:pStyle w:val="BodyText"/>
        <w:ind w:left="284"/>
        <w:rPr>
          <w:lang w:val="en-US"/>
        </w:rPr>
      </w:pPr>
      <w:r w:rsidRPr="000E2A0D">
        <w:rPr>
          <w:lang w:val="en-US"/>
        </w:rPr>
        <w:t>The maximum amount of funding a provider can apply for is $50,000 from each fund. The level of grant funding a provider applies for should be relative to the number of disabled people and whānau they expect to support.</w:t>
      </w:r>
    </w:p>
    <w:p w14:paraId="7574A533" w14:textId="77777777" w:rsidR="000E2A0D" w:rsidRPr="000E2A0D" w:rsidRDefault="000E2A0D" w:rsidP="000E2A0D">
      <w:pPr>
        <w:pStyle w:val="BodyText"/>
        <w:ind w:left="284"/>
      </w:pPr>
      <w:r w:rsidRPr="000E2A0D">
        <w:t xml:space="preserve">Applications will be assessed by an evaluation panel, with grant funding awarded up to the total amount of funding available ($5m). This is made up of $4 million (including 15% administration costs) for the direct support fund, and $1 million for the provider-led innovation fund. </w:t>
      </w:r>
    </w:p>
    <w:p w14:paraId="2CC00327" w14:textId="77777777" w:rsidR="00374151" w:rsidRDefault="000E2A0D" w:rsidP="000E2A0D">
      <w:pPr>
        <w:pStyle w:val="BodyText"/>
        <w:ind w:left="284"/>
      </w:pPr>
      <w:r w:rsidRPr="000E2A0D">
        <w:t>Applications that demonstrate a focus on supporting Māori, Pacific, ethnic and migrant communities and enable effective and equitable reach are encouraged.</w:t>
      </w:r>
    </w:p>
    <w:p w14:paraId="16F28E77" w14:textId="78CFEE4B" w:rsidR="000E2A0D" w:rsidRPr="000E2A0D" w:rsidRDefault="00374151" w:rsidP="000E2A0D">
      <w:pPr>
        <w:pStyle w:val="BodyText"/>
        <w:ind w:left="284"/>
      </w:pPr>
      <w:bookmarkStart w:id="1" w:name="_Hlk112944688"/>
      <w:r w:rsidRPr="00955A33">
        <w:rPr>
          <w:b/>
          <w:bCs/>
        </w:rPr>
        <w:t>NB:</w:t>
      </w:r>
      <w:r w:rsidRPr="00955A33">
        <w:t xml:space="preserve"> Applicants must ensure they complete all relevant sections on the application form.  Incomplete information may mean your application is not considered for funding.</w:t>
      </w:r>
    </w:p>
    <w:bookmarkStart w:id="2" w:name="_Hlk112339691"/>
    <w:bookmarkEnd w:id="0"/>
    <w:bookmarkEnd w:id="1"/>
    <w:p w14:paraId="7250254C" w14:textId="2FE00115" w:rsidR="000E2A0D" w:rsidRPr="000E2A0D" w:rsidRDefault="00955A33" w:rsidP="000E2A0D">
      <w:pPr>
        <w:pStyle w:val="BodyText"/>
        <w:ind w:left="284"/>
        <w:rPr>
          <w:rStyle w:val="Hyperlink"/>
        </w:rPr>
      </w:pPr>
      <w:r>
        <w:rPr>
          <w:rStyle w:val="Hyperlink"/>
        </w:rPr>
        <w:fldChar w:fldCharType="begin"/>
      </w:r>
      <w:r>
        <w:rPr>
          <w:rStyle w:val="Hyperlink"/>
        </w:rPr>
        <w:instrText xml:space="preserve"> HYPERLINK "https://www.msd.govt.nz/about-msd-and-our-work/covid-19/care-in-the-community-welfare-response/care-in-the-community-disability-welfare-fund.html" </w:instrText>
      </w:r>
      <w:r>
        <w:rPr>
          <w:rStyle w:val="Hyperlink"/>
        </w:rPr>
        <w:fldChar w:fldCharType="separate"/>
      </w:r>
      <w:r w:rsidR="000E2A0D" w:rsidRPr="00955A33">
        <w:rPr>
          <w:rStyle w:val="Hyperlink"/>
        </w:rPr>
        <w:t>Complete the on-line application form</w:t>
      </w:r>
      <w:r>
        <w:rPr>
          <w:rStyle w:val="Hyperlink"/>
        </w:rPr>
        <w:fldChar w:fldCharType="end"/>
      </w:r>
    </w:p>
    <w:bookmarkEnd w:id="2"/>
    <w:p w14:paraId="6D183C26" w14:textId="48CD2693" w:rsidR="000E2A0D" w:rsidRDefault="000E2A0D" w:rsidP="000E2A0D">
      <w:pPr>
        <w:pStyle w:val="Heading2"/>
        <w:ind w:left="284"/>
      </w:pPr>
      <w:r w:rsidRPr="000E2A0D">
        <w:t>Key dates</w:t>
      </w:r>
    </w:p>
    <w:tbl>
      <w:tblPr>
        <w:tblW w:w="9782" w:type="dxa"/>
        <w:tblBorders>
          <w:bottom w:val="single" w:sz="4" w:space="0" w:color="FFCC04"/>
          <w:insideH w:val="single" w:sz="4" w:space="0" w:color="FFCC04"/>
        </w:tblBorders>
        <w:shd w:val="clear" w:color="auto" w:fill="FFFFFF" w:themeFill="background1"/>
        <w:tblLook w:val="04A0" w:firstRow="1" w:lastRow="0" w:firstColumn="1" w:lastColumn="0" w:noHBand="0" w:noVBand="1"/>
      </w:tblPr>
      <w:tblGrid>
        <w:gridCol w:w="6663"/>
        <w:gridCol w:w="3119"/>
      </w:tblGrid>
      <w:tr w:rsidR="000E2A0D" w:rsidRPr="000E2A0D" w14:paraId="5E196F07" w14:textId="77777777" w:rsidTr="000E2A0D">
        <w:tc>
          <w:tcPr>
            <w:tcW w:w="6663" w:type="dxa"/>
            <w:tcBorders>
              <w:top w:val="nil"/>
              <w:bottom w:val="single" w:sz="18" w:space="0" w:color="FFCC04"/>
            </w:tcBorders>
            <w:shd w:val="clear" w:color="auto" w:fill="FFFFFF" w:themeFill="background1"/>
          </w:tcPr>
          <w:p w14:paraId="6C80BBBE" w14:textId="77777777" w:rsidR="000E2A0D" w:rsidRPr="000E2A0D" w:rsidRDefault="000E2A0D" w:rsidP="000E2A0D">
            <w:pPr>
              <w:ind w:left="284"/>
              <w:rPr>
                <w:rStyle w:val="Emphasis"/>
              </w:rPr>
            </w:pPr>
            <w:r w:rsidRPr="000E2A0D">
              <w:rPr>
                <w:rStyle w:val="Emphasis"/>
              </w:rPr>
              <w:t>Description</w:t>
            </w:r>
          </w:p>
        </w:tc>
        <w:tc>
          <w:tcPr>
            <w:tcW w:w="3119" w:type="dxa"/>
            <w:tcBorders>
              <w:top w:val="nil"/>
              <w:bottom w:val="single" w:sz="18" w:space="0" w:color="FFCC04"/>
            </w:tcBorders>
            <w:shd w:val="clear" w:color="auto" w:fill="FFFFFF" w:themeFill="background1"/>
          </w:tcPr>
          <w:p w14:paraId="21AF533F" w14:textId="77777777" w:rsidR="000E2A0D" w:rsidRPr="000E2A0D" w:rsidRDefault="000E2A0D" w:rsidP="000E2A0D">
            <w:pPr>
              <w:ind w:left="284"/>
              <w:rPr>
                <w:rStyle w:val="Emphasis"/>
              </w:rPr>
            </w:pPr>
            <w:r w:rsidRPr="000E2A0D">
              <w:rPr>
                <w:rStyle w:val="Emphasis"/>
              </w:rPr>
              <w:t>Date (2022)</w:t>
            </w:r>
          </w:p>
        </w:tc>
      </w:tr>
      <w:tr w:rsidR="000E2A0D" w:rsidRPr="000E2A0D" w14:paraId="0B187CF0" w14:textId="77777777" w:rsidTr="000E2A0D">
        <w:tc>
          <w:tcPr>
            <w:tcW w:w="6663" w:type="dxa"/>
            <w:tcBorders>
              <w:top w:val="single" w:sz="18" w:space="0" w:color="FFCC04"/>
            </w:tcBorders>
            <w:shd w:val="clear" w:color="auto" w:fill="FFFFFF" w:themeFill="background1"/>
          </w:tcPr>
          <w:p w14:paraId="10C542E7" w14:textId="77777777" w:rsidR="000E2A0D" w:rsidRPr="000E2A0D" w:rsidRDefault="000E2A0D" w:rsidP="000E2A0D">
            <w:pPr>
              <w:ind w:left="284"/>
            </w:pPr>
            <w:r w:rsidRPr="000E2A0D">
              <w:rPr>
                <w:lang w:val="en-US"/>
              </w:rPr>
              <w:t>Fund promotion and application process open</w:t>
            </w:r>
          </w:p>
        </w:tc>
        <w:tc>
          <w:tcPr>
            <w:tcW w:w="3119" w:type="dxa"/>
            <w:tcBorders>
              <w:top w:val="single" w:sz="18" w:space="0" w:color="FFCC04"/>
            </w:tcBorders>
            <w:shd w:val="clear" w:color="auto" w:fill="FFFFFF" w:themeFill="background1"/>
          </w:tcPr>
          <w:p w14:paraId="7AA445D9" w14:textId="77777777" w:rsidR="000E2A0D" w:rsidRPr="000E2A0D" w:rsidRDefault="000E2A0D" w:rsidP="000E2A0D">
            <w:pPr>
              <w:ind w:left="284"/>
            </w:pPr>
            <w:r w:rsidRPr="000E2A0D">
              <w:rPr>
                <w:lang w:val="en-US"/>
              </w:rPr>
              <w:t>29 August 2022</w:t>
            </w:r>
          </w:p>
        </w:tc>
      </w:tr>
      <w:tr w:rsidR="000E2A0D" w:rsidRPr="000E2A0D" w14:paraId="076D3DDA" w14:textId="77777777" w:rsidTr="000E2A0D">
        <w:tc>
          <w:tcPr>
            <w:tcW w:w="6663" w:type="dxa"/>
            <w:shd w:val="clear" w:color="auto" w:fill="FFFFFF" w:themeFill="background1"/>
          </w:tcPr>
          <w:p w14:paraId="457DB444" w14:textId="77777777" w:rsidR="000E2A0D" w:rsidRPr="000E2A0D" w:rsidRDefault="000E2A0D" w:rsidP="000E2A0D">
            <w:pPr>
              <w:ind w:left="284"/>
            </w:pPr>
            <w:r w:rsidRPr="000E2A0D">
              <w:rPr>
                <w:lang w:val="en-US"/>
              </w:rPr>
              <w:t>Applications close</w:t>
            </w:r>
          </w:p>
        </w:tc>
        <w:tc>
          <w:tcPr>
            <w:tcW w:w="3119" w:type="dxa"/>
            <w:shd w:val="clear" w:color="auto" w:fill="FFFFFF" w:themeFill="background1"/>
          </w:tcPr>
          <w:p w14:paraId="02796D92" w14:textId="6BF790F2" w:rsidR="000E2A0D" w:rsidRPr="00823E81" w:rsidRDefault="00955A33" w:rsidP="000E2A0D">
            <w:pPr>
              <w:ind w:left="284"/>
            </w:pPr>
            <w:r w:rsidRPr="00823E81">
              <w:rPr>
                <w:lang w:val="en-US"/>
              </w:rPr>
              <w:t>29</w:t>
            </w:r>
            <w:r w:rsidR="000E2A0D" w:rsidRPr="00823E81">
              <w:rPr>
                <w:lang w:val="en-US"/>
              </w:rPr>
              <w:t xml:space="preserve"> September 2022</w:t>
            </w:r>
          </w:p>
        </w:tc>
      </w:tr>
      <w:tr w:rsidR="000E2A0D" w:rsidRPr="000E2A0D" w14:paraId="4D18A7B2" w14:textId="77777777" w:rsidTr="000E2A0D">
        <w:tc>
          <w:tcPr>
            <w:tcW w:w="6663" w:type="dxa"/>
            <w:shd w:val="clear" w:color="auto" w:fill="FFFFFF" w:themeFill="background1"/>
          </w:tcPr>
          <w:p w14:paraId="04EA9670" w14:textId="77777777" w:rsidR="000E2A0D" w:rsidRPr="000E2A0D" w:rsidRDefault="000E2A0D" w:rsidP="000E2A0D">
            <w:pPr>
              <w:ind w:left="284"/>
              <w:rPr>
                <w:lang w:val="en-US"/>
              </w:rPr>
            </w:pPr>
            <w:r w:rsidRPr="000E2A0D">
              <w:rPr>
                <w:lang w:val="en-US"/>
              </w:rPr>
              <w:t>Outcomes communicated</w:t>
            </w:r>
          </w:p>
        </w:tc>
        <w:tc>
          <w:tcPr>
            <w:tcW w:w="3119" w:type="dxa"/>
            <w:shd w:val="clear" w:color="auto" w:fill="FFFFFF" w:themeFill="background1"/>
          </w:tcPr>
          <w:p w14:paraId="369A00AC" w14:textId="2C5559DD" w:rsidR="000E2A0D" w:rsidRPr="00823E81" w:rsidRDefault="006555FC" w:rsidP="000E2A0D">
            <w:pPr>
              <w:ind w:left="284"/>
              <w:rPr>
                <w:lang w:val="en-US"/>
              </w:rPr>
            </w:pPr>
            <w:r w:rsidRPr="00823E81">
              <w:rPr>
                <w:lang w:val="en-US"/>
              </w:rPr>
              <w:t>17</w:t>
            </w:r>
            <w:r w:rsidR="000E2A0D" w:rsidRPr="00823E81">
              <w:rPr>
                <w:lang w:val="en-US"/>
              </w:rPr>
              <w:t xml:space="preserve"> October 2022</w:t>
            </w:r>
          </w:p>
        </w:tc>
      </w:tr>
      <w:tr w:rsidR="000E2A0D" w:rsidRPr="000E2A0D" w14:paraId="7248E468" w14:textId="77777777" w:rsidTr="000E2A0D">
        <w:tc>
          <w:tcPr>
            <w:tcW w:w="6663" w:type="dxa"/>
            <w:shd w:val="clear" w:color="auto" w:fill="FFFFFF" w:themeFill="background1"/>
          </w:tcPr>
          <w:p w14:paraId="45E6291C" w14:textId="77777777" w:rsidR="000E2A0D" w:rsidRPr="000E2A0D" w:rsidRDefault="000E2A0D" w:rsidP="000E2A0D">
            <w:pPr>
              <w:ind w:left="284"/>
              <w:rPr>
                <w:lang w:val="en-US"/>
              </w:rPr>
            </w:pPr>
            <w:r w:rsidRPr="000E2A0D">
              <w:rPr>
                <w:lang w:val="en-US"/>
              </w:rPr>
              <w:t>Delivery of funds begins</w:t>
            </w:r>
          </w:p>
          <w:p w14:paraId="29C40205" w14:textId="77777777" w:rsidR="000E2A0D" w:rsidRPr="000E2A0D" w:rsidRDefault="000E2A0D" w:rsidP="000E2A0D">
            <w:pPr>
              <w:ind w:left="284"/>
              <w:rPr>
                <w:lang w:val="en-US"/>
              </w:rPr>
            </w:pPr>
            <w:r w:rsidRPr="000E2A0D">
              <w:rPr>
                <w:lang w:val="en-US"/>
              </w:rPr>
              <w:t xml:space="preserve">Promotion to </w:t>
            </w:r>
            <w:proofErr w:type="gramStart"/>
            <w:r w:rsidRPr="000E2A0D">
              <w:rPr>
                <w:lang w:val="en-US"/>
              </w:rPr>
              <w:t>general public</w:t>
            </w:r>
            <w:proofErr w:type="gramEnd"/>
          </w:p>
        </w:tc>
        <w:tc>
          <w:tcPr>
            <w:tcW w:w="3119" w:type="dxa"/>
            <w:shd w:val="clear" w:color="auto" w:fill="FFFFFF" w:themeFill="background1"/>
          </w:tcPr>
          <w:p w14:paraId="5F8E5467" w14:textId="1C081081" w:rsidR="000E2A0D" w:rsidRPr="00823E81" w:rsidRDefault="006555FC" w:rsidP="000E2A0D">
            <w:pPr>
              <w:ind w:left="284"/>
              <w:rPr>
                <w:lang w:val="en-US"/>
              </w:rPr>
            </w:pPr>
            <w:r w:rsidRPr="00823E81">
              <w:rPr>
                <w:lang w:val="en-US"/>
              </w:rPr>
              <w:t>9 November</w:t>
            </w:r>
            <w:r w:rsidR="000E2A0D" w:rsidRPr="00823E81">
              <w:rPr>
                <w:lang w:val="en-US"/>
              </w:rPr>
              <w:t xml:space="preserve"> 2022</w:t>
            </w:r>
          </w:p>
        </w:tc>
      </w:tr>
    </w:tbl>
    <w:p w14:paraId="014DBF6E" w14:textId="7C6DE23A" w:rsidR="000E2A0D" w:rsidRPr="000E2A0D" w:rsidRDefault="000E2A0D" w:rsidP="006555FC">
      <w:pPr>
        <w:ind w:left="284"/>
      </w:pPr>
    </w:p>
    <w:sectPr w:rsidR="000E2A0D" w:rsidRPr="000E2A0D" w:rsidSect="000E2A0D">
      <w:footerReference w:type="even" r:id="rId13"/>
      <w:footerReference w:type="default" r:id="rId14"/>
      <w:footerReference w:type="first" r:id="rId15"/>
      <w:pgSz w:w="11906" w:h="16838"/>
      <w:pgMar w:top="709" w:right="1080" w:bottom="1440" w:left="108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D6A9" w14:textId="77777777" w:rsidR="00937E3E" w:rsidRDefault="00937E3E" w:rsidP="00597756">
      <w:pPr>
        <w:spacing w:after="0" w:line="240" w:lineRule="auto"/>
      </w:pPr>
      <w:r>
        <w:separator/>
      </w:r>
    </w:p>
  </w:endnote>
  <w:endnote w:type="continuationSeparator" w:id="0">
    <w:p w14:paraId="215B71B8" w14:textId="77777777" w:rsidR="00937E3E" w:rsidRDefault="00937E3E" w:rsidP="0059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Verdana Pro Light">
    <w:altName w:val="Verdana Pro Light"/>
    <w:charset w:val="00"/>
    <w:family w:val="swiss"/>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Pro Regular">
    <w:altName w:val="Verdana Pro"/>
    <w:charset w:val="00"/>
    <w:family w:val="swiss"/>
    <w:pitch w:val="variable"/>
    <w:sig w:usb0="A00002EF" w:usb1="400068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2314887"/>
      <w:docPartObj>
        <w:docPartGallery w:val="Page Numbers (Bottom of Page)"/>
        <w:docPartUnique/>
      </w:docPartObj>
    </w:sdtPr>
    <w:sdtEndPr>
      <w:rPr>
        <w:rStyle w:val="PageNumber"/>
      </w:rPr>
    </w:sdtEndPr>
    <w:sdtContent>
      <w:p w14:paraId="01B275F0" w14:textId="17F04F05" w:rsidR="008D0841" w:rsidRDefault="008D0841" w:rsidP="0069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2C44" w14:textId="77777777" w:rsidR="008D0841" w:rsidRDefault="008D0841" w:rsidP="008D0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A1D2" w14:textId="164030C3" w:rsidR="008D0841" w:rsidRDefault="00E3562E" w:rsidP="009222D1">
    <w:pPr>
      <w:pStyle w:val="Footertext"/>
      <w:tabs>
        <w:tab w:val="clear" w:pos="8789"/>
        <w:tab w:val="left" w:pos="9498"/>
      </w:tabs>
      <w:ind w:right="0"/>
    </w:pPr>
    <w:r w:rsidRPr="00F80E84">
      <w:rPr>
        <w:noProof/>
      </w:rPr>
      <mc:AlternateContent>
        <mc:Choice Requires="wps">
          <w:drawing>
            <wp:anchor distT="0" distB="0" distL="114300" distR="114300" simplePos="0" relativeHeight="251659264" behindDoc="0" locked="0" layoutInCell="1" allowOverlap="1" wp14:anchorId="41CA8401" wp14:editId="5EDB473A">
              <wp:simplePos x="0" y="0"/>
              <wp:positionH relativeFrom="margin">
                <wp:align>right</wp:align>
              </wp:positionH>
              <wp:positionV relativeFrom="paragraph">
                <wp:posOffset>28485</wp:posOffset>
              </wp:positionV>
              <wp:extent cx="6153150" cy="0"/>
              <wp:effectExtent l="0" t="38100" r="38100" b="381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3150" cy="0"/>
                      </a:xfrm>
                      <a:prstGeom prst="line">
                        <a:avLst/>
                      </a:prstGeom>
                      <a:ln w="76200">
                        <a:solidFill>
                          <a:srgbClr val="FF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BF637" id="Straight Connector 4"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2.25pt" to="91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" strokecolor="#ffcc04" strokeweight="6pt">
              <w10:wrap anchorx="margin"/>
            </v:line>
          </w:pict>
        </mc:Fallback>
      </mc:AlternateContent>
    </w:r>
    <w:proofErr w:type="gramStart"/>
    <w:r w:rsidR="00F80E84" w:rsidRPr="00F80E84">
      <w:rPr>
        <w:rStyle w:val="Emphasis"/>
        <w:rFonts w:ascii="Verdana" w:hAnsi="Verdana"/>
      </w:rPr>
      <w:t>Factsheet</w:t>
    </w:r>
    <w:r w:rsidR="00F80E84">
      <w:rPr>
        <w:rStyle w:val="Emphasis"/>
        <w:rFonts w:ascii="Verdana" w:hAnsi="Verdana"/>
      </w:rPr>
      <w:t xml:space="preserve">  |</w:t>
    </w:r>
    <w:proofErr w:type="gramEnd"/>
    <w:r w:rsidR="00F80E84">
      <w:rPr>
        <w:rStyle w:val="Emphasis"/>
        <w:rFonts w:ascii="Verdana" w:hAnsi="Verdana"/>
      </w:rPr>
      <w:t xml:space="preserve">  </w:t>
    </w:r>
    <w:r w:rsidR="00F80E84" w:rsidRPr="00F80E84">
      <w:rPr>
        <w:rFonts w:ascii="Verdana Pro SemiBold" w:hAnsi="Verdana Pro SemiBold"/>
      </w:rPr>
      <w:t>Care in the Community Disability Welfare Fund</w:t>
    </w:r>
    <w:r w:rsidR="008D0841">
      <w:br/>
    </w:r>
    <w:r w:rsidR="00537A23" w:rsidRPr="00823E81">
      <w:t>September</w:t>
    </w:r>
    <w:r w:rsidR="008D0841">
      <w:t xml:space="preserve"> 2022</w:t>
    </w:r>
    <w:r w:rsidR="008D0841">
      <w:tab/>
    </w:r>
    <w:sdt>
      <w:sdtPr>
        <w:rPr>
          <w:rStyle w:val="PageNumber"/>
        </w:rPr>
        <w:id w:val="-252984937"/>
        <w:docPartObj>
          <w:docPartGallery w:val="Page Numbers (Bottom of Page)"/>
          <w:docPartUnique/>
        </w:docPartObj>
      </w:sdtPr>
      <w:sdtEndPr>
        <w:rPr>
          <w:rStyle w:val="PageNumber"/>
        </w:rPr>
      </w:sdtEndPr>
      <w:sdtContent>
        <w:r w:rsidR="008D0841">
          <w:rPr>
            <w:rStyle w:val="PageNumber"/>
          </w:rPr>
          <w:fldChar w:fldCharType="begin"/>
        </w:r>
        <w:r w:rsidR="008D0841">
          <w:rPr>
            <w:rStyle w:val="PageNumber"/>
          </w:rPr>
          <w:instrText xml:space="preserve"> PAGE </w:instrText>
        </w:r>
        <w:r w:rsidR="008D0841">
          <w:rPr>
            <w:rStyle w:val="PageNumber"/>
          </w:rPr>
          <w:fldChar w:fldCharType="separate"/>
        </w:r>
        <w:r w:rsidR="008D0841">
          <w:rPr>
            <w:rStyle w:val="PageNumber"/>
          </w:rPr>
          <w:t>2</w:t>
        </w:r>
        <w:r w:rsidR="008D084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D6D5" w14:textId="7804325E" w:rsidR="008D0841" w:rsidRDefault="008D0841" w:rsidP="008D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EAEBF" w14:textId="77777777" w:rsidR="00937E3E" w:rsidRDefault="00937E3E" w:rsidP="00597756">
      <w:pPr>
        <w:spacing w:after="0" w:line="240" w:lineRule="auto"/>
      </w:pPr>
      <w:r>
        <w:separator/>
      </w:r>
    </w:p>
  </w:footnote>
  <w:footnote w:type="continuationSeparator" w:id="0">
    <w:p w14:paraId="0B705F81" w14:textId="77777777" w:rsidR="00937E3E" w:rsidRDefault="00937E3E" w:rsidP="0059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802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4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8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67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49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CF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63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067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2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D541B1"/>
    <w:multiLevelType w:val="hybridMultilevel"/>
    <w:tmpl w:val="EA1CC0E4"/>
    <w:lvl w:ilvl="0" w:tplc="999EDB50">
      <w:start w:val="1"/>
      <w:numFmt w:val="decimal"/>
      <w:pStyle w:val="Heading3-numbere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5F7B83"/>
    <w:multiLevelType w:val="hybridMultilevel"/>
    <w:tmpl w:val="604CAD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C90BFE6"/>
    <w:lvl w:ilvl="0" w:tplc="8D988DF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3267A02"/>
    <w:multiLevelType w:val="hybridMultilevel"/>
    <w:tmpl w:val="C8C6C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6832FF"/>
    <w:multiLevelType w:val="hybridMultilevel"/>
    <w:tmpl w:val="732CC342"/>
    <w:lvl w:ilvl="0" w:tplc="51906260">
      <w:start w:val="1"/>
      <w:numFmt w:val="bullet"/>
      <w:pStyle w:val="Link"/>
      <w:lvlText w:val="è"/>
      <w:lvlJc w:val="left"/>
      <w:pPr>
        <w:ind w:left="284" w:hanging="284"/>
      </w:pPr>
      <w:rPr>
        <w:rFonts w:ascii="Wingdings" w:hAnsi="Wingdings" w:hint="default"/>
        <w:color w:val="FFCC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71558"/>
    <w:multiLevelType w:val="hybridMultilevel"/>
    <w:tmpl w:val="F38AA0B2"/>
    <w:lvl w:ilvl="0" w:tplc="A19C4950">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4D71E3D"/>
    <w:multiLevelType w:val="hybridMultilevel"/>
    <w:tmpl w:val="A8F67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7"/>
  </w:num>
  <w:num w:numId="26">
    <w:abstractNumId w:val="30"/>
  </w:num>
  <w:num w:numId="27">
    <w:abstractNumId w:val="25"/>
  </w:num>
  <w:num w:numId="28">
    <w:abstractNumId w:val="18"/>
  </w:num>
  <w:num w:numId="29">
    <w:abstractNumId w:val="12"/>
  </w:num>
  <w:num w:numId="30">
    <w:abstractNumId w:val="20"/>
  </w:num>
  <w:num w:numId="31">
    <w:abstractNumId w:val="32"/>
  </w:num>
  <w:num w:numId="32">
    <w:abstractNumId w:val="22"/>
  </w:num>
  <w:num w:numId="33">
    <w:abstractNumId w:val="19"/>
  </w:num>
  <w:num w:numId="34">
    <w:abstractNumId w:val="31"/>
  </w:num>
  <w:num w:numId="35">
    <w:abstractNumId w:val="26"/>
  </w:num>
  <w:num w:numId="36">
    <w:abstractNumId w:val="29"/>
  </w:num>
  <w:num w:numId="37">
    <w:abstractNumId w:val="28"/>
  </w:num>
  <w:num w:numId="38">
    <w:abstractNumId w:val="28"/>
    <w:lvlOverride w:ilvl="0">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8"/>
    <w:rsid w:val="00000B4C"/>
    <w:rsid w:val="00005BBE"/>
    <w:rsid w:val="000106D0"/>
    <w:rsid w:val="00034336"/>
    <w:rsid w:val="00037CB0"/>
    <w:rsid w:val="000732C0"/>
    <w:rsid w:val="000A576B"/>
    <w:rsid w:val="000E2A0D"/>
    <w:rsid w:val="000E3BB9"/>
    <w:rsid w:val="00106AED"/>
    <w:rsid w:val="001836E5"/>
    <w:rsid w:val="001D3744"/>
    <w:rsid w:val="00213DA6"/>
    <w:rsid w:val="00216302"/>
    <w:rsid w:val="00236D2D"/>
    <w:rsid w:val="00244B88"/>
    <w:rsid w:val="00245A2B"/>
    <w:rsid w:val="002703E1"/>
    <w:rsid w:val="002B27CD"/>
    <w:rsid w:val="002D1C62"/>
    <w:rsid w:val="002D367B"/>
    <w:rsid w:val="003225FF"/>
    <w:rsid w:val="00354EC2"/>
    <w:rsid w:val="00364C85"/>
    <w:rsid w:val="00374151"/>
    <w:rsid w:val="00375338"/>
    <w:rsid w:val="00385D09"/>
    <w:rsid w:val="00397220"/>
    <w:rsid w:val="003B0A38"/>
    <w:rsid w:val="003E2869"/>
    <w:rsid w:val="003E3722"/>
    <w:rsid w:val="003F2CF7"/>
    <w:rsid w:val="004227ED"/>
    <w:rsid w:val="00445BCE"/>
    <w:rsid w:val="00454F25"/>
    <w:rsid w:val="004710B8"/>
    <w:rsid w:val="004A3F42"/>
    <w:rsid w:val="0050631D"/>
    <w:rsid w:val="00511078"/>
    <w:rsid w:val="00533E65"/>
    <w:rsid w:val="00537A23"/>
    <w:rsid w:val="00562591"/>
    <w:rsid w:val="0056681E"/>
    <w:rsid w:val="00570DD6"/>
    <w:rsid w:val="00572AA9"/>
    <w:rsid w:val="0059221C"/>
    <w:rsid w:val="00595906"/>
    <w:rsid w:val="00597756"/>
    <w:rsid w:val="005B11F9"/>
    <w:rsid w:val="005D1327"/>
    <w:rsid w:val="005D710C"/>
    <w:rsid w:val="0060042A"/>
    <w:rsid w:val="00631D73"/>
    <w:rsid w:val="006462B5"/>
    <w:rsid w:val="006555FC"/>
    <w:rsid w:val="006825F6"/>
    <w:rsid w:val="00682E50"/>
    <w:rsid w:val="006B19BD"/>
    <w:rsid w:val="00711F41"/>
    <w:rsid w:val="00743B9F"/>
    <w:rsid w:val="00784A13"/>
    <w:rsid w:val="00793449"/>
    <w:rsid w:val="007B201A"/>
    <w:rsid w:val="007C2143"/>
    <w:rsid w:val="007E3771"/>
    <w:rsid w:val="007F3ACD"/>
    <w:rsid w:val="007F67BD"/>
    <w:rsid w:val="0080133F"/>
    <w:rsid w:val="0080498F"/>
    <w:rsid w:val="00806D03"/>
    <w:rsid w:val="00823E81"/>
    <w:rsid w:val="00860654"/>
    <w:rsid w:val="008655BD"/>
    <w:rsid w:val="008900BA"/>
    <w:rsid w:val="008D0841"/>
    <w:rsid w:val="008D3614"/>
    <w:rsid w:val="00903467"/>
    <w:rsid w:val="00906EAA"/>
    <w:rsid w:val="009143ED"/>
    <w:rsid w:val="00921A1E"/>
    <w:rsid w:val="009222D1"/>
    <w:rsid w:val="009371D3"/>
    <w:rsid w:val="00937E3E"/>
    <w:rsid w:val="00955A33"/>
    <w:rsid w:val="00970DD2"/>
    <w:rsid w:val="009A6631"/>
    <w:rsid w:val="009B0508"/>
    <w:rsid w:val="009D15F1"/>
    <w:rsid w:val="009D2B10"/>
    <w:rsid w:val="009F2D91"/>
    <w:rsid w:val="00A2199C"/>
    <w:rsid w:val="00A43896"/>
    <w:rsid w:val="00A6244E"/>
    <w:rsid w:val="00A63EB5"/>
    <w:rsid w:val="00AB610E"/>
    <w:rsid w:val="00AD4A7A"/>
    <w:rsid w:val="00AE0FC0"/>
    <w:rsid w:val="00AE28E2"/>
    <w:rsid w:val="00B23C7A"/>
    <w:rsid w:val="00B41635"/>
    <w:rsid w:val="00B462DE"/>
    <w:rsid w:val="00B51BC3"/>
    <w:rsid w:val="00B5357A"/>
    <w:rsid w:val="00B81A25"/>
    <w:rsid w:val="00BC22D7"/>
    <w:rsid w:val="00BD28B3"/>
    <w:rsid w:val="00C16ADB"/>
    <w:rsid w:val="00C25712"/>
    <w:rsid w:val="00C3331E"/>
    <w:rsid w:val="00C503A7"/>
    <w:rsid w:val="00C51A0B"/>
    <w:rsid w:val="00C5215F"/>
    <w:rsid w:val="00C752A7"/>
    <w:rsid w:val="00CB4A28"/>
    <w:rsid w:val="00D04BA0"/>
    <w:rsid w:val="00D34E38"/>
    <w:rsid w:val="00D34EA0"/>
    <w:rsid w:val="00D40E6B"/>
    <w:rsid w:val="00D462D6"/>
    <w:rsid w:val="00DA4851"/>
    <w:rsid w:val="00DD6907"/>
    <w:rsid w:val="00DD7526"/>
    <w:rsid w:val="00E07D73"/>
    <w:rsid w:val="00E25768"/>
    <w:rsid w:val="00E3562E"/>
    <w:rsid w:val="00E468A0"/>
    <w:rsid w:val="00E671C3"/>
    <w:rsid w:val="00E90142"/>
    <w:rsid w:val="00E9269E"/>
    <w:rsid w:val="00EA4B2A"/>
    <w:rsid w:val="00F02A60"/>
    <w:rsid w:val="00F06EE8"/>
    <w:rsid w:val="00F07349"/>
    <w:rsid w:val="00F113EF"/>
    <w:rsid w:val="00F126F3"/>
    <w:rsid w:val="00F22AE5"/>
    <w:rsid w:val="00F4745C"/>
    <w:rsid w:val="00F502CE"/>
    <w:rsid w:val="00F547D4"/>
    <w:rsid w:val="00F80E84"/>
    <w:rsid w:val="00F829C0"/>
    <w:rsid w:val="00F829F6"/>
    <w:rsid w:val="00FC77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C33B5"/>
  <w15:chartTrackingRefBased/>
  <w15:docId w15:val="{84180E0D-295F-4EC6-95E6-B30E15B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51"/>
    <w:pPr>
      <w:spacing w:before="60" w:after="120" w:line="288" w:lineRule="auto"/>
    </w:pPr>
    <w:rPr>
      <w:rFonts w:ascii="Verdana" w:hAnsi="Verdana" w:cs="Arial"/>
      <w:sz w:val="22"/>
      <w:szCs w:val="22"/>
    </w:rPr>
  </w:style>
  <w:style w:type="paragraph" w:styleId="Heading1">
    <w:name w:val="heading 1"/>
    <w:basedOn w:val="Normal"/>
    <w:next w:val="Normal"/>
    <w:link w:val="Heading1Char"/>
    <w:uiPriority w:val="99"/>
    <w:qFormat/>
    <w:rsid w:val="009F2D91"/>
    <w:pPr>
      <w:keepNext/>
      <w:keepLines/>
      <w:spacing w:before="360" w:after="240"/>
      <w:outlineLvl w:val="0"/>
    </w:pPr>
    <w:rPr>
      <w:rFonts w:ascii="Verdana Pro SemiBold" w:eastAsiaTheme="majorEastAsia" w:hAnsi="Verdana Pro SemiBold"/>
      <w:b/>
      <w:bCs/>
      <w:color w:val="000000" w:themeColor="text1"/>
      <w:sz w:val="44"/>
      <w:szCs w:val="28"/>
    </w:rPr>
  </w:style>
  <w:style w:type="paragraph" w:styleId="Heading2">
    <w:name w:val="heading 2"/>
    <w:basedOn w:val="Normal"/>
    <w:next w:val="Normal"/>
    <w:link w:val="Heading2Char"/>
    <w:uiPriority w:val="99"/>
    <w:qFormat/>
    <w:rsid w:val="00EA4B2A"/>
    <w:pPr>
      <w:spacing w:before="240"/>
      <w:outlineLvl w:val="1"/>
    </w:pPr>
    <w:rPr>
      <w:rFonts w:ascii="Verdana Pro SemiBold" w:hAnsi="Verdana Pro SemiBold"/>
      <w:color w:val="000000" w:themeColor="text1"/>
      <w:sz w:val="32"/>
      <w:szCs w:val="28"/>
    </w:rPr>
  </w:style>
  <w:style w:type="paragraph" w:styleId="Heading3">
    <w:name w:val="heading 3"/>
    <w:basedOn w:val="Heading2"/>
    <w:next w:val="Normal"/>
    <w:link w:val="Heading3Char"/>
    <w:uiPriority w:val="99"/>
    <w:qFormat/>
    <w:rsid w:val="00EA4B2A"/>
    <w:pPr>
      <w:outlineLvl w:val="2"/>
    </w:pPr>
    <w:rPr>
      <w:b/>
      <w:sz w:val="28"/>
      <w:szCs w:val="24"/>
    </w:rPr>
  </w:style>
  <w:style w:type="paragraph" w:styleId="Heading4">
    <w:name w:val="heading 4"/>
    <w:basedOn w:val="Heading3"/>
    <w:next w:val="Normal"/>
    <w:link w:val="Heading4Char"/>
    <w:uiPriority w:val="99"/>
    <w:qFormat/>
    <w:rsid w:val="00DA4851"/>
    <w:pPr>
      <w:outlineLvl w:val="3"/>
    </w:pPr>
    <w:rPr>
      <w:b w:val="0"/>
      <w:sz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D91"/>
    <w:rPr>
      <w:rFonts w:ascii="Verdana Pro SemiBold" w:eastAsiaTheme="majorEastAsia" w:hAnsi="Verdana Pro SemiBold" w:cs="Arial"/>
      <w:b/>
      <w:bCs/>
      <w:color w:val="000000" w:themeColor="text1"/>
      <w:sz w:val="44"/>
      <w:szCs w:val="28"/>
    </w:rPr>
  </w:style>
  <w:style w:type="character" w:customStyle="1" w:styleId="Heading2Char">
    <w:name w:val="Heading 2 Char"/>
    <w:basedOn w:val="DefaultParagraphFont"/>
    <w:link w:val="Heading2"/>
    <w:uiPriority w:val="99"/>
    <w:rsid w:val="00EA4B2A"/>
    <w:rPr>
      <w:rFonts w:ascii="Verdana Pro SemiBold" w:hAnsi="Verdana Pro SemiBold" w:cs="Arial"/>
      <w:color w:val="000000" w:themeColor="text1"/>
      <w:sz w:val="32"/>
      <w:szCs w:val="28"/>
    </w:rPr>
  </w:style>
  <w:style w:type="character" w:customStyle="1" w:styleId="Heading3Char">
    <w:name w:val="Heading 3 Char"/>
    <w:basedOn w:val="DefaultParagraphFont"/>
    <w:link w:val="Heading3"/>
    <w:uiPriority w:val="99"/>
    <w:rsid w:val="00EA4B2A"/>
    <w:rPr>
      <w:rFonts w:ascii="Verdana Pro SemiBold" w:hAnsi="Verdana Pro SemiBold" w:cs="Arial"/>
      <w:b/>
      <w:color w:val="000000" w:themeColor="text1"/>
      <w:sz w:val="28"/>
      <w:szCs w:val="24"/>
    </w:rPr>
  </w:style>
  <w:style w:type="character" w:customStyle="1" w:styleId="Heading4Char">
    <w:name w:val="Heading 4 Char"/>
    <w:basedOn w:val="DefaultParagraphFont"/>
    <w:link w:val="Heading4"/>
    <w:uiPriority w:val="99"/>
    <w:rsid w:val="00DA4851"/>
    <w:rPr>
      <w:rFonts w:ascii="Verdana Pro SemiBold" w:hAnsi="Verdana Pro SemiBold" w:cs="Arial"/>
      <w:color w:val="000000" w:themeColor="text1"/>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0E2A0D"/>
    <w:pPr>
      <w:spacing w:before="120" w:after="480" w:line="240" w:lineRule="auto"/>
      <w:ind w:left="993"/>
      <w:contextualSpacing/>
    </w:pPr>
    <w:rPr>
      <w:rFonts w:ascii="Verdana Pro SemiBold" w:eastAsiaTheme="majorEastAsia" w:hAnsi="Verdana Pro SemiBold" w:cs="Times New Roman"/>
      <w:spacing w:val="5"/>
      <w:kern w:val="28"/>
      <w:sz w:val="64"/>
      <w:szCs w:val="72"/>
    </w:rPr>
  </w:style>
  <w:style w:type="character" w:customStyle="1" w:styleId="TitleChar">
    <w:name w:val="Title Char"/>
    <w:basedOn w:val="DefaultParagraphFont"/>
    <w:link w:val="Title"/>
    <w:uiPriority w:val="99"/>
    <w:rsid w:val="000E2A0D"/>
    <w:rPr>
      <w:rFonts w:ascii="Verdana Pro SemiBold" w:eastAsiaTheme="majorEastAsia" w:hAnsi="Verdana Pro SemiBold"/>
      <w:spacing w:val="5"/>
      <w:kern w:val="28"/>
      <w:sz w:val="64"/>
      <w:szCs w:val="72"/>
    </w:rPr>
  </w:style>
  <w:style w:type="paragraph" w:styleId="Subtitle">
    <w:name w:val="Subtitle"/>
    <w:basedOn w:val="Normal"/>
    <w:next w:val="Normal"/>
    <w:link w:val="SubtitleChar"/>
    <w:uiPriority w:val="99"/>
    <w:rsid w:val="000E2A0D"/>
    <w:pPr>
      <w:numPr>
        <w:ilvl w:val="1"/>
      </w:numPr>
      <w:spacing w:after="0" w:line="240" w:lineRule="auto"/>
      <w:ind w:left="993"/>
    </w:pPr>
    <w:rPr>
      <w:rFonts w:ascii="Verdana Pro Light" w:eastAsiaTheme="majorEastAsia" w:hAnsi="Verdana Pro Light" w:cs="Times New Roman"/>
      <w:spacing w:val="15"/>
      <w:sz w:val="56"/>
      <w:szCs w:val="56"/>
    </w:rPr>
  </w:style>
  <w:style w:type="character" w:customStyle="1" w:styleId="SubtitleChar">
    <w:name w:val="Subtitle Char"/>
    <w:basedOn w:val="DefaultParagraphFont"/>
    <w:link w:val="Subtitle"/>
    <w:uiPriority w:val="99"/>
    <w:rsid w:val="000E2A0D"/>
    <w:rPr>
      <w:rFonts w:ascii="Verdana Pro Light" w:eastAsiaTheme="majorEastAsia" w:hAnsi="Verdana Pro Light"/>
      <w:spacing w:val="15"/>
      <w:sz w:val="56"/>
      <w:szCs w:val="56"/>
    </w:rPr>
  </w:style>
  <w:style w:type="character" w:styleId="SubtleEmphasis">
    <w:name w:val="Subtle Emphasis"/>
    <w:basedOn w:val="Heading4Char"/>
    <w:uiPriority w:val="99"/>
    <w:rsid w:val="006B19BD"/>
    <w:rPr>
      <w:rFonts w:ascii="Verdana" w:hAnsi="Verdana" w:cs="Times New Roman"/>
      <w:i w:val="0"/>
      <w:iCs/>
      <w:color w:val="auto"/>
      <w:sz w:val="20"/>
      <w:szCs w:val="24"/>
    </w:rPr>
  </w:style>
  <w:style w:type="paragraph" w:customStyle="1" w:styleId="Bullet1">
    <w:name w:val="Bullet1"/>
    <w:basedOn w:val="Normal"/>
    <w:qFormat/>
    <w:rsid w:val="00B51BC3"/>
    <w:pPr>
      <w:numPr>
        <w:numId w:val="32"/>
      </w:numPr>
      <w:suppressAutoHyphens/>
      <w:autoSpaceDE w:val="0"/>
      <w:autoSpaceDN w:val="0"/>
      <w:adjustRightInd w:val="0"/>
      <w:ind w:left="709" w:hanging="426"/>
      <w:contextualSpacing/>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val="0"/>
      <w:color w:val="000000" w:themeColor="text1"/>
      <w:sz w:val="20"/>
      <w:szCs w:val="24"/>
    </w:rPr>
  </w:style>
  <w:style w:type="paragraph" w:styleId="TOCHeading">
    <w:name w:val="TOC Heading"/>
    <w:basedOn w:val="Heading1"/>
    <w:next w:val="Normal"/>
    <w:uiPriority w:val="39"/>
    <w:unhideWhenUsed/>
    <w:qFormat/>
    <w:rsid w:val="009F2D91"/>
    <w:pPr>
      <w:spacing w:before="480" w:line="276" w:lineRule="auto"/>
      <w:outlineLvl w:val="9"/>
    </w:pPr>
    <w:rPr>
      <w:rFonts w:cstheme="majorBidi"/>
      <w:b w:val="0"/>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DA4851"/>
    <w:rPr>
      <w:rFonts w:ascii="Verdana Pro SemiBold" w:hAnsi="Verdana Pro SemiBold"/>
      <w:b w:val="0"/>
      <w:i w:val="0"/>
      <w:sz w:val="22"/>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0E2A0D"/>
    <w:pPr>
      <w:numPr>
        <w:numId w:val="5"/>
      </w:numPr>
      <w:tabs>
        <w:tab w:val="clear" w:pos="360"/>
        <w:tab w:val="num" w:pos="709"/>
      </w:tabs>
      <w:ind w:left="709" w:hanging="425"/>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1"/>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59221C"/>
    <w:pPr>
      <w:spacing w:after="100"/>
    </w:pPr>
    <w:rPr>
      <w:rFonts w:ascii="Verdana Pro SemiBold" w:hAnsi="Verdana Pro SemiBold"/>
      <w:b/>
      <w:color w:val="000000" w:themeColor="text1"/>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5D1327"/>
    <w:rPr>
      <w:color w:val="0000FF" w:themeColor="hyperlink"/>
      <w:u w:val="single"/>
    </w:rPr>
  </w:style>
  <w:style w:type="character" w:styleId="UnresolvedMention">
    <w:name w:val="Unresolved Mention"/>
    <w:basedOn w:val="DefaultParagraphFont"/>
    <w:uiPriority w:val="99"/>
    <w:semiHidden/>
    <w:unhideWhenUsed/>
    <w:rsid w:val="003225FF"/>
    <w:rPr>
      <w:color w:val="605E5C"/>
      <w:shd w:val="clear" w:color="auto" w:fill="E1DFDD"/>
    </w:rPr>
  </w:style>
  <w:style w:type="paragraph" w:styleId="Header">
    <w:name w:val="header"/>
    <w:basedOn w:val="Normal"/>
    <w:link w:val="HeaderChar"/>
    <w:uiPriority w:val="99"/>
    <w:unhideWhenUsed/>
    <w:rsid w:val="0059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56"/>
    <w:rPr>
      <w:rFonts w:ascii="Verdana" w:hAnsi="Verdana" w:cs="Arial"/>
      <w:szCs w:val="22"/>
    </w:rPr>
  </w:style>
  <w:style w:type="character" w:styleId="FollowedHyperlink">
    <w:name w:val="FollowedHyperlink"/>
    <w:basedOn w:val="DefaultParagraphFont"/>
    <w:uiPriority w:val="99"/>
    <w:semiHidden/>
    <w:unhideWhenUsed/>
    <w:rsid w:val="00F502CE"/>
    <w:rPr>
      <w:color w:val="800080" w:themeColor="followedHyperlink"/>
      <w:u w:val="single"/>
    </w:rPr>
  </w:style>
  <w:style w:type="character" w:styleId="PageNumber">
    <w:name w:val="page number"/>
    <w:basedOn w:val="DefaultParagraphFont"/>
    <w:uiPriority w:val="99"/>
    <w:semiHidden/>
    <w:unhideWhenUsed/>
    <w:rsid w:val="008D0841"/>
  </w:style>
  <w:style w:type="paragraph" w:customStyle="1" w:styleId="Footertext">
    <w:name w:val="Footer text"/>
    <w:basedOn w:val="Normal"/>
    <w:qFormat/>
    <w:rsid w:val="00E3562E"/>
    <w:pPr>
      <w:tabs>
        <w:tab w:val="left" w:pos="8789"/>
      </w:tabs>
      <w:spacing w:before="360"/>
      <w:ind w:right="-45"/>
    </w:pPr>
  </w:style>
  <w:style w:type="paragraph" w:customStyle="1" w:styleId="Link">
    <w:name w:val="Link"/>
    <w:basedOn w:val="Normal"/>
    <w:qFormat/>
    <w:rsid w:val="001836E5"/>
    <w:pPr>
      <w:numPr>
        <w:numId w:val="37"/>
      </w:numPr>
    </w:pPr>
    <w:rPr>
      <w:rFonts w:ascii="Verdana Pro Regular" w:hAnsi="Verdana Pro Regular"/>
    </w:rPr>
  </w:style>
  <w:style w:type="paragraph" w:customStyle="1" w:styleId="Linkindented">
    <w:name w:val="Link indented"/>
    <w:basedOn w:val="Link"/>
    <w:qFormat/>
    <w:rsid w:val="001836E5"/>
    <w:pPr>
      <w:ind w:left="709" w:hanging="283"/>
    </w:pPr>
    <w:rPr>
      <w:rFonts w:cstheme="minorHAnsi"/>
    </w:rPr>
  </w:style>
  <w:style w:type="character" w:styleId="FootnoteReference">
    <w:name w:val="footnote reference"/>
    <w:basedOn w:val="DefaultParagraphFont"/>
    <w:uiPriority w:val="99"/>
    <w:semiHidden/>
    <w:unhideWhenUsed/>
    <w:rsid w:val="00D34E38"/>
    <w:rPr>
      <w:vertAlign w:val="superscript"/>
    </w:rPr>
  </w:style>
  <w:style w:type="paragraph" w:styleId="CommentSubject">
    <w:name w:val="annotation subject"/>
    <w:basedOn w:val="CommentText"/>
    <w:next w:val="CommentText"/>
    <w:link w:val="CommentSubjectChar"/>
    <w:uiPriority w:val="99"/>
    <w:semiHidden/>
    <w:unhideWhenUsed/>
    <w:rsid w:val="00784A13"/>
    <w:rPr>
      <w:b/>
      <w:bCs/>
      <w:sz w:val="20"/>
    </w:rPr>
  </w:style>
  <w:style w:type="character" w:customStyle="1" w:styleId="CommentSubjectChar">
    <w:name w:val="Comment Subject Char"/>
    <w:basedOn w:val="CommentTextChar"/>
    <w:link w:val="CommentSubject"/>
    <w:uiPriority w:val="99"/>
    <w:semiHidden/>
    <w:rsid w:val="00784A13"/>
    <w:rPr>
      <w:rFonts w:ascii="Verdana" w:hAnsi="Verdana" w:cs="Arial"/>
      <w:b/>
      <w:bCs/>
    </w:rPr>
  </w:style>
  <w:style w:type="paragraph" w:customStyle="1" w:styleId="Heading3-numbered">
    <w:name w:val="Heading 3 - numbered"/>
    <w:basedOn w:val="Heading3"/>
    <w:qFormat/>
    <w:rsid w:val="000E2A0D"/>
    <w:pPr>
      <w:numPr>
        <w:numId w:val="39"/>
      </w:numPr>
      <w:ind w:left="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7662">
      <w:bodyDiv w:val="1"/>
      <w:marLeft w:val="0"/>
      <w:marRight w:val="0"/>
      <w:marTop w:val="0"/>
      <w:marBottom w:val="0"/>
      <w:divBdr>
        <w:top w:val="none" w:sz="0" w:space="0" w:color="auto"/>
        <w:left w:val="none" w:sz="0" w:space="0" w:color="auto"/>
        <w:bottom w:val="none" w:sz="0" w:space="0" w:color="auto"/>
        <w:right w:val="none" w:sz="0" w:space="0" w:color="auto"/>
      </w:divBdr>
    </w:div>
    <w:div w:id="16048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zbn.govt.nz/get-an-nzbn/applying-for-an-nz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andincome.govt.nz/eligibility/health-and-disability/index.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B41A-FC84-459F-B196-D0B5EDD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Ballantyne</dc:creator>
  <cp:keywords/>
  <dc:description/>
  <cp:lastModifiedBy>Andrew Mcnabb</cp:lastModifiedBy>
  <cp:revision>2</cp:revision>
  <cp:lastPrinted>2022-03-30T20:07:00Z</cp:lastPrinted>
  <dcterms:created xsi:type="dcterms:W3CDTF">2022-09-12T04:18:00Z</dcterms:created>
  <dcterms:modified xsi:type="dcterms:W3CDTF">2022-09-12T04:18:00Z</dcterms:modified>
</cp:coreProperties>
</file>