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6038" w14:textId="45089629" w:rsidR="00FE172F" w:rsidRPr="001E34E3" w:rsidRDefault="00565F17" w:rsidP="00750837">
      <w:pPr>
        <w:spacing w:after="120"/>
        <w:jc w:val="center"/>
        <w:rPr>
          <w:b/>
          <w:sz w:val="36"/>
          <w:szCs w:val="36"/>
        </w:rPr>
      </w:pPr>
      <w:bookmarkStart w:id="0" w:name="_Hlk156983700"/>
      <w:r w:rsidRPr="001E34E3">
        <w:rPr>
          <w:b/>
          <w:sz w:val="36"/>
          <w:szCs w:val="36"/>
        </w:rPr>
        <w:t>Instrument amending Ministerial Direction</w:t>
      </w:r>
      <w:r w:rsidR="002F705F">
        <w:rPr>
          <w:b/>
          <w:sz w:val="36"/>
          <w:szCs w:val="36"/>
        </w:rPr>
        <w:t>s</w:t>
      </w:r>
      <w:r w:rsidRPr="001E34E3">
        <w:rPr>
          <w:b/>
          <w:sz w:val="36"/>
          <w:szCs w:val="36"/>
        </w:rPr>
        <w:t xml:space="preserve"> and Welfare Programmes</w:t>
      </w:r>
      <w:bookmarkEnd w:id="0"/>
      <w:r w:rsidRPr="001E34E3">
        <w:rPr>
          <w:b/>
          <w:sz w:val="36"/>
          <w:szCs w:val="36"/>
        </w:rPr>
        <w:t xml:space="preserve"> 20</w:t>
      </w:r>
      <w:r w:rsidR="006C66EF" w:rsidRPr="001E34E3">
        <w:rPr>
          <w:b/>
          <w:sz w:val="36"/>
          <w:szCs w:val="36"/>
        </w:rPr>
        <w:t>2</w:t>
      </w:r>
      <w:r w:rsidR="00DD5ADD">
        <w:rPr>
          <w:b/>
          <w:sz w:val="36"/>
          <w:szCs w:val="36"/>
        </w:rPr>
        <w:t>6</w:t>
      </w:r>
    </w:p>
    <w:p w14:paraId="011134F7" w14:textId="77777777" w:rsidR="00FE172F" w:rsidRPr="001E34E3" w:rsidRDefault="00565F17">
      <w:pPr>
        <w:spacing w:before="240" w:after="120"/>
        <w:jc w:val="both"/>
      </w:pPr>
      <w:r w:rsidRPr="001E34E3">
        <w:t xml:space="preserve">This instrument is made under sections </w:t>
      </w:r>
      <w:r w:rsidR="00F4068C" w:rsidRPr="001E34E3">
        <w:t>7</w:t>
      </w:r>
      <w:r w:rsidRPr="001E34E3">
        <w:t xml:space="preserve"> and </w:t>
      </w:r>
      <w:r w:rsidR="00703CC7" w:rsidRPr="001E34E3">
        <w:t>101</w:t>
      </w:r>
      <w:r w:rsidR="00A0003A" w:rsidRPr="001E34E3">
        <w:t xml:space="preserve"> of the Social Security Act 2018</w:t>
      </w:r>
      <w:r w:rsidRPr="001E34E3">
        <w:t xml:space="preserve"> by the Minister for Social Development</w:t>
      </w:r>
      <w:r w:rsidR="008802E2">
        <w:t xml:space="preserve"> and Employment</w:t>
      </w:r>
      <w:r w:rsidRPr="001E34E3">
        <w:t xml:space="preserve">. </w:t>
      </w:r>
    </w:p>
    <w:p w14:paraId="4DD859DE" w14:textId="7F182822" w:rsidR="00750837" w:rsidRPr="00B130B1" w:rsidRDefault="00750837" w:rsidP="00750837">
      <w:pPr>
        <w:spacing w:after="40"/>
        <w:ind w:right="226"/>
        <w:jc w:val="right"/>
        <w:rPr>
          <w:sz w:val="20"/>
        </w:rPr>
      </w:pPr>
      <w:r w:rsidRPr="00B130B1">
        <w:rPr>
          <w:b/>
          <w:sz w:val="26"/>
          <w:szCs w:val="26"/>
        </w:rPr>
        <w:t>Contents</w:t>
      </w:r>
      <w:r>
        <w:rPr>
          <w:b/>
          <w:sz w:val="26"/>
          <w:szCs w:val="26"/>
        </w:rPr>
        <w:t xml:space="preserve">                                             </w:t>
      </w:r>
      <w:r w:rsidRPr="00B130B1">
        <w:rPr>
          <w:sz w:val="18"/>
          <w:szCs w:val="18"/>
        </w:rPr>
        <w:t>Page</w:t>
      </w:r>
    </w:p>
    <w:tbl>
      <w:tblPr>
        <w:tblW w:w="7637" w:type="dxa"/>
        <w:tblLook w:val="01E0" w:firstRow="1" w:lastRow="1" w:firstColumn="1" w:lastColumn="1" w:noHBand="0" w:noVBand="0"/>
      </w:tblPr>
      <w:tblGrid>
        <w:gridCol w:w="7637"/>
      </w:tblGrid>
      <w:tr w:rsidR="00FE172F" w:rsidRPr="00C500F1" w14:paraId="4BFBC94E" w14:textId="77777777" w:rsidTr="00F66F2C">
        <w:trPr>
          <w:trHeight w:val="1408"/>
        </w:trPr>
        <w:tc>
          <w:tcPr>
            <w:tcW w:w="7637" w:type="dxa"/>
          </w:tcPr>
          <w:sdt>
            <w:sdtPr>
              <w:rPr>
                <w:rFonts w:asciiTheme="minorHAnsi" w:hAnsiTheme="minorHAnsi"/>
                <w:sz w:val="22"/>
                <w:lang w:val="en-NZ"/>
              </w:rPr>
              <w:id w:val="-1404288969"/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hAnsi="Times New Roman"/>
                <w:b/>
                <w:bCs/>
                <w:noProof/>
                <w:sz w:val="23"/>
              </w:rPr>
            </w:sdtEndPr>
            <w:sdtContent>
              <w:p w14:paraId="4ECE5FC9" w14:textId="3865C420" w:rsidR="00750837" w:rsidRPr="00C500F1" w:rsidRDefault="0075083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val="en-NZ" w:eastAsia="en-NZ"/>
                  </w:rPr>
                </w:pPr>
                <w:r w:rsidRPr="00C500F1">
                  <w:fldChar w:fldCharType="begin"/>
                </w:r>
                <w:r w:rsidRPr="00C500F1">
                  <w:instrText xml:space="preserve"> TOC \o "1-3" \h \z \u </w:instrText>
                </w:r>
                <w:r w:rsidRPr="00C500F1">
                  <w:fldChar w:fldCharType="separate"/>
                </w:r>
                <w:hyperlink w:anchor="_Toc126755562" w:history="1">
                  <w:r w:rsidRPr="00C500F1">
                    <w:rPr>
                      <w:rStyle w:val="Hyperlink"/>
                      <w:noProof/>
                    </w:rPr>
                    <w:t>1</w:t>
                  </w:r>
                  <w:r w:rsidRPr="00C500F1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val="en-NZ" w:eastAsia="en-NZ"/>
                    </w:rPr>
                    <w:tab/>
                  </w:r>
                  <w:r w:rsidRPr="00C500F1">
                    <w:rPr>
                      <w:rStyle w:val="Hyperlink"/>
                      <w:noProof/>
                    </w:rPr>
                    <w:t>Title</w:t>
                  </w:r>
                  <w:r w:rsidRPr="00C500F1">
                    <w:rPr>
                      <w:noProof/>
                      <w:webHidden/>
                    </w:rPr>
                    <w:tab/>
                  </w:r>
                  <w:r w:rsidRPr="00C500F1">
                    <w:rPr>
                      <w:noProof/>
                      <w:webHidden/>
                    </w:rPr>
                    <w:fldChar w:fldCharType="begin"/>
                  </w:r>
                  <w:r w:rsidRPr="00C500F1">
                    <w:rPr>
                      <w:noProof/>
                      <w:webHidden/>
                    </w:rPr>
                    <w:instrText xml:space="preserve"> PAGEREF _Toc126755562 \h </w:instrText>
                  </w:r>
                  <w:r w:rsidRPr="00C500F1">
                    <w:rPr>
                      <w:noProof/>
                      <w:webHidden/>
                    </w:rPr>
                  </w:r>
                  <w:r w:rsidRPr="00C500F1">
                    <w:rPr>
                      <w:noProof/>
                      <w:webHidden/>
                    </w:rPr>
                    <w:fldChar w:fldCharType="separate"/>
                  </w:r>
                  <w:r w:rsidR="00A36585">
                    <w:rPr>
                      <w:noProof/>
                      <w:webHidden/>
                    </w:rPr>
                    <w:t>1</w:t>
                  </w:r>
                  <w:r w:rsidRPr="00C500F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E3D74F7" w14:textId="167A8EE5" w:rsidR="00750837" w:rsidRPr="00C500F1" w:rsidRDefault="0075083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val="en-NZ" w:eastAsia="en-NZ"/>
                  </w:rPr>
                </w:pPr>
                <w:hyperlink w:anchor="_Toc126755563" w:history="1">
                  <w:r w:rsidRPr="00C500F1">
                    <w:rPr>
                      <w:rStyle w:val="Hyperlink"/>
                      <w:noProof/>
                    </w:rPr>
                    <w:t>2</w:t>
                  </w:r>
                  <w:r w:rsidRPr="00C500F1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val="en-NZ" w:eastAsia="en-NZ"/>
                    </w:rPr>
                    <w:tab/>
                  </w:r>
                  <w:r w:rsidRPr="00C500F1">
                    <w:rPr>
                      <w:rStyle w:val="Hyperlink"/>
                      <w:noProof/>
                    </w:rPr>
                    <w:t>Commencement</w:t>
                  </w:r>
                  <w:r w:rsidRPr="00C500F1">
                    <w:rPr>
                      <w:noProof/>
                      <w:webHidden/>
                    </w:rPr>
                    <w:tab/>
                  </w:r>
                  <w:r w:rsidRPr="00C500F1">
                    <w:rPr>
                      <w:noProof/>
                      <w:webHidden/>
                    </w:rPr>
                    <w:fldChar w:fldCharType="begin"/>
                  </w:r>
                  <w:r w:rsidRPr="00C500F1">
                    <w:rPr>
                      <w:noProof/>
                      <w:webHidden/>
                    </w:rPr>
                    <w:instrText xml:space="preserve"> PAGEREF _Toc126755563 \h </w:instrText>
                  </w:r>
                  <w:r w:rsidRPr="00C500F1">
                    <w:rPr>
                      <w:noProof/>
                      <w:webHidden/>
                    </w:rPr>
                  </w:r>
                  <w:r w:rsidRPr="00C500F1">
                    <w:rPr>
                      <w:noProof/>
                      <w:webHidden/>
                    </w:rPr>
                    <w:fldChar w:fldCharType="separate"/>
                  </w:r>
                  <w:r w:rsidR="00A36585">
                    <w:rPr>
                      <w:noProof/>
                      <w:webHidden/>
                    </w:rPr>
                    <w:t>1</w:t>
                  </w:r>
                  <w:r w:rsidRPr="00C500F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6BD047D" w14:textId="0A07969B" w:rsidR="00750837" w:rsidRPr="00C500F1" w:rsidRDefault="0075083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val="en-NZ" w:eastAsia="en-NZ"/>
                  </w:rPr>
                </w:pPr>
                <w:hyperlink w:anchor="_Toc126755564" w:history="1">
                  <w:r w:rsidRPr="00C500F1">
                    <w:rPr>
                      <w:rStyle w:val="Hyperlink"/>
                      <w:noProof/>
                    </w:rPr>
                    <w:t>3</w:t>
                  </w:r>
                  <w:r w:rsidRPr="00C500F1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val="en-NZ" w:eastAsia="en-NZ"/>
                    </w:rPr>
                    <w:tab/>
                  </w:r>
                  <w:r w:rsidRPr="00C500F1">
                    <w:rPr>
                      <w:rStyle w:val="Hyperlink"/>
                      <w:noProof/>
                    </w:rPr>
                    <w:t>Principal directions and welfare programmes amended</w:t>
                  </w:r>
                  <w:r w:rsidRPr="00C500F1">
                    <w:rPr>
                      <w:noProof/>
                      <w:webHidden/>
                    </w:rPr>
                    <w:tab/>
                  </w:r>
                  <w:r w:rsidRPr="00C500F1">
                    <w:rPr>
                      <w:noProof/>
                      <w:webHidden/>
                    </w:rPr>
                    <w:fldChar w:fldCharType="begin"/>
                  </w:r>
                  <w:r w:rsidRPr="00C500F1">
                    <w:rPr>
                      <w:noProof/>
                      <w:webHidden/>
                    </w:rPr>
                    <w:instrText xml:space="preserve"> PAGEREF _Toc126755564 \h </w:instrText>
                  </w:r>
                  <w:r w:rsidRPr="00C500F1">
                    <w:rPr>
                      <w:noProof/>
                      <w:webHidden/>
                    </w:rPr>
                  </w:r>
                  <w:r w:rsidRPr="00C500F1">
                    <w:rPr>
                      <w:noProof/>
                      <w:webHidden/>
                    </w:rPr>
                    <w:fldChar w:fldCharType="separate"/>
                  </w:r>
                  <w:r w:rsidR="00A36585">
                    <w:rPr>
                      <w:noProof/>
                      <w:webHidden/>
                    </w:rPr>
                    <w:t>1</w:t>
                  </w:r>
                  <w:r w:rsidRPr="00C500F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C622AAB" w14:textId="3046CDA0" w:rsidR="00750837" w:rsidRPr="00C500F1" w:rsidRDefault="0075083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val="en-NZ" w:eastAsia="en-NZ"/>
                  </w:rPr>
                </w:pPr>
                <w:hyperlink w:anchor="_Toc126755565" w:history="1">
                  <w:r w:rsidRPr="00C500F1">
                    <w:rPr>
                      <w:rStyle w:val="Hyperlink"/>
                      <w:noProof/>
                    </w:rPr>
                    <w:t>4</w:t>
                  </w:r>
                  <w:r w:rsidRPr="00C500F1">
                    <w:rPr>
                      <w:rFonts w:asciiTheme="minorHAnsi" w:eastAsiaTheme="minorEastAsia" w:hAnsiTheme="minorHAnsi" w:cstheme="minorBidi"/>
                      <w:noProof/>
                      <w:sz w:val="22"/>
                      <w:szCs w:val="22"/>
                      <w:lang w:val="en-NZ" w:eastAsia="en-NZ"/>
                    </w:rPr>
                    <w:tab/>
                  </w:r>
                  <w:r w:rsidRPr="00C500F1">
                    <w:rPr>
                      <w:rStyle w:val="Hyperlink"/>
                      <w:noProof/>
                    </w:rPr>
                    <w:t>Amendments</w:t>
                  </w:r>
                  <w:r w:rsidRPr="00C500F1">
                    <w:rPr>
                      <w:noProof/>
                      <w:webHidden/>
                    </w:rPr>
                    <w:tab/>
                  </w:r>
                  <w:r w:rsidRPr="00C500F1">
                    <w:rPr>
                      <w:noProof/>
                      <w:webHidden/>
                    </w:rPr>
                    <w:fldChar w:fldCharType="begin"/>
                  </w:r>
                  <w:r w:rsidRPr="00C500F1">
                    <w:rPr>
                      <w:noProof/>
                      <w:webHidden/>
                    </w:rPr>
                    <w:instrText xml:space="preserve"> PAGEREF _Toc126755565 \h </w:instrText>
                  </w:r>
                  <w:r w:rsidRPr="00C500F1">
                    <w:rPr>
                      <w:noProof/>
                      <w:webHidden/>
                    </w:rPr>
                  </w:r>
                  <w:r w:rsidRPr="00C500F1">
                    <w:rPr>
                      <w:noProof/>
                      <w:webHidden/>
                    </w:rPr>
                    <w:fldChar w:fldCharType="separate"/>
                  </w:r>
                  <w:r w:rsidR="00A36585">
                    <w:rPr>
                      <w:noProof/>
                      <w:webHidden/>
                    </w:rPr>
                    <w:t>1</w:t>
                  </w:r>
                  <w:r w:rsidRPr="00C500F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D0BB451" w14:textId="0AA161C6" w:rsidR="00750837" w:rsidRPr="00C500F1" w:rsidRDefault="00750837" w:rsidP="00C9025A">
                <w:pPr>
                  <w:pStyle w:val="TOC1"/>
                  <w:tabs>
                    <w:tab w:val="right" w:leader="dot" w:pos="7587"/>
                  </w:tabs>
                  <w:ind w:left="1134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val="en-NZ" w:eastAsia="en-NZ"/>
                  </w:rPr>
                </w:pPr>
                <w:hyperlink w:anchor="_Toc126755566" w:history="1">
                  <w:r w:rsidRPr="00C500F1">
                    <w:rPr>
                      <w:rStyle w:val="Hyperlink"/>
                      <w:noProof/>
                    </w:rPr>
                    <w:t>Schedule 1</w:t>
                  </w:r>
                  <w:r w:rsidRPr="00C500F1">
                    <w:rPr>
                      <w:noProof/>
                      <w:webHidden/>
                    </w:rPr>
                    <w:tab/>
                  </w:r>
                  <w:r w:rsidRPr="00C500F1">
                    <w:rPr>
                      <w:noProof/>
                      <w:webHidden/>
                    </w:rPr>
                    <w:fldChar w:fldCharType="begin"/>
                  </w:r>
                  <w:r w:rsidRPr="00C500F1">
                    <w:rPr>
                      <w:noProof/>
                      <w:webHidden/>
                    </w:rPr>
                    <w:instrText xml:space="preserve"> PAGEREF _Toc126755566 \h </w:instrText>
                  </w:r>
                  <w:r w:rsidRPr="00C500F1">
                    <w:rPr>
                      <w:noProof/>
                      <w:webHidden/>
                    </w:rPr>
                  </w:r>
                  <w:r w:rsidRPr="00C500F1">
                    <w:rPr>
                      <w:noProof/>
                      <w:webHidden/>
                    </w:rPr>
                    <w:fldChar w:fldCharType="separate"/>
                  </w:r>
                  <w:r w:rsidR="00A36585">
                    <w:rPr>
                      <w:noProof/>
                      <w:webHidden/>
                    </w:rPr>
                    <w:t>2</w:t>
                  </w:r>
                  <w:r w:rsidRPr="00C500F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84B8E2D" w14:textId="20DE8898" w:rsidR="00750837" w:rsidRPr="00C500F1" w:rsidRDefault="00750837" w:rsidP="00C9025A">
                <w:pPr>
                  <w:pStyle w:val="TOC1"/>
                  <w:tabs>
                    <w:tab w:val="right" w:leader="dot" w:pos="7587"/>
                  </w:tabs>
                  <w:ind w:left="1134"/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  <w:lang w:val="en-NZ" w:eastAsia="en-NZ"/>
                  </w:rPr>
                </w:pPr>
                <w:hyperlink w:anchor="_Toc126755568" w:history="1">
                  <w:r w:rsidRPr="00C500F1">
                    <w:rPr>
                      <w:rStyle w:val="Hyperlink"/>
                      <w:noProof/>
                    </w:rPr>
                    <w:t>Schedule 2</w:t>
                  </w:r>
                  <w:r w:rsidRPr="00C500F1">
                    <w:rPr>
                      <w:noProof/>
                      <w:webHidden/>
                    </w:rPr>
                    <w:tab/>
                  </w:r>
                  <w:r w:rsidRPr="00C500F1">
                    <w:rPr>
                      <w:noProof/>
                      <w:webHidden/>
                    </w:rPr>
                    <w:fldChar w:fldCharType="begin"/>
                  </w:r>
                  <w:r w:rsidRPr="00C500F1">
                    <w:rPr>
                      <w:noProof/>
                      <w:webHidden/>
                    </w:rPr>
                    <w:instrText xml:space="preserve"> PAGEREF _Toc126755568 \h </w:instrText>
                  </w:r>
                  <w:r w:rsidRPr="00C500F1">
                    <w:rPr>
                      <w:noProof/>
                      <w:webHidden/>
                    </w:rPr>
                  </w:r>
                  <w:r w:rsidRPr="00C500F1">
                    <w:rPr>
                      <w:noProof/>
                      <w:webHidden/>
                    </w:rPr>
                    <w:fldChar w:fldCharType="separate"/>
                  </w:r>
                  <w:r w:rsidR="00A36585">
                    <w:rPr>
                      <w:noProof/>
                      <w:webHidden/>
                    </w:rPr>
                    <w:t>3</w:t>
                  </w:r>
                  <w:r w:rsidRPr="00C500F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7F84F02" w14:textId="2DB72E98" w:rsidR="00FE172F" w:rsidRPr="00F66F2C" w:rsidRDefault="00750837">
                <w:pPr>
                  <w:rPr>
                    <w:b/>
                  </w:rPr>
                </w:pPr>
                <w:r w:rsidRPr="00C500F1">
                  <w:rPr>
                    <w:b/>
                    <w:bCs/>
                    <w:noProof/>
                  </w:rPr>
                  <w:fldChar w:fldCharType="end"/>
                </w:r>
              </w:p>
            </w:sdtContent>
          </w:sdt>
        </w:tc>
      </w:tr>
    </w:tbl>
    <w:p w14:paraId="15669D6A" w14:textId="77777777" w:rsidR="00FE172F" w:rsidRPr="001E34E3" w:rsidRDefault="00565F17">
      <w:pPr>
        <w:jc w:val="center"/>
      </w:pPr>
      <w:r w:rsidRPr="001E34E3">
        <w:t>___________</w:t>
      </w:r>
    </w:p>
    <w:p w14:paraId="1CB1AA73" w14:textId="77777777" w:rsidR="00FE172F" w:rsidRPr="001E34E3" w:rsidRDefault="00565F17">
      <w:pPr>
        <w:spacing w:before="120"/>
        <w:jc w:val="center"/>
        <w:rPr>
          <w:b/>
          <w:sz w:val="26"/>
          <w:szCs w:val="26"/>
        </w:rPr>
      </w:pPr>
      <w:r w:rsidRPr="001E34E3">
        <w:rPr>
          <w:b/>
          <w:sz w:val="26"/>
          <w:szCs w:val="26"/>
        </w:rPr>
        <w:t>Instrument</w:t>
      </w:r>
    </w:p>
    <w:p w14:paraId="66E4C76E" w14:textId="77777777" w:rsidR="00FE172F" w:rsidRPr="001E34E3" w:rsidRDefault="00565F17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1" w:name="_Toc349745251"/>
      <w:bookmarkStart w:id="2" w:name="_Toc126755562"/>
      <w:r w:rsidRPr="001E34E3">
        <w:rPr>
          <w:rFonts w:ascii="Times New Roman" w:hAnsi="Times New Roman"/>
        </w:rPr>
        <w:t>Title</w:t>
      </w:r>
      <w:bookmarkEnd w:id="1"/>
      <w:bookmarkEnd w:id="2"/>
    </w:p>
    <w:p w14:paraId="71C3B600" w14:textId="523846CF" w:rsidR="00FE172F" w:rsidRPr="001E34E3" w:rsidRDefault="00565F17">
      <w:pPr>
        <w:spacing w:after="40"/>
        <w:ind w:left="567"/>
        <w:jc w:val="both"/>
        <w:rPr>
          <w:rStyle w:val="ListBulletChar"/>
        </w:rPr>
      </w:pPr>
      <w:r w:rsidRPr="001E34E3">
        <w:t xml:space="preserve">This instrument is the </w:t>
      </w:r>
      <w:r w:rsidRPr="001E34E3">
        <w:rPr>
          <w:rStyle w:val="ListBulletChar"/>
        </w:rPr>
        <w:t>Instrument amending Ministerial Direc</w:t>
      </w:r>
      <w:r w:rsidR="008A5B8A" w:rsidRPr="001E34E3">
        <w:rPr>
          <w:rStyle w:val="ListBulletChar"/>
        </w:rPr>
        <w:t>tion</w:t>
      </w:r>
      <w:r w:rsidR="002F705F">
        <w:rPr>
          <w:rStyle w:val="ListBulletChar"/>
        </w:rPr>
        <w:t>s</w:t>
      </w:r>
      <w:r w:rsidR="008A5B8A" w:rsidRPr="001E34E3">
        <w:rPr>
          <w:rStyle w:val="ListBulletChar"/>
        </w:rPr>
        <w:t xml:space="preserve"> and Welfare Programmes 20</w:t>
      </w:r>
      <w:r w:rsidR="006C66EF" w:rsidRPr="001E34E3">
        <w:rPr>
          <w:rStyle w:val="ListBulletChar"/>
        </w:rPr>
        <w:t>2</w:t>
      </w:r>
      <w:r w:rsidR="00DD5ADD">
        <w:rPr>
          <w:rStyle w:val="ListBulletChar"/>
        </w:rPr>
        <w:t>6</w:t>
      </w:r>
      <w:r w:rsidRPr="001E34E3">
        <w:rPr>
          <w:rStyle w:val="ListBulletChar"/>
        </w:rPr>
        <w:t>.</w:t>
      </w:r>
    </w:p>
    <w:p w14:paraId="7C2A258B" w14:textId="77777777" w:rsidR="00FE172F" w:rsidRPr="001E34E3" w:rsidRDefault="00565F17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3" w:name="_Toc122512058"/>
      <w:bookmarkStart w:id="4" w:name="_Toc349745252"/>
      <w:bookmarkStart w:id="5" w:name="_Toc126755563"/>
      <w:r w:rsidRPr="001E34E3">
        <w:rPr>
          <w:rFonts w:ascii="Times New Roman" w:hAnsi="Times New Roman"/>
        </w:rPr>
        <w:t>Commencement</w:t>
      </w:r>
      <w:bookmarkEnd w:id="3"/>
      <w:bookmarkEnd w:id="4"/>
      <w:bookmarkEnd w:id="5"/>
    </w:p>
    <w:p w14:paraId="77EF35F6" w14:textId="06F65F2A" w:rsidR="00FE172F" w:rsidRPr="001E34E3" w:rsidRDefault="00565F17" w:rsidP="00883855">
      <w:pPr>
        <w:spacing w:after="40"/>
        <w:ind w:left="567"/>
        <w:jc w:val="both"/>
      </w:pPr>
      <w:r w:rsidRPr="001E34E3">
        <w:t xml:space="preserve">This instrument </w:t>
      </w:r>
      <w:r w:rsidR="008A5B8A" w:rsidRPr="001E34E3">
        <w:t>comes into force on 1 April 20</w:t>
      </w:r>
      <w:r w:rsidR="006C66EF" w:rsidRPr="001E34E3">
        <w:t>2</w:t>
      </w:r>
      <w:r w:rsidR="00DD5ADD">
        <w:t>6</w:t>
      </w:r>
      <w:r w:rsidRPr="001E34E3">
        <w:t>.</w:t>
      </w:r>
    </w:p>
    <w:p w14:paraId="2EF610EF" w14:textId="6DD3113B" w:rsidR="00FE172F" w:rsidRPr="001E34E3" w:rsidRDefault="00565F17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6" w:name="_Toc349745253"/>
      <w:bookmarkStart w:id="7" w:name="_Toc126755564"/>
      <w:bookmarkStart w:id="8" w:name="_Ref96930088"/>
      <w:bookmarkStart w:id="9" w:name="_Toc122512059"/>
      <w:r w:rsidRPr="001E34E3">
        <w:rPr>
          <w:rFonts w:ascii="Times New Roman" w:hAnsi="Times New Roman"/>
        </w:rPr>
        <w:t>Principal direction</w:t>
      </w:r>
      <w:r w:rsidR="001B0493">
        <w:rPr>
          <w:rFonts w:ascii="Times New Roman" w:hAnsi="Times New Roman"/>
        </w:rPr>
        <w:t>s</w:t>
      </w:r>
      <w:r w:rsidRPr="001E34E3">
        <w:rPr>
          <w:rFonts w:ascii="Times New Roman" w:hAnsi="Times New Roman"/>
        </w:rPr>
        <w:t xml:space="preserve"> and welfare programmes amended</w:t>
      </w:r>
      <w:bookmarkEnd w:id="6"/>
      <w:bookmarkEnd w:id="7"/>
    </w:p>
    <w:p w14:paraId="4A70B234" w14:textId="7B5BE2D7" w:rsidR="003472B7" w:rsidRDefault="00565F17" w:rsidP="003472B7">
      <w:pPr>
        <w:ind w:left="567"/>
        <w:jc w:val="both"/>
      </w:pPr>
      <w:r w:rsidRPr="001E34E3">
        <w:t>This instrument amends the direction</w:t>
      </w:r>
      <w:r w:rsidR="001B0493">
        <w:t>s</w:t>
      </w:r>
      <w:r w:rsidRPr="001E34E3">
        <w:t xml:space="preserve"> and welfare programmes specified in Schedules 1 and 2 (the </w:t>
      </w:r>
      <w:r w:rsidRPr="001E34E3">
        <w:rPr>
          <w:b/>
        </w:rPr>
        <w:t>principal direction</w:t>
      </w:r>
      <w:r w:rsidR="001B0493">
        <w:rPr>
          <w:b/>
        </w:rPr>
        <w:t>s</w:t>
      </w:r>
      <w:r w:rsidRPr="001E34E3">
        <w:rPr>
          <w:b/>
        </w:rPr>
        <w:t xml:space="preserve"> and welfare programmes</w:t>
      </w:r>
      <w:r w:rsidRPr="001E34E3">
        <w:t>)</w:t>
      </w:r>
      <w:r w:rsidRPr="0018444C">
        <w:t>.</w:t>
      </w:r>
    </w:p>
    <w:p w14:paraId="2C85EF47" w14:textId="77777777" w:rsidR="00FE172F" w:rsidRPr="001E34E3" w:rsidRDefault="00565F17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10" w:name="_Toc349745254"/>
      <w:bookmarkStart w:id="11" w:name="_Toc126755565"/>
      <w:bookmarkStart w:id="12" w:name="_Ref318357081"/>
      <w:r w:rsidRPr="001E34E3">
        <w:rPr>
          <w:rFonts w:ascii="Times New Roman" w:hAnsi="Times New Roman"/>
        </w:rPr>
        <w:t>Amendments</w:t>
      </w:r>
      <w:bookmarkEnd w:id="10"/>
      <w:bookmarkEnd w:id="11"/>
      <w:r w:rsidRPr="001E34E3">
        <w:rPr>
          <w:rFonts w:ascii="Times New Roman" w:hAnsi="Times New Roman"/>
        </w:rPr>
        <w:t xml:space="preserve"> </w:t>
      </w:r>
      <w:bookmarkEnd w:id="12"/>
    </w:p>
    <w:p w14:paraId="29394971" w14:textId="2C018CFA" w:rsidR="00FE172F" w:rsidRPr="001E34E3" w:rsidRDefault="00565F17">
      <w:pPr>
        <w:ind w:left="567"/>
        <w:jc w:val="both"/>
      </w:pPr>
      <w:r w:rsidRPr="001E34E3">
        <w:t>Amend the principal direction</w:t>
      </w:r>
      <w:r w:rsidR="001B0493">
        <w:t>s</w:t>
      </w:r>
      <w:r w:rsidRPr="001E34E3">
        <w:t xml:space="preserve"> and welfare programmes in the manner set out in Schedules 1 and 2.</w:t>
      </w:r>
    </w:p>
    <w:p w14:paraId="15C334F1" w14:textId="2BA0A584" w:rsidR="00FE172F" w:rsidRPr="001E34E3" w:rsidRDefault="00FE172F" w:rsidP="000F321A">
      <w:pPr>
        <w:ind w:left="567"/>
        <w:jc w:val="center"/>
      </w:pPr>
    </w:p>
    <w:p w14:paraId="7CD2C090" w14:textId="152F472A" w:rsidR="00B230F4" w:rsidRDefault="00565F17" w:rsidP="00750837">
      <w:pPr>
        <w:jc w:val="center"/>
      </w:pPr>
      <w:bookmarkStart w:id="13" w:name="_Toc98296376"/>
      <w:bookmarkStart w:id="14" w:name="_Toc122512061"/>
      <w:bookmarkStart w:id="15" w:name="_Toc129664978"/>
      <w:bookmarkStart w:id="16" w:name="_Toc129686150"/>
      <w:bookmarkStart w:id="17" w:name="_Toc130014786"/>
      <w:bookmarkStart w:id="18" w:name="_Toc130100512"/>
      <w:bookmarkEnd w:id="8"/>
      <w:bookmarkEnd w:id="9"/>
      <w:r w:rsidRPr="001E34E3">
        <w:t>__________</w:t>
      </w:r>
    </w:p>
    <w:p w14:paraId="63AD94B8" w14:textId="3580A29B" w:rsidR="00FE172F" w:rsidRPr="001E34E3" w:rsidRDefault="00B230F4" w:rsidP="00750837">
      <w:pPr>
        <w:spacing w:after="200" w:line="276" w:lineRule="auto"/>
      </w:pPr>
      <w:r>
        <w:br w:type="page"/>
      </w:r>
    </w:p>
    <w:p w14:paraId="707F8D88" w14:textId="77777777" w:rsidR="00FE172F" w:rsidRPr="001E34E3" w:rsidRDefault="00565F17">
      <w:pPr>
        <w:pStyle w:val="Heading1"/>
        <w:spacing w:before="0"/>
        <w:jc w:val="center"/>
        <w:rPr>
          <w:sz w:val="36"/>
          <w:szCs w:val="36"/>
        </w:rPr>
      </w:pPr>
      <w:bookmarkStart w:id="19" w:name="_Toc122512062"/>
      <w:bookmarkStart w:id="20" w:name="_Toc349745255"/>
      <w:bookmarkStart w:id="21" w:name="_Toc126755566"/>
      <w:bookmarkEnd w:id="13"/>
      <w:bookmarkEnd w:id="14"/>
      <w:bookmarkEnd w:id="15"/>
      <w:bookmarkEnd w:id="16"/>
      <w:bookmarkEnd w:id="17"/>
      <w:bookmarkEnd w:id="18"/>
      <w:r w:rsidRPr="001E34E3">
        <w:rPr>
          <w:sz w:val="36"/>
          <w:szCs w:val="36"/>
        </w:rPr>
        <w:lastRenderedPageBreak/>
        <w:t>Schedule 1</w:t>
      </w:r>
      <w:bookmarkEnd w:id="19"/>
      <w:bookmarkEnd w:id="20"/>
      <w:bookmarkEnd w:id="21"/>
    </w:p>
    <w:p w14:paraId="68657BF6" w14:textId="676EE53C" w:rsidR="00FE172F" w:rsidRPr="001E34E3" w:rsidRDefault="00565F17">
      <w:pPr>
        <w:keepNext/>
        <w:jc w:val="right"/>
        <w:rPr>
          <w:sz w:val="18"/>
          <w:szCs w:val="18"/>
        </w:rPr>
      </w:pPr>
      <w:r w:rsidRPr="001E34E3">
        <w:rPr>
          <w:sz w:val="18"/>
          <w:szCs w:val="18"/>
        </w:rPr>
        <w:t xml:space="preserve">cl </w:t>
      </w:r>
      <w:r w:rsidRPr="001E34E3">
        <w:rPr>
          <w:sz w:val="18"/>
          <w:szCs w:val="18"/>
        </w:rPr>
        <w:fldChar w:fldCharType="begin"/>
      </w:r>
      <w:r w:rsidRPr="001E34E3">
        <w:rPr>
          <w:sz w:val="18"/>
          <w:szCs w:val="18"/>
        </w:rPr>
        <w:instrText xml:space="preserve"> REF _Ref318357081 \r \h  \* MERGEFORMAT </w:instrText>
      </w:r>
      <w:r w:rsidRPr="001E34E3">
        <w:rPr>
          <w:sz w:val="18"/>
          <w:szCs w:val="18"/>
        </w:rPr>
      </w:r>
      <w:r w:rsidRPr="001E34E3">
        <w:rPr>
          <w:sz w:val="18"/>
          <w:szCs w:val="18"/>
        </w:rPr>
        <w:fldChar w:fldCharType="separate"/>
      </w:r>
      <w:r w:rsidR="00A36585">
        <w:rPr>
          <w:sz w:val="18"/>
          <w:szCs w:val="18"/>
        </w:rPr>
        <w:t>4</w:t>
      </w:r>
      <w:r w:rsidRPr="001E34E3">
        <w:rPr>
          <w:sz w:val="18"/>
          <w:szCs w:val="18"/>
        </w:rPr>
        <w:fldChar w:fldCharType="end"/>
      </w:r>
    </w:p>
    <w:p w14:paraId="18517964" w14:textId="5B82C80F" w:rsidR="00AF03C2" w:rsidRPr="001E34E3" w:rsidRDefault="00AF03C2" w:rsidP="00805E3F">
      <w:pPr>
        <w:pStyle w:val="Heading1"/>
        <w:spacing w:before="0"/>
        <w:jc w:val="center"/>
        <w:rPr>
          <w:sz w:val="36"/>
          <w:szCs w:val="36"/>
        </w:rPr>
      </w:pPr>
      <w:bookmarkStart w:id="22" w:name="_Toc126755567"/>
      <w:bookmarkStart w:id="23" w:name="_Toc349745256"/>
      <w:r w:rsidRPr="001E34E3">
        <w:rPr>
          <w:sz w:val="36"/>
          <w:szCs w:val="36"/>
        </w:rPr>
        <w:t>Amendments to direction</w:t>
      </w:r>
      <w:r w:rsidR="001B0493">
        <w:rPr>
          <w:sz w:val="36"/>
          <w:szCs w:val="36"/>
        </w:rPr>
        <w:t>s</w:t>
      </w:r>
      <w:bookmarkEnd w:id="22"/>
      <w:r w:rsidRPr="001E34E3">
        <w:rPr>
          <w:sz w:val="36"/>
          <w:szCs w:val="36"/>
        </w:rPr>
        <w:t xml:space="preserve"> </w:t>
      </w:r>
    </w:p>
    <w:p w14:paraId="6992837E" w14:textId="0C84A5F0" w:rsidR="0070398F" w:rsidRDefault="0070398F" w:rsidP="00567EB3">
      <w:pPr>
        <w:rPr>
          <w:b/>
        </w:rPr>
      </w:pPr>
      <w:bookmarkStart w:id="24" w:name="_Toc129664981"/>
      <w:bookmarkStart w:id="25" w:name="_Toc129686153"/>
      <w:bookmarkStart w:id="26" w:name="_Toc130014789"/>
      <w:bookmarkStart w:id="27" w:name="_Toc130100515"/>
      <w:bookmarkEnd w:id="23"/>
    </w:p>
    <w:p w14:paraId="57DE9837" w14:textId="3915810E" w:rsidR="00567EB3" w:rsidRDefault="00567EB3" w:rsidP="008F4832">
      <w:pPr>
        <w:rPr>
          <w:bCs/>
          <w:szCs w:val="23"/>
        </w:rPr>
      </w:pPr>
      <w:r w:rsidRPr="00EA1089">
        <w:rPr>
          <w:b/>
          <w:szCs w:val="23"/>
        </w:rPr>
        <w:t xml:space="preserve">Direction in relation to the Advance Payments of Instalments of Benefit </w:t>
      </w:r>
      <w:r w:rsidR="00803E41" w:rsidRPr="00EA1089">
        <w:rPr>
          <w:bCs/>
          <w:szCs w:val="23"/>
        </w:rPr>
        <w:t>(given on</w:t>
      </w:r>
      <w:r w:rsidR="003542E1" w:rsidRPr="00EA1089">
        <w:rPr>
          <w:bCs/>
          <w:szCs w:val="23"/>
        </w:rPr>
        <w:t xml:space="preserve"> 25 May 1999</w:t>
      </w:r>
      <w:r w:rsidR="00803E41" w:rsidRPr="00EA1089">
        <w:rPr>
          <w:bCs/>
          <w:szCs w:val="23"/>
        </w:rPr>
        <w:t>)</w:t>
      </w:r>
      <w:r w:rsidR="00803E41" w:rsidRPr="00EA1089">
        <w:rPr>
          <w:rStyle w:val="FootnoteReference"/>
          <w:bCs/>
          <w:szCs w:val="23"/>
        </w:rPr>
        <w:footnoteReference w:id="2"/>
      </w:r>
      <w:r w:rsidR="00803E41" w:rsidRPr="00EA1089">
        <w:rPr>
          <w:bCs/>
          <w:szCs w:val="23"/>
        </w:rPr>
        <w:t xml:space="preserve"> </w:t>
      </w:r>
    </w:p>
    <w:p w14:paraId="0C586E07" w14:textId="77777777" w:rsidR="0060326E" w:rsidRPr="00EA1089" w:rsidRDefault="0060326E" w:rsidP="008F4832">
      <w:pPr>
        <w:rPr>
          <w:b/>
          <w:szCs w:val="23"/>
        </w:rPr>
      </w:pPr>
    </w:p>
    <w:p w14:paraId="33C8C634" w14:textId="5D4071BE" w:rsidR="00803E41" w:rsidRPr="00EA1089" w:rsidRDefault="00803E41" w:rsidP="008F4832">
      <w:pPr>
        <w:rPr>
          <w:b/>
          <w:szCs w:val="23"/>
        </w:rPr>
      </w:pPr>
      <w:r w:rsidRPr="00EA1089">
        <w:rPr>
          <w:b/>
          <w:szCs w:val="23"/>
        </w:rPr>
        <w:t>Clause 2.4</w:t>
      </w:r>
    </w:p>
    <w:p w14:paraId="24F1CCE4" w14:textId="0C2826E5" w:rsidR="00803E41" w:rsidRPr="00EA1089" w:rsidRDefault="00803E41" w:rsidP="008F4832">
      <w:pPr>
        <w:rPr>
          <w:bCs/>
          <w:szCs w:val="23"/>
        </w:rPr>
      </w:pPr>
      <w:r w:rsidRPr="00EA1089">
        <w:rPr>
          <w:bCs/>
          <w:szCs w:val="23"/>
        </w:rPr>
        <w:t>In clause 2.4(a)</w:t>
      </w:r>
      <w:r w:rsidR="007B175B" w:rsidRPr="00EA1089">
        <w:rPr>
          <w:bCs/>
          <w:szCs w:val="23"/>
        </w:rPr>
        <w:t>,</w:t>
      </w:r>
      <w:r w:rsidRPr="00EA1089">
        <w:rPr>
          <w:bCs/>
          <w:szCs w:val="23"/>
        </w:rPr>
        <w:t xml:space="preserve"> replace “$</w:t>
      </w:r>
      <w:r w:rsidR="00146069" w:rsidRPr="00EA1089">
        <w:rPr>
          <w:bCs/>
          <w:szCs w:val="23"/>
        </w:rPr>
        <w:t>8</w:t>
      </w:r>
      <w:r w:rsidR="00DD5ADD">
        <w:rPr>
          <w:bCs/>
          <w:szCs w:val="23"/>
        </w:rPr>
        <w:t>54.30</w:t>
      </w:r>
      <w:r w:rsidRPr="00EA1089">
        <w:rPr>
          <w:bCs/>
          <w:szCs w:val="23"/>
        </w:rPr>
        <w:t>” with “</w:t>
      </w:r>
      <w:r w:rsidR="003C070F" w:rsidRPr="00EA1089">
        <w:rPr>
          <w:bCs/>
          <w:szCs w:val="23"/>
        </w:rPr>
        <w:t>$</w:t>
      </w:r>
      <w:r w:rsidR="00C5692E">
        <w:rPr>
          <w:bCs/>
          <w:szCs w:val="23"/>
        </w:rPr>
        <w:t>87</w:t>
      </w:r>
      <w:r w:rsidR="00DC77C8">
        <w:rPr>
          <w:bCs/>
          <w:szCs w:val="23"/>
        </w:rPr>
        <w:t>9</w:t>
      </w:r>
      <w:r w:rsidR="00C5692E">
        <w:rPr>
          <w:bCs/>
          <w:szCs w:val="23"/>
        </w:rPr>
        <w:t>.</w:t>
      </w:r>
      <w:r w:rsidR="00DC77C8">
        <w:rPr>
          <w:bCs/>
          <w:szCs w:val="23"/>
        </w:rPr>
        <w:t>17</w:t>
      </w:r>
      <w:r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35BBD5AD" w14:textId="02CAD4BE" w:rsidR="00803E41" w:rsidRPr="00EA1089" w:rsidRDefault="00803E41" w:rsidP="008F4832">
      <w:pPr>
        <w:rPr>
          <w:bCs/>
          <w:szCs w:val="23"/>
        </w:rPr>
      </w:pPr>
      <w:r w:rsidRPr="00EA1089">
        <w:rPr>
          <w:bCs/>
          <w:szCs w:val="23"/>
        </w:rPr>
        <w:t>In clause 2.4(b)</w:t>
      </w:r>
      <w:r w:rsidR="007B175B" w:rsidRPr="00EA1089">
        <w:rPr>
          <w:bCs/>
          <w:szCs w:val="23"/>
        </w:rPr>
        <w:t>,</w:t>
      </w:r>
      <w:r w:rsidRPr="00EA1089">
        <w:rPr>
          <w:bCs/>
          <w:szCs w:val="23"/>
        </w:rPr>
        <w:t xml:space="preserve"> replace “</w:t>
      </w:r>
      <w:r w:rsidR="001A3B4F" w:rsidRPr="00EA1089">
        <w:rPr>
          <w:bCs/>
          <w:szCs w:val="23"/>
        </w:rPr>
        <w:t>$</w:t>
      </w:r>
      <w:r w:rsidR="00146069" w:rsidRPr="00EA1089">
        <w:rPr>
          <w:szCs w:val="23"/>
        </w:rPr>
        <w:t>9</w:t>
      </w:r>
      <w:r w:rsidR="00DD5ADD">
        <w:rPr>
          <w:szCs w:val="23"/>
        </w:rPr>
        <w:t>81.83</w:t>
      </w:r>
      <w:r w:rsidRPr="00EA1089">
        <w:rPr>
          <w:bCs/>
          <w:szCs w:val="23"/>
        </w:rPr>
        <w:t>” with “</w:t>
      </w:r>
      <w:r w:rsidR="003C070F" w:rsidRPr="00EA1089">
        <w:rPr>
          <w:bCs/>
          <w:szCs w:val="23"/>
        </w:rPr>
        <w:t>$</w:t>
      </w:r>
      <w:r w:rsidR="0032364F">
        <w:rPr>
          <w:bCs/>
          <w:szCs w:val="23"/>
        </w:rPr>
        <w:t>1,0</w:t>
      </w:r>
      <w:r w:rsidR="005C7156">
        <w:rPr>
          <w:bCs/>
          <w:szCs w:val="23"/>
        </w:rPr>
        <w:t>10.41</w:t>
      </w:r>
      <w:r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6ED8301B" w14:textId="124941BF" w:rsidR="00803E41" w:rsidRPr="00EA1089" w:rsidRDefault="00803E41" w:rsidP="008F4832">
      <w:pPr>
        <w:rPr>
          <w:bCs/>
          <w:szCs w:val="23"/>
        </w:rPr>
      </w:pPr>
      <w:r w:rsidRPr="00EA1089">
        <w:rPr>
          <w:bCs/>
          <w:szCs w:val="23"/>
        </w:rPr>
        <w:t>In clause 2.4(c)</w:t>
      </w:r>
      <w:r w:rsidR="007B175B" w:rsidRPr="00EA1089">
        <w:rPr>
          <w:bCs/>
          <w:szCs w:val="23"/>
        </w:rPr>
        <w:t>,</w:t>
      </w:r>
      <w:r w:rsidRPr="00EA1089">
        <w:rPr>
          <w:bCs/>
          <w:szCs w:val="23"/>
        </w:rPr>
        <w:t xml:space="preserve"> replace “</w:t>
      </w:r>
      <w:r w:rsidR="001A3B4F" w:rsidRPr="00EA1089">
        <w:rPr>
          <w:bCs/>
          <w:szCs w:val="23"/>
        </w:rPr>
        <w:t>$</w:t>
      </w:r>
      <w:r w:rsidR="00146069" w:rsidRPr="00EA1089">
        <w:rPr>
          <w:szCs w:val="23"/>
        </w:rPr>
        <w:t>1,</w:t>
      </w:r>
      <w:r w:rsidR="00DD5ADD">
        <w:rPr>
          <w:szCs w:val="23"/>
        </w:rPr>
        <w:t>426.10</w:t>
      </w:r>
      <w:r w:rsidRPr="00EA1089">
        <w:rPr>
          <w:bCs/>
          <w:szCs w:val="23"/>
        </w:rPr>
        <w:t>” with “</w:t>
      </w:r>
      <w:r w:rsidR="003C070F" w:rsidRPr="00EA1089">
        <w:rPr>
          <w:bCs/>
          <w:szCs w:val="23"/>
        </w:rPr>
        <w:t>$</w:t>
      </w:r>
      <w:r w:rsidR="0032364F">
        <w:rPr>
          <w:bCs/>
          <w:szCs w:val="23"/>
        </w:rPr>
        <w:t>1,4</w:t>
      </w:r>
      <w:r w:rsidR="00BA6B96">
        <w:rPr>
          <w:bCs/>
          <w:szCs w:val="23"/>
        </w:rPr>
        <w:t>67.61</w:t>
      </w:r>
      <w:r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76E6F005" w14:textId="0BFD3607" w:rsidR="00803E41" w:rsidRPr="00EA1089" w:rsidRDefault="00803E41" w:rsidP="008F4832">
      <w:pPr>
        <w:rPr>
          <w:bCs/>
          <w:szCs w:val="23"/>
        </w:rPr>
      </w:pPr>
      <w:r w:rsidRPr="00EA1089">
        <w:rPr>
          <w:bCs/>
          <w:szCs w:val="23"/>
        </w:rPr>
        <w:t>In clause 2.4(d)</w:t>
      </w:r>
      <w:r w:rsidR="007B175B" w:rsidRPr="00EA1089">
        <w:rPr>
          <w:bCs/>
          <w:szCs w:val="23"/>
        </w:rPr>
        <w:t>,</w:t>
      </w:r>
      <w:r w:rsidRPr="00EA1089">
        <w:rPr>
          <w:bCs/>
          <w:szCs w:val="23"/>
        </w:rPr>
        <w:t xml:space="preserve"> replace “</w:t>
      </w:r>
      <w:r w:rsidR="001A3B4F" w:rsidRPr="00EA1089">
        <w:rPr>
          <w:bCs/>
          <w:szCs w:val="23"/>
        </w:rPr>
        <w:t>$</w:t>
      </w:r>
      <w:r w:rsidR="00146069" w:rsidRPr="00EA1089">
        <w:rPr>
          <w:szCs w:val="23"/>
        </w:rPr>
        <w:t>1,</w:t>
      </w:r>
      <w:r w:rsidR="00DD5ADD">
        <w:rPr>
          <w:szCs w:val="23"/>
        </w:rPr>
        <w:t>191.41</w:t>
      </w:r>
      <w:r w:rsidRPr="00EA1089">
        <w:rPr>
          <w:bCs/>
          <w:szCs w:val="23"/>
        </w:rPr>
        <w:t>” with “</w:t>
      </w:r>
      <w:r w:rsidR="003C070F" w:rsidRPr="00EA1089">
        <w:rPr>
          <w:bCs/>
          <w:szCs w:val="23"/>
        </w:rPr>
        <w:t>$</w:t>
      </w:r>
      <w:r w:rsidR="0032364F">
        <w:rPr>
          <w:bCs/>
          <w:szCs w:val="23"/>
        </w:rPr>
        <w:t>1,2</w:t>
      </w:r>
      <w:r w:rsidR="00BA6B96">
        <w:rPr>
          <w:bCs/>
          <w:szCs w:val="23"/>
        </w:rPr>
        <w:t>26.09</w:t>
      </w:r>
      <w:r w:rsidR="00EF5678" w:rsidRPr="00EA1089">
        <w:rPr>
          <w:bCs/>
          <w:szCs w:val="23"/>
        </w:rPr>
        <w:t>”.</w:t>
      </w:r>
    </w:p>
    <w:p w14:paraId="03581FE3" w14:textId="1FA3E732" w:rsidR="00803E41" w:rsidRPr="00EA1089" w:rsidRDefault="00803E41" w:rsidP="008F4832">
      <w:pPr>
        <w:rPr>
          <w:bCs/>
          <w:szCs w:val="23"/>
        </w:rPr>
      </w:pPr>
      <w:r w:rsidRPr="00EA1089">
        <w:rPr>
          <w:bCs/>
          <w:szCs w:val="23"/>
        </w:rPr>
        <w:t>In clause 2.4(e)</w:t>
      </w:r>
      <w:r w:rsidR="007B175B" w:rsidRPr="00EA1089">
        <w:rPr>
          <w:bCs/>
          <w:szCs w:val="23"/>
        </w:rPr>
        <w:t>,</w:t>
      </w:r>
      <w:r w:rsidRPr="00EA1089">
        <w:rPr>
          <w:bCs/>
          <w:szCs w:val="23"/>
        </w:rPr>
        <w:t xml:space="preserve"> replace “</w:t>
      </w:r>
      <w:r w:rsidR="001A3B4F" w:rsidRPr="00EA1089">
        <w:rPr>
          <w:bCs/>
          <w:szCs w:val="23"/>
        </w:rPr>
        <w:t>$</w:t>
      </w:r>
      <w:r w:rsidR="00146069" w:rsidRPr="00EA1089">
        <w:rPr>
          <w:szCs w:val="23"/>
        </w:rPr>
        <w:t>1,2</w:t>
      </w:r>
      <w:r w:rsidR="00DD5ADD">
        <w:rPr>
          <w:szCs w:val="23"/>
        </w:rPr>
        <w:t>55.22</w:t>
      </w:r>
      <w:r w:rsidRPr="00EA1089">
        <w:rPr>
          <w:bCs/>
          <w:szCs w:val="23"/>
        </w:rPr>
        <w:t>” with “</w:t>
      </w:r>
      <w:r w:rsidR="003C070F" w:rsidRPr="00EA1089">
        <w:rPr>
          <w:bCs/>
          <w:szCs w:val="23"/>
        </w:rPr>
        <w:t>$</w:t>
      </w:r>
      <w:r w:rsidR="0003021B">
        <w:rPr>
          <w:bCs/>
          <w:szCs w:val="23"/>
        </w:rPr>
        <w:t>1,2</w:t>
      </w:r>
      <w:r w:rsidR="00BA6B96">
        <w:rPr>
          <w:bCs/>
          <w:szCs w:val="23"/>
        </w:rPr>
        <w:t>91.75</w:t>
      </w:r>
      <w:r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20988195" w14:textId="25B62CBD" w:rsidR="00750837" w:rsidRPr="00EA1089" w:rsidRDefault="00750837" w:rsidP="008F4832">
      <w:pPr>
        <w:rPr>
          <w:bCs/>
          <w:szCs w:val="23"/>
        </w:rPr>
      </w:pPr>
    </w:p>
    <w:p w14:paraId="1D140CF2" w14:textId="75680356" w:rsidR="001C148F" w:rsidRDefault="001C148F" w:rsidP="008F4832">
      <w:pPr>
        <w:jc w:val="both"/>
        <w:rPr>
          <w:b/>
          <w:szCs w:val="23"/>
        </w:rPr>
      </w:pPr>
      <w:r>
        <w:rPr>
          <w:b/>
          <w:szCs w:val="23"/>
        </w:rPr>
        <w:t xml:space="preserve">Direction setting approval criteria for specified early childhood education programmes for purposes of social obligations under the Social Security Act 2018 </w:t>
      </w:r>
      <w:r w:rsidRPr="0072505F">
        <w:rPr>
          <w:bCs/>
          <w:szCs w:val="23"/>
        </w:rPr>
        <w:t>(given on 24 June 2013)</w:t>
      </w:r>
      <w:r>
        <w:rPr>
          <w:rStyle w:val="FootnoteReference"/>
          <w:bCs/>
          <w:szCs w:val="23"/>
        </w:rPr>
        <w:footnoteReference w:id="3"/>
      </w:r>
    </w:p>
    <w:p w14:paraId="361A2903" w14:textId="77777777" w:rsidR="001C148F" w:rsidRDefault="001C148F" w:rsidP="008F4832">
      <w:pPr>
        <w:jc w:val="both"/>
        <w:rPr>
          <w:b/>
          <w:szCs w:val="23"/>
        </w:rPr>
      </w:pPr>
    </w:p>
    <w:p w14:paraId="59D5590D" w14:textId="7D197C85" w:rsidR="001C148F" w:rsidRDefault="001C148F" w:rsidP="008F4832">
      <w:pPr>
        <w:jc w:val="both"/>
        <w:rPr>
          <w:b/>
          <w:szCs w:val="23"/>
        </w:rPr>
      </w:pPr>
      <w:r w:rsidRPr="0011084F">
        <w:rPr>
          <w:b/>
          <w:szCs w:val="23"/>
        </w:rPr>
        <w:t>Clause 3(1)</w:t>
      </w:r>
      <w:r w:rsidRPr="002A04D4">
        <w:rPr>
          <w:b/>
          <w:szCs w:val="23"/>
        </w:rPr>
        <w:t xml:space="preserve"> </w:t>
      </w:r>
    </w:p>
    <w:p w14:paraId="18B23E7C" w14:textId="1982135C" w:rsidR="001C148F" w:rsidRDefault="001C148F" w:rsidP="008F4832">
      <w:pPr>
        <w:jc w:val="both"/>
        <w:rPr>
          <w:bCs/>
          <w:szCs w:val="23"/>
        </w:rPr>
      </w:pPr>
      <w:r w:rsidRPr="0011084F">
        <w:rPr>
          <w:bCs/>
          <w:szCs w:val="23"/>
        </w:rPr>
        <w:t xml:space="preserve">In clause 3(1), in the definition for “ECE”, replace “2019” with “2018”. </w:t>
      </w:r>
    </w:p>
    <w:p w14:paraId="782A9BAB" w14:textId="77777777" w:rsidR="001C148F" w:rsidRDefault="001C148F" w:rsidP="008F4832">
      <w:pPr>
        <w:jc w:val="both"/>
        <w:rPr>
          <w:bCs/>
          <w:szCs w:val="23"/>
        </w:rPr>
      </w:pPr>
    </w:p>
    <w:p w14:paraId="7D48441F" w14:textId="5A6FA68B" w:rsidR="001C148F" w:rsidRDefault="001C148F" w:rsidP="008F4832">
      <w:pPr>
        <w:jc w:val="both"/>
        <w:rPr>
          <w:bCs/>
          <w:szCs w:val="23"/>
        </w:rPr>
      </w:pPr>
      <w:r w:rsidRPr="0011084F">
        <w:rPr>
          <w:b/>
          <w:szCs w:val="23"/>
        </w:rPr>
        <w:t>Ministerial Direction on Debt Recovery</w:t>
      </w:r>
      <w:r>
        <w:rPr>
          <w:bCs/>
          <w:szCs w:val="23"/>
        </w:rPr>
        <w:t xml:space="preserve"> (given on 30 June 2014)</w:t>
      </w:r>
      <w:r w:rsidR="00467DA1">
        <w:rPr>
          <w:rStyle w:val="FootnoteReference"/>
          <w:bCs/>
          <w:szCs w:val="23"/>
        </w:rPr>
        <w:footnoteReference w:id="4"/>
      </w:r>
    </w:p>
    <w:p w14:paraId="15E797ED" w14:textId="77777777" w:rsidR="001C148F" w:rsidRDefault="001C148F" w:rsidP="008F4832">
      <w:pPr>
        <w:jc w:val="both"/>
        <w:rPr>
          <w:bCs/>
          <w:szCs w:val="23"/>
        </w:rPr>
      </w:pPr>
    </w:p>
    <w:p w14:paraId="71C5B457" w14:textId="788B7008" w:rsidR="00467DA1" w:rsidRPr="0072505F" w:rsidRDefault="00467DA1" w:rsidP="008F4832">
      <w:pPr>
        <w:jc w:val="both"/>
        <w:rPr>
          <w:b/>
          <w:szCs w:val="23"/>
        </w:rPr>
      </w:pPr>
      <w:r w:rsidRPr="0072505F">
        <w:rPr>
          <w:b/>
          <w:szCs w:val="23"/>
        </w:rPr>
        <w:t xml:space="preserve">Clause 3 </w:t>
      </w:r>
    </w:p>
    <w:p w14:paraId="7756EF4F" w14:textId="17318FC4" w:rsidR="00467DA1" w:rsidRDefault="00467DA1" w:rsidP="008F4832">
      <w:pPr>
        <w:jc w:val="both"/>
        <w:rPr>
          <w:bCs/>
          <w:szCs w:val="23"/>
        </w:rPr>
      </w:pPr>
      <w:r>
        <w:rPr>
          <w:bCs/>
          <w:szCs w:val="23"/>
        </w:rPr>
        <w:t xml:space="preserve">In clause 3, </w:t>
      </w:r>
      <w:r w:rsidR="00BD7727">
        <w:rPr>
          <w:bCs/>
          <w:szCs w:val="23"/>
        </w:rPr>
        <w:t>in</w:t>
      </w:r>
      <w:r>
        <w:rPr>
          <w:bCs/>
          <w:szCs w:val="23"/>
        </w:rPr>
        <w:t xml:space="preserve"> the definition of “allowance” replace “section 302 of the Education Act 1989” with “section 10</w:t>
      </w:r>
      <w:r w:rsidR="00BD7727">
        <w:rPr>
          <w:bCs/>
          <w:szCs w:val="23"/>
        </w:rPr>
        <w:t>(1)</w:t>
      </w:r>
      <w:r>
        <w:rPr>
          <w:bCs/>
          <w:szCs w:val="23"/>
        </w:rPr>
        <w:t xml:space="preserve"> of the Education and Training Act 2020”. </w:t>
      </w:r>
    </w:p>
    <w:p w14:paraId="6F92A74F" w14:textId="77777777" w:rsidR="00467DA1" w:rsidRDefault="00467DA1" w:rsidP="008F4832">
      <w:pPr>
        <w:jc w:val="both"/>
        <w:rPr>
          <w:bCs/>
          <w:szCs w:val="23"/>
        </w:rPr>
      </w:pPr>
    </w:p>
    <w:p w14:paraId="10A592DA" w14:textId="63651530" w:rsidR="00467DA1" w:rsidRDefault="00467DA1" w:rsidP="008F4832">
      <w:pPr>
        <w:jc w:val="both"/>
        <w:rPr>
          <w:bCs/>
          <w:szCs w:val="23"/>
        </w:rPr>
      </w:pPr>
      <w:r>
        <w:rPr>
          <w:bCs/>
          <w:szCs w:val="23"/>
        </w:rPr>
        <w:t xml:space="preserve">In clause 3, </w:t>
      </w:r>
      <w:r w:rsidR="00BD7727">
        <w:rPr>
          <w:bCs/>
          <w:szCs w:val="23"/>
        </w:rPr>
        <w:t>in</w:t>
      </w:r>
      <w:r>
        <w:rPr>
          <w:bCs/>
          <w:szCs w:val="23"/>
        </w:rPr>
        <w:t xml:space="preserve"> the definition of “student loan</w:t>
      </w:r>
      <w:r w:rsidR="009441C3">
        <w:rPr>
          <w:bCs/>
          <w:szCs w:val="23"/>
        </w:rPr>
        <w:t>”</w:t>
      </w:r>
      <w:r>
        <w:rPr>
          <w:bCs/>
          <w:szCs w:val="23"/>
        </w:rPr>
        <w:t xml:space="preserve">, replace “section 302 of the Education Act 1989” with “Schedule 9, clause </w:t>
      </w:r>
      <w:r w:rsidR="009441C3">
        <w:rPr>
          <w:bCs/>
          <w:szCs w:val="23"/>
        </w:rPr>
        <w:t>1</w:t>
      </w:r>
      <w:r>
        <w:rPr>
          <w:bCs/>
          <w:szCs w:val="23"/>
        </w:rPr>
        <w:t xml:space="preserve"> of the Education and Training Act 2020”.  </w:t>
      </w:r>
    </w:p>
    <w:p w14:paraId="5C1C5398" w14:textId="77777777" w:rsidR="00B8716D" w:rsidRDefault="00B8716D" w:rsidP="008F4832">
      <w:pPr>
        <w:jc w:val="both"/>
        <w:rPr>
          <w:bCs/>
          <w:szCs w:val="23"/>
        </w:rPr>
      </w:pPr>
    </w:p>
    <w:p w14:paraId="456ECA09" w14:textId="5ED496A4" w:rsidR="00B8716D" w:rsidRPr="0072505F" w:rsidRDefault="00B8716D" w:rsidP="008F4832">
      <w:pPr>
        <w:jc w:val="both"/>
        <w:rPr>
          <w:b/>
          <w:szCs w:val="23"/>
        </w:rPr>
      </w:pPr>
      <w:r w:rsidRPr="0072505F">
        <w:rPr>
          <w:b/>
          <w:szCs w:val="23"/>
        </w:rPr>
        <w:t>Clause 6(11)</w:t>
      </w:r>
    </w:p>
    <w:p w14:paraId="0C2EC090" w14:textId="498362DF" w:rsidR="00B8716D" w:rsidRDefault="00B8716D" w:rsidP="008F4832">
      <w:pPr>
        <w:jc w:val="both"/>
        <w:rPr>
          <w:bCs/>
          <w:szCs w:val="23"/>
        </w:rPr>
      </w:pPr>
      <w:r>
        <w:rPr>
          <w:bCs/>
          <w:szCs w:val="23"/>
        </w:rPr>
        <w:t>In clause 6(11), in the definition of “debt”,</w:t>
      </w:r>
      <w:r w:rsidR="00E27B70">
        <w:rPr>
          <w:bCs/>
          <w:szCs w:val="23"/>
        </w:rPr>
        <w:t xml:space="preserve"> in paragraph (</w:t>
      </w:r>
      <w:r w:rsidR="005215EC">
        <w:rPr>
          <w:bCs/>
          <w:szCs w:val="23"/>
        </w:rPr>
        <w:t>b)</w:t>
      </w:r>
      <w:r>
        <w:rPr>
          <w:bCs/>
          <w:szCs w:val="23"/>
        </w:rPr>
        <w:t xml:space="preserve"> replace “section 307B(2)(c) of the Education Act 1989” with “Schedule 9, clause 6(2)(e) of the Education and Training Act 2020”. </w:t>
      </w:r>
    </w:p>
    <w:p w14:paraId="464E3A48" w14:textId="77777777" w:rsidR="00F4707A" w:rsidRDefault="00F4707A" w:rsidP="008F4832">
      <w:pPr>
        <w:jc w:val="both"/>
        <w:rPr>
          <w:b/>
          <w:szCs w:val="23"/>
        </w:rPr>
      </w:pPr>
    </w:p>
    <w:p w14:paraId="77DAE1EA" w14:textId="6ED5E272" w:rsidR="001C148F" w:rsidRPr="0072505F" w:rsidRDefault="00750837" w:rsidP="008F4832">
      <w:pPr>
        <w:jc w:val="both"/>
        <w:rPr>
          <w:szCs w:val="23"/>
        </w:rPr>
      </w:pPr>
      <w:r w:rsidRPr="00EA1089">
        <w:rPr>
          <w:b/>
          <w:szCs w:val="23"/>
        </w:rPr>
        <w:t xml:space="preserve">Direction in relation to Special Benefit </w:t>
      </w:r>
      <w:r w:rsidRPr="00EA1089">
        <w:rPr>
          <w:szCs w:val="23"/>
        </w:rPr>
        <w:t>(given on 10 February 1999)</w:t>
      </w:r>
      <w:r w:rsidRPr="00EA1089">
        <w:rPr>
          <w:rStyle w:val="FootnoteReference"/>
          <w:szCs w:val="23"/>
        </w:rPr>
        <w:footnoteReference w:id="5"/>
      </w:r>
    </w:p>
    <w:p w14:paraId="79648F8F" w14:textId="77777777" w:rsidR="001D3381" w:rsidRPr="00EA1089" w:rsidRDefault="001D3381" w:rsidP="008F4832">
      <w:pPr>
        <w:jc w:val="both"/>
        <w:rPr>
          <w:b/>
          <w:szCs w:val="23"/>
        </w:rPr>
      </w:pPr>
    </w:p>
    <w:p w14:paraId="66F2AC17" w14:textId="19A8BCED" w:rsidR="00750837" w:rsidRPr="00EA1089" w:rsidRDefault="00750837" w:rsidP="008F4832">
      <w:pPr>
        <w:jc w:val="both"/>
        <w:rPr>
          <w:b/>
          <w:szCs w:val="23"/>
        </w:rPr>
      </w:pPr>
      <w:r w:rsidRPr="00EA1089">
        <w:rPr>
          <w:b/>
          <w:szCs w:val="23"/>
        </w:rPr>
        <w:t>Schedule</w:t>
      </w:r>
    </w:p>
    <w:p w14:paraId="06C0E32C" w14:textId="3CDCAF9D" w:rsidR="00750837" w:rsidRPr="00EA1089" w:rsidRDefault="00750837" w:rsidP="008F4832">
      <w:pPr>
        <w:jc w:val="both"/>
        <w:rPr>
          <w:szCs w:val="23"/>
        </w:rPr>
      </w:pPr>
      <w:r w:rsidRPr="00EA1089">
        <w:rPr>
          <w:szCs w:val="23"/>
        </w:rPr>
        <w:t xml:space="preserve">In each provision of </w:t>
      </w:r>
      <w:r w:rsidR="00D14A2B" w:rsidRPr="00EA1089">
        <w:rPr>
          <w:szCs w:val="23"/>
        </w:rPr>
        <w:t>Part</w:t>
      </w:r>
      <w:r w:rsidR="00191B20" w:rsidRPr="00EA1089">
        <w:rPr>
          <w:szCs w:val="23"/>
        </w:rPr>
        <w:t xml:space="preserve"> 1 of </w:t>
      </w:r>
      <w:r w:rsidRPr="00EA1089">
        <w:rPr>
          <w:szCs w:val="23"/>
        </w:rPr>
        <w:t xml:space="preserve">the Schedule listed in the first column of the following table, replace the expression set out in the second column with the expression set out in </w:t>
      </w:r>
      <w:r w:rsidR="004C16AB" w:rsidRPr="00EA1089">
        <w:rPr>
          <w:szCs w:val="23"/>
        </w:rPr>
        <w:t xml:space="preserve">the </w:t>
      </w:r>
      <w:r w:rsidRPr="00EA1089">
        <w:rPr>
          <w:szCs w:val="23"/>
        </w:rPr>
        <w:t xml:space="preserve">third column. </w:t>
      </w:r>
    </w:p>
    <w:p w14:paraId="30D7C948" w14:textId="77777777" w:rsidR="00750837" w:rsidRPr="00EA1089" w:rsidRDefault="00750837" w:rsidP="008F4832">
      <w:pPr>
        <w:jc w:val="both"/>
        <w:rPr>
          <w:i/>
          <w:szCs w:val="23"/>
        </w:rPr>
      </w:pPr>
    </w:p>
    <w:tbl>
      <w:tblPr>
        <w:tblW w:w="6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2485"/>
        <w:gridCol w:w="2659"/>
      </w:tblGrid>
      <w:tr w:rsidR="00750837" w:rsidRPr="00EA1089" w14:paraId="5BA2078E" w14:textId="77777777">
        <w:trPr>
          <w:tblHeader/>
        </w:trPr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18EC5" w14:textId="77777777" w:rsidR="00750837" w:rsidRPr="00EA1089" w:rsidRDefault="00750837" w:rsidP="008F4832">
            <w:pPr>
              <w:keepNext/>
              <w:jc w:val="center"/>
              <w:rPr>
                <w:b/>
                <w:szCs w:val="23"/>
              </w:rPr>
            </w:pPr>
            <w:r w:rsidRPr="00EA1089">
              <w:rPr>
                <w:b/>
                <w:szCs w:val="23"/>
              </w:rPr>
              <w:t>Column 1</w:t>
            </w:r>
          </w:p>
          <w:p w14:paraId="10DEFD93" w14:textId="77777777" w:rsidR="00750837" w:rsidRPr="00EA1089" w:rsidRDefault="00750837" w:rsidP="008F4832">
            <w:pPr>
              <w:keepNext/>
              <w:jc w:val="center"/>
              <w:rPr>
                <w:b/>
                <w:szCs w:val="23"/>
              </w:rPr>
            </w:pPr>
            <w:r w:rsidRPr="00EA1089">
              <w:rPr>
                <w:b/>
                <w:szCs w:val="23"/>
              </w:rPr>
              <w:t>Provision amended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BA5B" w14:textId="77777777" w:rsidR="00750837" w:rsidRPr="00EA1089" w:rsidRDefault="00750837" w:rsidP="008F4832">
            <w:pPr>
              <w:keepNext/>
              <w:jc w:val="center"/>
              <w:rPr>
                <w:b/>
                <w:szCs w:val="23"/>
              </w:rPr>
            </w:pPr>
            <w:r w:rsidRPr="00EA1089">
              <w:rPr>
                <w:b/>
                <w:szCs w:val="23"/>
              </w:rPr>
              <w:t>Column 2</w:t>
            </w:r>
          </w:p>
          <w:p w14:paraId="44A4199D" w14:textId="77777777" w:rsidR="00750837" w:rsidRPr="00EA1089" w:rsidRDefault="00750837" w:rsidP="008F4832">
            <w:pPr>
              <w:keepNext/>
              <w:jc w:val="center"/>
              <w:rPr>
                <w:b/>
                <w:szCs w:val="23"/>
              </w:rPr>
            </w:pPr>
            <w:r w:rsidRPr="00EA1089">
              <w:rPr>
                <w:b/>
                <w:szCs w:val="23"/>
              </w:rPr>
              <w:t>Expressions replaced</w:t>
            </w:r>
          </w:p>
          <w:p w14:paraId="66776CBB" w14:textId="77777777" w:rsidR="00750837" w:rsidRPr="00EA1089" w:rsidRDefault="00750837" w:rsidP="008F4832">
            <w:pPr>
              <w:keepNext/>
              <w:jc w:val="center"/>
              <w:rPr>
                <w:b/>
                <w:szCs w:val="23"/>
              </w:rPr>
            </w:pPr>
            <w:r w:rsidRPr="00EA1089">
              <w:rPr>
                <w:b/>
                <w:szCs w:val="23"/>
              </w:rPr>
              <w:t>$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333D4" w14:textId="77777777" w:rsidR="00750837" w:rsidRPr="00EA1089" w:rsidRDefault="00750837" w:rsidP="008F4832">
            <w:pPr>
              <w:keepNext/>
              <w:jc w:val="center"/>
              <w:rPr>
                <w:b/>
                <w:szCs w:val="23"/>
              </w:rPr>
            </w:pPr>
            <w:r w:rsidRPr="00EA1089">
              <w:rPr>
                <w:b/>
                <w:szCs w:val="23"/>
              </w:rPr>
              <w:t>Column 3</w:t>
            </w:r>
          </w:p>
          <w:p w14:paraId="40380317" w14:textId="77777777" w:rsidR="00750837" w:rsidRPr="00EA1089" w:rsidRDefault="00750837" w:rsidP="008F4832">
            <w:pPr>
              <w:keepNext/>
              <w:jc w:val="center"/>
              <w:rPr>
                <w:b/>
                <w:szCs w:val="23"/>
              </w:rPr>
            </w:pPr>
            <w:r w:rsidRPr="00EA1089">
              <w:rPr>
                <w:b/>
                <w:szCs w:val="23"/>
              </w:rPr>
              <w:t>Replacement expressions</w:t>
            </w:r>
          </w:p>
          <w:p w14:paraId="3FDB503D" w14:textId="77777777" w:rsidR="00750837" w:rsidRPr="00EA1089" w:rsidRDefault="00750837" w:rsidP="008F4832">
            <w:pPr>
              <w:keepNext/>
              <w:jc w:val="center"/>
              <w:rPr>
                <w:b/>
                <w:szCs w:val="23"/>
              </w:rPr>
            </w:pPr>
            <w:r w:rsidRPr="00EA1089">
              <w:rPr>
                <w:b/>
                <w:szCs w:val="23"/>
              </w:rPr>
              <w:t>$</w:t>
            </w:r>
          </w:p>
        </w:tc>
      </w:tr>
      <w:tr w:rsidR="00F31D06" w:rsidRPr="00EA1089" w14:paraId="293E42D6" w14:textId="77777777"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08B2CB" w14:textId="77777777" w:rsidR="00F31D06" w:rsidRPr="00EA1089" w:rsidRDefault="00F31D06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1(a)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FF847" w14:textId="12F83FDD" w:rsidR="00F31D06" w:rsidRPr="00EA1089" w:rsidRDefault="00146069" w:rsidP="008F4832">
            <w:pPr>
              <w:tabs>
                <w:tab w:val="decimal" w:pos="1101"/>
              </w:tabs>
              <w:rPr>
                <w:szCs w:val="23"/>
              </w:rPr>
            </w:pPr>
            <w:r w:rsidRPr="00EA1089">
              <w:rPr>
                <w:szCs w:val="23"/>
              </w:rPr>
              <w:t>11</w:t>
            </w:r>
            <w:r w:rsidR="00DD5ADD">
              <w:rPr>
                <w:szCs w:val="23"/>
              </w:rPr>
              <w:t>6.92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A4903D" w14:textId="58B6CED6" w:rsidR="00F31D06" w:rsidRPr="00EA1089" w:rsidRDefault="00D80686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120.55</w:t>
            </w:r>
          </w:p>
        </w:tc>
      </w:tr>
      <w:tr w:rsidR="00B321FA" w:rsidRPr="00EA1089" w14:paraId="41F6A2B8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6DAF1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lastRenderedPageBreak/>
              <w:t>Clause 1(b)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A292A" w14:textId="734A19D1" w:rsidR="00B321FA" w:rsidRPr="00EA1089" w:rsidRDefault="00146069" w:rsidP="008F4832">
            <w:pPr>
              <w:tabs>
                <w:tab w:val="decimal" w:pos="1101"/>
              </w:tabs>
              <w:rPr>
                <w:szCs w:val="23"/>
              </w:rPr>
            </w:pPr>
            <w:r w:rsidRPr="00EA1089">
              <w:rPr>
                <w:szCs w:val="23"/>
              </w:rPr>
              <w:t>1</w:t>
            </w:r>
            <w:r w:rsidR="00DD5ADD">
              <w:rPr>
                <w:szCs w:val="23"/>
              </w:rPr>
              <w:t>62.98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A1364" w14:textId="3F04D62A" w:rsidR="00B321FA" w:rsidRPr="00EA1089" w:rsidRDefault="00A56E5B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168.05</w:t>
            </w:r>
          </w:p>
        </w:tc>
      </w:tr>
      <w:tr w:rsidR="00B321FA" w:rsidRPr="00EA1089" w14:paraId="5FF8128C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D39F2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1(c)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4CF3C" w14:textId="573D53F6" w:rsidR="00B321FA" w:rsidRPr="00EA1089" w:rsidRDefault="00DD5ADD" w:rsidP="008F4832">
            <w:pPr>
              <w:tabs>
                <w:tab w:val="decimal" w:pos="1101"/>
              </w:tabs>
              <w:rPr>
                <w:szCs w:val="23"/>
              </w:rPr>
            </w:pPr>
            <w:r>
              <w:rPr>
                <w:szCs w:val="23"/>
              </w:rPr>
              <w:t>305.80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EEDDD" w14:textId="58D09BF9" w:rsidR="00B321FA" w:rsidRPr="00EA1089" w:rsidRDefault="00A56E5B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315.30</w:t>
            </w:r>
          </w:p>
        </w:tc>
      </w:tr>
      <w:tr w:rsidR="00B321FA" w:rsidRPr="00EA1089" w14:paraId="7AAE25D5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C67D7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4(a)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87AEB" w14:textId="3FCBEA0F" w:rsidR="00B321FA" w:rsidRPr="00EA1089" w:rsidRDefault="00146069" w:rsidP="008F4832">
            <w:pPr>
              <w:tabs>
                <w:tab w:val="decimal" w:pos="1101"/>
              </w:tabs>
              <w:rPr>
                <w:szCs w:val="23"/>
              </w:rPr>
            </w:pPr>
            <w:r w:rsidRPr="00EA1089">
              <w:rPr>
                <w:szCs w:val="23"/>
              </w:rPr>
              <w:t>1</w:t>
            </w:r>
            <w:r w:rsidR="00DD5ADD">
              <w:rPr>
                <w:szCs w:val="23"/>
              </w:rPr>
              <w:t>55.80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08513" w14:textId="5074DDE0" w:rsidR="00B321FA" w:rsidRPr="00EA1089" w:rsidRDefault="00364549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160.</w:t>
            </w:r>
            <w:r w:rsidR="00872BD0">
              <w:rPr>
                <w:szCs w:val="23"/>
              </w:rPr>
              <w:t>64</w:t>
            </w:r>
          </w:p>
        </w:tc>
      </w:tr>
      <w:tr w:rsidR="00B321FA" w:rsidRPr="00EA1089" w14:paraId="28CC019A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E46DB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4(b)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0F762" w14:textId="12BB98D5" w:rsidR="00B321FA" w:rsidRPr="00EA1089" w:rsidRDefault="00146069" w:rsidP="008F4832">
            <w:pPr>
              <w:tabs>
                <w:tab w:val="decimal" w:pos="1101"/>
              </w:tabs>
              <w:rPr>
                <w:szCs w:val="23"/>
              </w:rPr>
            </w:pPr>
            <w:r w:rsidRPr="00EA1089">
              <w:rPr>
                <w:szCs w:val="23"/>
              </w:rPr>
              <w:t>2</w:t>
            </w:r>
            <w:r w:rsidR="00DD5ADD">
              <w:rPr>
                <w:szCs w:val="23"/>
              </w:rPr>
              <w:t>21.11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F2A72" w14:textId="326AB71B" w:rsidR="00B321FA" w:rsidRPr="00EA1089" w:rsidRDefault="00364549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227.98</w:t>
            </w:r>
          </w:p>
        </w:tc>
      </w:tr>
      <w:tr w:rsidR="00B321FA" w:rsidRPr="00EA1089" w14:paraId="7FE29D14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62E8A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4(c)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42373" w14:textId="50323A9D" w:rsidR="00B321FA" w:rsidRPr="00EA1089" w:rsidRDefault="00DD5ADD" w:rsidP="008F4832">
            <w:pPr>
              <w:tabs>
                <w:tab w:val="decimal" w:pos="1101"/>
              </w:tabs>
              <w:rPr>
                <w:szCs w:val="23"/>
              </w:rPr>
            </w:pPr>
            <w:r>
              <w:rPr>
                <w:szCs w:val="23"/>
              </w:rPr>
              <w:t>403.38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0B8EA" w14:textId="0C158EFE" w:rsidR="00B321FA" w:rsidRPr="00EA1089" w:rsidRDefault="00364549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415.92</w:t>
            </w:r>
          </w:p>
        </w:tc>
      </w:tr>
      <w:tr w:rsidR="00B321FA" w:rsidRPr="00EA1089" w14:paraId="345F82AB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111AF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5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04583" w14:textId="6F356F58" w:rsidR="00B321FA" w:rsidRPr="00EA1089" w:rsidRDefault="003668D9" w:rsidP="008F4832">
            <w:pPr>
              <w:tabs>
                <w:tab w:val="decimal" w:pos="1101"/>
              </w:tabs>
              <w:rPr>
                <w:szCs w:val="23"/>
              </w:rPr>
            </w:pPr>
            <w:r w:rsidRPr="00EA1089">
              <w:rPr>
                <w:szCs w:val="23"/>
              </w:rPr>
              <w:t>1</w:t>
            </w:r>
            <w:r w:rsidR="00DD5ADD">
              <w:rPr>
                <w:szCs w:val="23"/>
              </w:rPr>
              <w:t>72.28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76B63" w14:textId="7D7AC247" w:rsidR="00B321FA" w:rsidRPr="00EA1089" w:rsidRDefault="00BB24E6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177.63</w:t>
            </w:r>
          </w:p>
        </w:tc>
      </w:tr>
      <w:tr w:rsidR="00B321FA" w:rsidRPr="00EA1089" w14:paraId="33C47D1A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49B75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6(b)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CC054" w14:textId="2F5EDB88" w:rsidR="00B321FA" w:rsidRPr="00EA1089" w:rsidRDefault="003668D9" w:rsidP="008F4832">
            <w:pPr>
              <w:tabs>
                <w:tab w:val="decimal" w:pos="1101"/>
              </w:tabs>
              <w:rPr>
                <w:szCs w:val="23"/>
              </w:rPr>
            </w:pPr>
            <w:r w:rsidRPr="00EA1089">
              <w:rPr>
                <w:szCs w:val="23"/>
              </w:rPr>
              <w:t>2</w:t>
            </w:r>
            <w:r w:rsidR="00DD5ADD">
              <w:rPr>
                <w:szCs w:val="23"/>
              </w:rPr>
              <w:t>21.11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B34C6" w14:textId="6A8333C6" w:rsidR="00B321FA" w:rsidRPr="00EA1089" w:rsidRDefault="00BB24E6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227.98</w:t>
            </w:r>
          </w:p>
        </w:tc>
      </w:tr>
      <w:tr w:rsidR="00B321FA" w:rsidRPr="00EA1089" w14:paraId="2B75F8BB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01AE0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6(c)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3C157" w14:textId="0068B62D" w:rsidR="00B321FA" w:rsidRPr="00EA1089" w:rsidRDefault="003668D9" w:rsidP="008F4832">
            <w:pPr>
              <w:tabs>
                <w:tab w:val="decimal" w:pos="1101"/>
              </w:tabs>
              <w:rPr>
                <w:szCs w:val="23"/>
              </w:rPr>
            </w:pPr>
            <w:r w:rsidRPr="00EA1089">
              <w:rPr>
                <w:szCs w:val="23"/>
              </w:rPr>
              <w:t>1</w:t>
            </w:r>
            <w:r w:rsidR="00DD5ADD">
              <w:rPr>
                <w:szCs w:val="23"/>
              </w:rPr>
              <w:t>72.28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D08C4" w14:textId="3A9811C4" w:rsidR="00B321FA" w:rsidRPr="00EA1089" w:rsidRDefault="00A65625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177.63</w:t>
            </w:r>
          </w:p>
        </w:tc>
      </w:tr>
      <w:tr w:rsidR="00B321FA" w:rsidRPr="00EA1089" w14:paraId="63EC1928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3FA3E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7(a)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41455" w14:textId="5F3BC4F6" w:rsidR="00B321FA" w:rsidRPr="00EA1089" w:rsidRDefault="003668D9" w:rsidP="008F4832">
            <w:pPr>
              <w:tabs>
                <w:tab w:val="decimal" w:pos="1101"/>
                <w:tab w:val="decimal" w:pos="1168"/>
              </w:tabs>
              <w:ind w:firstLine="718"/>
              <w:rPr>
                <w:szCs w:val="23"/>
              </w:rPr>
            </w:pPr>
            <w:r w:rsidRPr="00EA1089">
              <w:rPr>
                <w:szCs w:val="23"/>
              </w:rPr>
              <w:t>2</w:t>
            </w:r>
            <w:r w:rsidR="00DD5ADD">
              <w:rPr>
                <w:szCs w:val="23"/>
              </w:rPr>
              <w:t>21.43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CEBBA" w14:textId="23BB1FD8" w:rsidR="00B321FA" w:rsidRPr="00EA1089" w:rsidRDefault="00DF46DE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22</w:t>
            </w:r>
            <w:r w:rsidR="0084582C">
              <w:rPr>
                <w:szCs w:val="23"/>
              </w:rPr>
              <w:t>8</w:t>
            </w:r>
            <w:r w:rsidR="000D53D3">
              <w:rPr>
                <w:szCs w:val="23"/>
              </w:rPr>
              <w:t>.31</w:t>
            </w:r>
          </w:p>
        </w:tc>
      </w:tr>
      <w:tr w:rsidR="00B321FA" w:rsidRPr="00EA1089" w14:paraId="0DD1C4FC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E0485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7(b)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05F39" w14:textId="0D4F4711" w:rsidR="00B321FA" w:rsidRPr="00EA1089" w:rsidRDefault="003668D9" w:rsidP="008F4832">
            <w:pPr>
              <w:tabs>
                <w:tab w:val="decimal" w:pos="1101"/>
              </w:tabs>
              <w:rPr>
                <w:szCs w:val="23"/>
              </w:rPr>
            </w:pPr>
            <w:r w:rsidRPr="00EA1089">
              <w:rPr>
                <w:szCs w:val="23"/>
              </w:rPr>
              <w:t>2</w:t>
            </w:r>
            <w:r w:rsidR="00DD5ADD">
              <w:rPr>
                <w:szCs w:val="23"/>
              </w:rPr>
              <w:t>21.43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1DFC0" w14:textId="2FE5B630" w:rsidR="00B321FA" w:rsidRPr="00EA1089" w:rsidRDefault="000D53D3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228.31</w:t>
            </w:r>
          </w:p>
        </w:tc>
      </w:tr>
      <w:tr w:rsidR="00B321FA" w:rsidRPr="00EA1089" w14:paraId="69A6F36B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EB12B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7(c)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F8C3F" w14:textId="68926F2C" w:rsidR="00B321FA" w:rsidRPr="00EA1089" w:rsidRDefault="00DD5ADD" w:rsidP="008F4832">
            <w:pPr>
              <w:tabs>
                <w:tab w:val="decimal" w:pos="1101"/>
              </w:tabs>
              <w:rPr>
                <w:szCs w:val="23"/>
              </w:rPr>
            </w:pPr>
            <w:r>
              <w:rPr>
                <w:szCs w:val="23"/>
              </w:rPr>
              <w:t>403.99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42D9E" w14:textId="3A0FD33F" w:rsidR="00B321FA" w:rsidRPr="00EA1089" w:rsidRDefault="000D53D3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416.55</w:t>
            </w:r>
          </w:p>
        </w:tc>
      </w:tr>
      <w:tr w:rsidR="00B321FA" w:rsidRPr="00EA1089" w14:paraId="04C149F7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534B9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9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489C7" w14:textId="29EF4A33" w:rsidR="00B321FA" w:rsidRPr="00EA1089" w:rsidRDefault="003668D9" w:rsidP="008F4832">
            <w:pPr>
              <w:tabs>
                <w:tab w:val="decimal" w:pos="1101"/>
              </w:tabs>
              <w:rPr>
                <w:szCs w:val="23"/>
              </w:rPr>
            </w:pPr>
            <w:r w:rsidRPr="00EA1089">
              <w:rPr>
                <w:szCs w:val="23"/>
              </w:rPr>
              <w:t>25</w:t>
            </w:r>
            <w:r w:rsidR="00DD5ADD">
              <w:rPr>
                <w:szCs w:val="23"/>
              </w:rPr>
              <w:t>7.61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3678B3" w14:textId="5D5511E2" w:rsidR="00B321FA" w:rsidRPr="00EA1089" w:rsidRDefault="000D53D3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265</w:t>
            </w:r>
            <w:r w:rsidR="00002A14">
              <w:rPr>
                <w:szCs w:val="23"/>
              </w:rPr>
              <w:t>.62</w:t>
            </w:r>
          </w:p>
        </w:tc>
      </w:tr>
      <w:tr w:rsidR="00B321FA" w:rsidRPr="00EA1089" w14:paraId="624C0F08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F4188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10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1A5BE" w14:textId="42B21617" w:rsidR="00B321FA" w:rsidRPr="00EA1089" w:rsidRDefault="003668D9" w:rsidP="008F4832">
            <w:pPr>
              <w:tabs>
                <w:tab w:val="decimal" w:pos="1101"/>
              </w:tabs>
              <w:rPr>
                <w:szCs w:val="23"/>
              </w:rPr>
            </w:pPr>
            <w:r w:rsidRPr="00EA1089">
              <w:rPr>
                <w:szCs w:val="23"/>
              </w:rPr>
              <w:t>3</w:t>
            </w:r>
            <w:r w:rsidR="00DD5ADD">
              <w:rPr>
                <w:szCs w:val="23"/>
              </w:rPr>
              <w:t>71.61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051B9" w14:textId="03194391" w:rsidR="00002A14" w:rsidRPr="00EA1089" w:rsidRDefault="00002A14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3</w:t>
            </w:r>
            <w:r w:rsidR="00862852">
              <w:rPr>
                <w:szCs w:val="23"/>
              </w:rPr>
              <w:t>83.16</w:t>
            </w:r>
          </w:p>
        </w:tc>
      </w:tr>
      <w:tr w:rsidR="00B321FA" w:rsidRPr="00EA1089" w14:paraId="4CD9BE7F" w14:textId="77777777"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E9843E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13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30C4D" w14:textId="1AEF461A" w:rsidR="00B321FA" w:rsidRPr="00EA1089" w:rsidRDefault="003668D9" w:rsidP="008F4832">
            <w:pPr>
              <w:tabs>
                <w:tab w:val="decimal" w:pos="1101"/>
              </w:tabs>
              <w:rPr>
                <w:szCs w:val="23"/>
              </w:rPr>
            </w:pPr>
            <w:r w:rsidRPr="00EA1089">
              <w:rPr>
                <w:szCs w:val="23"/>
              </w:rPr>
              <w:t>28</w:t>
            </w:r>
            <w:r w:rsidR="00DD5ADD">
              <w:rPr>
                <w:szCs w:val="23"/>
              </w:rPr>
              <w:t>9.39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BAE47" w14:textId="12B0C591" w:rsidR="00B321FA" w:rsidRPr="00EA1089" w:rsidRDefault="00862852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298.38</w:t>
            </w:r>
          </w:p>
        </w:tc>
      </w:tr>
      <w:tr w:rsidR="00B321FA" w:rsidRPr="00EA1089" w14:paraId="2BB02076" w14:textId="77777777"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DECC5" w14:textId="77777777" w:rsidR="00B321FA" w:rsidRPr="00EA1089" w:rsidRDefault="00B321FA" w:rsidP="008F4832">
            <w:pPr>
              <w:rPr>
                <w:szCs w:val="23"/>
              </w:rPr>
            </w:pPr>
            <w:r w:rsidRPr="00EA1089">
              <w:rPr>
                <w:szCs w:val="23"/>
              </w:rPr>
              <w:t>Clause 15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2B38" w14:textId="64F0F552" w:rsidR="00B321FA" w:rsidRPr="00EA1089" w:rsidRDefault="00DD5ADD" w:rsidP="008F4832">
            <w:pPr>
              <w:tabs>
                <w:tab w:val="decimal" w:pos="1101"/>
              </w:tabs>
              <w:rPr>
                <w:szCs w:val="23"/>
              </w:rPr>
            </w:pPr>
            <w:r>
              <w:rPr>
                <w:szCs w:val="23"/>
              </w:rPr>
              <w:t>403.38</w:t>
            </w:r>
          </w:p>
        </w:tc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83BB2A" w14:textId="2D894419" w:rsidR="00B321FA" w:rsidRPr="00EA1089" w:rsidRDefault="00862852" w:rsidP="008F4832">
            <w:pPr>
              <w:tabs>
                <w:tab w:val="decimal" w:pos="1168"/>
              </w:tabs>
              <w:rPr>
                <w:szCs w:val="23"/>
              </w:rPr>
            </w:pPr>
            <w:r>
              <w:rPr>
                <w:szCs w:val="23"/>
              </w:rPr>
              <w:t>415.92</w:t>
            </w:r>
          </w:p>
        </w:tc>
      </w:tr>
    </w:tbl>
    <w:p w14:paraId="628AF0F8" w14:textId="77777777" w:rsidR="008F4832" w:rsidRPr="00EA1089" w:rsidRDefault="008F4832" w:rsidP="008F4832">
      <w:pPr>
        <w:pStyle w:val="Heading1"/>
        <w:spacing w:before="0"/>
        <w:jc w:val="center"/>
        <w:rPr>
          <w:rFonts w:cs="Times New Roman"/>
          <w:sz w:val="23"/>
          <w:szCs w:val="23"/>
        </w:rPr>
      </w:pPr>
      <w:bookmarkStart w:id="28" w:name="_Toc349745257"/>
      <w:bookmarkStart w:id="29" w:name="_Toc126755568"/>
      <w:bookmarkEnd w:id="24"/>
      <w:bookmarkEnd w:id="25"/>
      <w:bookmarkEnd w:id="26"/>
      <w:bookmarkEnd w:id="27"/>
    </w:p>
    <w:p w14:paraId="77B31699" w14:textId="77777777" w:rsidR="008F4832" w:rsidRDefault="008F4832" w:rsidP="008F4832">
      <w:pPr>
        <w:pStyle w:val="Heading1"/>
        <w:spacing w:before="0"/>
        <w:jc w:val="center"/>
        <w:rPr>
          <w:sz w:val="36"/>
          <w:szCs w:val="36"/>
        </w:rPr>
      </w:pPr>
    </w:p>
    <w:p w14:paraId="25D6B408" w14:textId="77777777" w:rsidR="008F4832" w:rsidRDefault="008F4832" w:rsidP="008F4832"/>
    <w:p w14:paraId="0527D33E" w14:textId="77777777" w:rsidR="008F4832" w:rsidRPr="008F4832" w:rsidRDefault="008F4832" w:rsidP="008F4832"/>
    <w:p w14:paraId="7FFC501E" w14:textId="76FA343E" w:rsidR="00E82B04" w:rsidRPr="001E34E3" w:rsidRDefault="00E82B04" w:rsidP="008F4832">
      <w:pPr>
        <w:pStyle w:val="Heading1"/>
        <w:spacing w:before="0"/>
        <w:jc w:val="center"/>
        <w:rPr>
          <w:sz w:val="36"/>
          <w:szCs w:val="36"/>
        </w:rPr>
      </w:pPr>
      <w:r w:rsidRPr="001E34E3">
        <w:rPr>
          <w:sz w:val="36"/>
          <w:szCs w:val="36"/>
        </w:rPr>
        <w:t>Schedule 2</w:t>
      </w:r>
      <w:bookmarkEnd w:id="28"/>
      <w:bookmarkEnd w:id="29"/>
    </w:p>
    <w:p w14:paraId="0D9A78C7" w14:textId="77777777" w:rsidR="00E82B04" w:rsidRPr="001E34E3" w:rsidRDefault="00E82B04" w:rsidP="008F4832">
      <w:pPr>
        <w:jc w:val="right"/>
        <w:rPr>
          <w:sz w:val="18"/>
          <w:szCs w:val="18"/>
        </w:rPr>
      </w:pPr>
      <w:r w:rsidRPr="001E34E3">
        <w:rPr>
          <w:sz w:val="18"/>
          <w:szCs w:val="18"/>
        </w:rPr>
        <w:t>cl 4</w:t>
      </w:r>
    </w:p>
    <w:p w14:paraId="576D24B1" w14:textId="7A1810BA" w:rsidR="00E82B04" w:rsidRPr="00790015" w:rsidRDefault="00E82B04" w:rsidP="008F4832">
      <w:pPr>
        <w:jc w:val="center"/>
        <w:rPr>
          <w:b/>
          <w:bCs/>
        </w:rPr>
      </w:pPr>
      <w:bookmarkStart w:id="30" w:name="_Toc349745258"/>
      <w:r w:rsidRPr="000F321A">
        <w:rPr>
          <w:b/>
          <w:bCs/>
          <w:sz w:val="36"/>
          <w:szCs w:val="36"/>
        </w:rPr>
        <w:t>Amendments to welfare programmes</w:t>
      </w:r>
      <w:bookmarkEnd w:id="30"/>
    </w:p>
    <w:p w14:paraId="5C74476D" w14:textId="1EED76A1" w:rsidR="00807414" w:rsidRDefault="00807414" w:rsidP="008F4832">
      <w:pPr>
        <w:jc w:val="both"/>
        <w:rPr>
          <w:bCs/>
          <w:szCs w:val="23"/>
        </w:rPr>
      </w:pPr>
      <w:bookmarkStart w:id="31" w:name="_Hlk95308680"/>
    </w:p>
    <w:p w14:paraId="5EAD186E" w14:textId="338521BA" w:rsidR="00807414" w:rsidRPr="006B494A" w:rsidRDefault="00807414" w:rsidP="008F4832">
      <w:pPr>
        <w:jc w:val="both"/>
        <w:rPr>
          <w:bCs/>
          <w:szCs w:val="23"/>
        </w:rPr>
      </w:pPr>
      <w:r w:rsidRPr="0072505F">
        <w:rPr>
          <w:b/>
          <w:szCs w:val="23"/>
        </w:rPr>
        <w:t>Away from Home Allowance Programme</w:t>
      </w:r>
      <w:r w:rsidR="002D5EA8">
        <w:rPr>
          <w:b/>
          <w:szCs w:val="23"/>
        </w:rPr>
        <w:t xml:space="preserve"> </w:t>
      </w:r>
      <w:r w:rsidR="002D5EA8" w:rsidRPr="0072505F">
        <w:rPr>
          <w:bCs/>
          <w:szCs w:val="23"/>
        </w:rPr>
        <w:t>(as established and approved on 19 January 1998)</w:t>
      </w:r>
      <w:r w:rsidR="002D5EA8" w:rsidRPr="0072505F">
        <w:rPr>
          <w:rStyle w:val="FootnoteReference"/>
          <w:bCs/>
          <w:szCs w:val="23"/>
        </w:rPr>
        <w:footnoteReference w:id="6"/>
      </w:r>
    </w:p>
    <w:p w14:paraId="7BC7E148" w14:textId="77777777" w:rsidR="00807414" w:rsidRDefault="00807414" w:rsidP="008F4832">
      <w:pPr>
        <w:jc w:val="both"/>
        <w:rPr>
          <w:bCs/>
          <w:szCs w:val="23"/>
        </w:rPr>
      </w:pPr>
    </w:p>
    <w:p w14:paraId="1A860F6D" w14:textId="3FE75CDB" w:rsidR="00D56ECB" w:rsidRDefault="002D5EA8" w:rsidP="008F4832">
      <w:pPr>
        <w:jc w:val="both"/>
        <w:rPr>
          <w:bCs/>
          <w:szCs w:val="23"/>
        </w:rPr>
      </w:pPr>
      <w:r w:rsidRPr="0072505F">
        <w:rPr>
          <w:b/>
          <w:szCs w:val="23"/>
        </w:rPr>
        <w:t>Clause 2</w:t>
      </w:r>
      <w:r>
        <w:rPr>
          <w:b/>
          <w:szCs w:val="23"/>
        </w:rPr>
        <w:t xml:space="preserve"> </w:t>
      </w:r>
    </w:p>
    <w:p w14:paraId="43BE4F1D" w14:textId="77777777" w:rsidR="00D56ECB" w:rsidRPr="00D56ECB" w:rsidRDefault="00D56ECB" w:rsidP="00D56ECB">
      <w:pPr>
        <w:jc w:val="both"/>
        <w:rPr>
          <w:rFonts w:cstheme="minorBidi"/>
          <w:bCs/>
          <w:szCs w:val="18"/>
        </w:rPr>
      </w:pPr>
      <w:r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In clause </w:t>
      </w:r>
      <w:r>
        <w:rPr>
          <w:rStyle w:val="Hyperlink"/>
          <w:rFonts w:cstheme="minorBidi"/>
          <w:bCs/>
          <w:color w:val="auto"/>
          <w:szCs w:val="18"/>
          <w:u w:val="none"/>
        </w:rPr>
        <w:t>2.1</w:t>
      </w:r>
      <w:r w:rsidRPr="006E21C3">
        <w:rPr>
          <w:rStyle w:val="Hyperlink"/>
          <w:rFonts w:cstheme="minorBidi"/>
          <w:bCs/>
          <w:color w:val="auto"/>
          <w:szCs w:val="18"/>
          <w:u w:val="none"/>
        </w:rPr>
        <w:t xml:space="preserve">, </w:t>
      </w:r>
      <w:r w:rsidRPr="00D56ECB">
        <w:rPr>
          <w:rFonts w:cstheme="minorBidi"/>
          <w:bCs/>
          <w:szCs w:val="18"/>
        </w:rPr>
        <w:t>in the appropriate alphabetical order, insert:</w:t>
      </w:r>
    </w:p>
    <w:p w14:paraId="084AE1CC" w14:textId="2D987CA9" w:rsidR="00D56ECB" w:rsidRDefault="00D56ECB" w:rsidP="00D56ECB">
      <w:pPr>
        <w:shd w:val="clear" w:color="auto" w:fill="D9D9D9" w:themeFill="background1" w:themeFillShade="D9"/>
        <w:ind w:left="720"/>
        <w:rPr>
          <w:bCs/>
          <w:szCs w:val="23"/>
        </w:rPr>
      </w:pPr>
      <w:r>
        <w:rPr>
          <w:b/>
        </w:rPr>
        <w:t>“</w:t>
      </w:r>
      <w:r w:rsidRPr="006E21C3">
        <w:rPr>
          <w:b/>
        </w:rPr>
        <w:t>Pr</w:t>
      </w:r>
      <w:r>
        <w:rPr>
          <w:b/>
        </w:rPr>
        <w:t xml:space="preserve">ivate training establishment” </w:t>
      </w:r>
      <w:r w:rsidRPr="00BD193E">
        <w:rPr>
          <w:bCs/>
          <w:szCs w:val="23"/>
        </w:rPr>
        <w:t>has the same meaning as defined in section 10 of the Education and Training Act 2020</w:t>
      </w:r>
    </w:p>
    <w:p w14:paraId="7AF326C6" w14:textId="77777777" w:rsidR="00D56ECB" w:rsidRDefault="00D56ECB" w:rsidP="00D56ECB">
      <w:pPr>
        <w:shd w:val="clear" w:color="auto" w:fill="D9D9D9" w:themeFill="background1" w:themeFillShade="D9"/>
        <w:ind w:left="720"/>
        <w:rPr>
          <w:b/>
        </w:rPr>
      </w:pPr>
    </w:p>
    <w:p w14:paraId="7B6B08FA" w14:textId="3B5E63C1" w:rsidR="00D56ECB" w:rsidRPr="006E21C3" w:rsidRDefault="00ED628E" w:rsidP="00ED628E">
      <w:pPr>
        <w:shd w:val="clear" w:color="auto" w:fill="D9D9D9" w:themeFill="background1" w:themeFillShade="D9"/>
        <w:ind w:left="720"/>
        <w:rPr>
          <w:bCs/>
        </w:rPr>
      </w:pPr>
      <w:r w:rsidRPr="0072505F">
        <w:rPr>
          <w:b/>
          <w:szCs w:val="23"/>
        </w:rPr>
        <w:t>“Tertiary institution”</w:t>
      </w:r>
      <w:r w:rsidRPr="00BD193E">
        <w:rPr>
          <w:bCs/>
          <w:szCs w:val="23"/>
        </w:rPr>
        <w:t xml:space="preserve"> has the same meaning as defined in section 7</w:t>
      </w:r>
      <w:r w:rsidR="00E85A3F">
        <w:rPr>
          <w:bCs/>
          <w:szCs w:val="23"/>
        </w:rPr>
        <w:t>(1)(e)</w:t>
      </w:r>
      <w:r w:rsidRPr="00BD193E">
        <w:rPr>
          <w:bCs/>
          <w:szCs w:val="23"/>
        </w:rPr>
        <w:t xml:space="preserve"> of the Crown Entities Act 2004</w:t>
      </w:r>
    </w:p>
    <w:p w14:paraId="54EA9346" w14:textId="77777777" w:rsidR="00D56ECB" w:rsidRDefault="00D56ECB" w:rsidP="008F4832">
      <w:pPr>
        <w:jc w:val="both"/>
        <w:rPr>
          <w:bCs/>
          <w:szCs w:val="23"/>
        </w:rPr>
      </w:pPr>
    </w:p>
    <w:p w14:paraId="7A57FB9E" w14:textId="77777777" w:rsidR="00053BA2" w:rsidRDefault="00053BA2" w:rsidP="00053BA2">
      <w:pPr>
        <w:jc w:val="both"/>
        <w:rPr>
          <w:b/>
          <w:szCs w:val="23"/>
        </w:rPr>
      </w:pPr>
    </w:p>
    <w:p w14:paraId="1C5CCE84" w14:textId="77777777" w:rsidR="00053BA2" w:rsidRPr="003B4ADD" w:rsidRDefault="00053BA2" w:rsidP="00053BA2">
      <w:pPr>
        <w:jc w:val="both"/>
        <w:rPr>
          <w:b/>
          <w:szCs w:val="23"/>
        </w:rPr>
      </w:pPr>
      <w:r w:rsidRPr="0072505F">
        <w:rPr>
          <w:b/>
          <w:szCs w:val="23"/>
        </w:rPr>
        <w:t>Clause 5.1.1(a)</w:t>
      </w:r>
    </w:p>
    <w:p w14:paraId="2F6B6A02" w14:textId="70A8FCB1" w:rsidR="00053BA2" w:rsidRPr="003B4ADD" w:rsidRDefault="00053BA2" w:rsidP="00053BA2">
      <w:pPr>
        <w:jc w:val="both"/>
        <w:rPr>
          <w:bCs/>
          <w:szCs w:val="23"/>
        </w:rPr>
      </w:pPr>
      <w:r>
        <w:rPr>
          <w:bCs/>
          <w:szCs w:val="23"/>
        </w:rPr>
        <w:t xml:space="preserve">In clause 5.1.1(a) remove “(as those terms are defined in the Education Act 1989)”. </w:t>
      </w:r>
    </w:p>
    <w:p w14:paraId="6B02D9AD" w14:textId="77777777" w:rsidR="00053BA2" w:rsidRDefault="00053BA2" w:rsidP="008F4832">
      <w:pPr>
        <w:jc w:val="both"/>
        <w:rPr>
          <w:bCs/>
          <w:szCs w:val="23"/>
        </w:rPr>
      </w:pPr>
    </w:p>
    <w:p w14:paraId="17393B3E" w14:textId="2BA66C2C" w:rsidR="00F61F7A" w:rsidRDefault="002D5EA8" w:rsidP="008F4832">
      <w:pPr>
        <w:jc w:val="both"/>
        <w:rPr>
          <w:bCs/>
          <w:szCs w:val="23"/>
        </w:rPr>
      </w:pPr>
      <w:r w:rsidRPr="0072505F">
        <w:rPr>
          <w:b/>
          <w:szCs w:val="23"/>
        </w:rPr>
        <w:t>Emergency Housing Grants Programme</w:t>
      </w:r>
      <w:r w:rsidR="00F61F7A">
        <w:rPr>
          <w:bCs/>
          <w:szCs w:val="23"/>
        </w:rPr>
        <w:t xml:space="preserve"> (as established and approved on 22 July 2024)</w:t>
      </w:r>
      <w:r w:rsidR="00053BA2">
        <w:rPr>
          <w:rStyle w:val="FootnoteReference"/>
          <w:bCs/>
          <w:szCs w:val="23"/>
        </w:rPr>
        <w:footnoteReference w:id="7"/>
      </w:r>
    </w:p>
    <w:p w14:paraId="3DE0999B" w14:textId="03F657BB" w:rsidR="00F61F7A" w:rsidRDefault="00F61F7A" w:rsidP="008F4832">
      <w:pPr>
        <w:jc w:val="both"/>
        <w:rPr>
          <w:bCs/>
          <w:szCs w:val="23"/>
        </w:rPr>
      </w:pPr>
    </w:p>
    <w:p w14:paraId="3F7783AA" w14:textId="77777777" w:rsidR="00F61F7A" w:rsidRPr="0072505F" w:rsidRDefault="00F61F7A" w:rsidP="008F4832">
      <w:pPr>
        <w:jc w:val="both"/>
        <w:rPr>
          <w:b/>
          <w:szCs w:val="23"/>
        </w:rPr>
      </w:pPr>
      <w:r w:rsidRPr="0072505F">
        <w:rPr>
          <w:b/>
          <w:szCs w:val="23"/>
        </w:rPr>
        <w:t xml:space="preserve">Clause 14(1)(a)(ii) </w:t>
      </w:r>
    </w:p>
    <w:p w14:paraId="4D78C39E" w14:textId="2C9F9B39" w:rsidR="00F61F7A" w:rsidRDefault="00F61F7A" w:rsidP="008F4832">
      <w:pPr>
        <w:jc w:val="both"/>
        <w:rPr>
          <w:bCs/>
          <w:szCs w:val="23"/>
        </w:rPr>
      </w:pPr>
      <w:r>
        <w:rPr>
          <w:bCs/>
          <w:szCs w:val="23"/>
        </w:rPr>
        <w:t>In clause 14(1)(a)(ii</w:t>
      </w:r>
      <w:r w:rsidR="00053BA2">
        <w:rPr>
          <w:bCs/>
          <w:szCs w:val="23"/>
        </w:rPr>
        <w:t>), replace</w:t>
      </w:r>
      <w:r>
        <w:rPr>
          <w:bCs/>
          <w:szCs w:val="23"/>
        </w:rPr>
        <w:t xml:space="preserve"> </w:t>
      </w:r>
      <w:r w:rsidR="00053BA2">
        <w:rPr>
          <w:bCs/>
          <w:szCs w:val="23"/>
        </w:rPr>
        <w:t>“</w:t>
      </w:r>
      <w:r>
        <w:rPr>
          <w:bCs/>
          <w:szCs w:val="23"/>
        </w:rPr>
        <w:t>P</w:t>
      </w:r>
      <w:r w:rsidR="00053BA2">
        <w:rPr>
          <w:bCs/>
          <w:szCs w:val="23"/>
        </w:rPr>
        <w:t xml:space="preserve">” </w:t>
      </w:r>
      <w:r>
        <w:rPr>
          <w:bCs/>
          <w:szCs w:val="23"/>
        </w:rPr>
        <w:t>with “</w:t>
      </w:r>
      <w:r w:rsidR="00ED628E">
        <w:rPr>
          <w:bCs/>
          <w:szCs w:val="23"/>
        </w:rPr>
        <w:t xml:space="preserve">the </w:t>
      </w:r>
      <w:r w:rsidR="00053BA2">
        <w:rPr>
          <w:bCs/>
          <w:szCs w:val="23"/>
        </w:rPr>
        <w:t>applicant</w:t>
      </w:r>
      <w:r>
        <w:rPr>
          <w:bCs/>
          <w:szCs w:val="23"/>
        </w:rPr>
        <w:t>”</w:t>
      </w:r>
      <w:r w:rsidR="00053BA2">
        <w:rPr>
          <w:bCs/>
          <w:szCs w:val="23"/>
        </w:rPr>
        <w:t xml:space="preserve">. </w:t>
      </w:r>
    </w:p>
    <w:p w14:paraId="00CBC481" w14:textId="77777777" w:rsidR="002F204E" w:rsidRDefault="002F204E" w:rsidP="008F4832">
      <w:pPr>
        <w:jc w:val="both"/>
        <w:rPr>
          <w:bCs/>
          <w:szCs w:val="23"/>
        </w:rPr>
      </w:pPr>
    </w:p>
    <w:p w14:paraId="0A23741E" w14:textId="5A0C8D6A" w:rsidR="002F204E" w:rsidRPr="0072505F" w:rsidRDefault="002F204E" w:rsidP="008F4832">
      <w:pPr>
        <w:jc w:val="both"/>
        <w:rPr>
          <w:b/>
          <w:szCs w:val="23"/>
        </w:rPr>
      </w:pPr>
      <w:r w:rsidRPr="0072505F">
        <w:rPr>
          <w:b/>
          <w:szCs w:val="23"/>
        </w:rPr>
        <w:lastRenderedPageBreak/>
        <w:t xml:space="preserve">Clause 27 </w:t>
      </w:r>
    </w:p>
    <w:p w14:paraId="665C48C8" w14:textId="0215E455" w:rsidR="002F204E" w:rsidRPr="0072505F" w:rsidRDefault="002F204E" w:rsidP="008F4832">
      <w:pPr>
        <w:jc w:val="both"/>
        <w:rPr>
          <w:bCs/>
          <w:szCs w:val="23"/>
        </w:rPr>
      </w:pPr>
      <w:r>
        <w:rPr>
          <w:bCs/>
          <w:szCs w:val="23"/>
        </w:rPr>
        <w:t>In clause 27, replace the title with “Security deposit grant: when security deposit</w:t>
      </w:r>
      <w:r w:rsidR="00ED628E">
        <w:rPr>
          <w:bCs/>
          <w:szCs w:val="23"/>
        </w:rPr>
        <w:t xml:space="preserve"> grant</w:t>
      </w:r>
      <w:r>
        <w:rPr>
          <w:bCs/>
          <w:szCs w:val="23"/>
        </w:rPr>
        <w:t xml:space="preserve"> is payable and expires”. </w:t>
      </w:r>
    </w:p>
    <w:p w14:paraId="02AE957E" w14:textId="77777777" w:rsidR="003A31E3" w:rsidRDefault="003A31E3" w:rsidP="008F4832">
      <w:pPr>
        <w:jc w:val="both"/>
        <w:rPr>
          <w:b/>
          <w:szCs w:val="23"/>
        </w:rPr>
      </w:pPr>
    </w:p>
    <w:p w14:paraId="3FA19749" w14:textId="2B9D9670" w:rsidR="002F204E" w:rsidRPr="00EA1089" w:rsidRDefault="009909F4" w:rsidP="008F4832">
      <w:pPr>
        <w:jc w:val="both"/>
        <w:rPr>
          <w:bCs/>
          <w:szCs w:val="23"/>
        </w:rPr>
      </w:pPr>
      <w:r w:rsidRPr="00EA1089">
        <w:rPr>
          <w:b/>
          <w:szCs w:val="23"/>
        </w:rPr>
        <w:t xml:space="preserve">Employment and Work Readiness Assistance </w:t>
      </w:r>
      <w:r w:rsidR="005D2BAF" w:rsidRPr="00EA1089">
        <w:rPr>
          <w:b/>
          <w:szCs w:val="23"/>
        </w:rPr>
        <w:t>Programme</w:t>
      </w:r>
      <w:r w:rsidR="001D35C1" w:rsidRPr="00EA1089">
        <w:rPr>
          <w:b/>
          <w:szCs w:val="23"/>
        </w:rPr>
        <w:t xml:space="preserve"> </w:t>
      </w:r>
      <w:r w:rsidR="001D35C1" w:rsidRPr="00EA1089">
        <w:rPr>
          <w:bCs/>
          <w:szCs w:val="23"/>
        </w:rPr>
        <w:t>(as</w:t>
      </w:r>
      <w:r w:rsidR="004C73B0" w:rsidRPr="00EA1089">
        <w:rPr>
          <w:bCs/>
          <w:szCs w:val="23"/>
        </w:rPr>
        <w:t xml:space="preserve"> established and approved on 6 Ma</w:t>
      </w:r>
      <w:r w:rsidR="000426A0" w:rsidRPr="00EA1089">
        <w:rPr>
          <w:bCs/>
          <w:szCs w:val="23"/>
        </w:rPr>
        <w:t>rch</w:t>
      </w:r>
      <w:r w:rsidR="004C73B0" w:rsidRPr="00EA1089">
        <w:rPr>
          <w:bCs/>
          <w:szCs w:val="23"/>
        </w:rPr>
        <w:t xml:space="preserve"> 2014)</w:t>
      </w:r>
      <w:r w:rsidR="00714291" w:rsidRPr="00EA1089">
        <w:rPr>
          <w:rStyle w:val="FootnoteReference"/>
          <w:bCs/>
          <w:szCs w:val="23"/>
        </w:rPr>
        <w:footnoteReference w:id="8"/>
      </w:r>
    </w:p>
    <w:p w14:paraId="6C37E372" w14:textId="77777777" w:rsidR="00CE5894" w:rsidRPr="00EA1089" w:rsidRDefault="00CE5894" w:rsidP="008F4832">
      <w:pPr>
        <w:jc w:val="both"/>
        <w:rPr>
          <w:bCs/>
          <w:szCs w:val="23"/>
        </w:rPr>
      </w:pPr>
    </w:p>
    <w:p w14:paraId="024C8ADF" w14:textId="66458728" w:rsidR="00CE5894" w:rsidRPr="00EA1089" w:rsidRDefault="00110842" w:rsidP="008F4832">
      <w:pPr>
        <w:jc w:val="both"/>
        <w:rPr>
          <w:b/>
          <w:szCs w:val="23"/>
        </w:rPr>
      </w:pPr>
      <w:r w:rsidRPr="00EA1089">
        <w:rPr>
          <w:b/>
          <w:szCs w:val="23"/>
        </w:rPr>
        <w:t xml:space="preserve">Schedule </w:t>
      </w:r>
    </w:p>
    <w:p w14:paraId="18F9E278" w14:textId="6DCD06DD" w:rsidR="00FC1A1D" w:rsidRPr="00EA1089" w:rsidRDefault="00FC1A1D" w:rsidP="00FC1A1D">
      <w:pPr>
        <w:jc w:val="both"/>
        <w:rPr>
          <w:szCs w:val="23"/>
        </w:rPr>
      </w:pPr>
      <w:r w:rsidRPr="00EA1089">
        <w:rPr>
          <w:szCs w:val="23"/>
        </w:rPr>
        <w:t>In the Schedule, clause 9A</w:t>
      </w:r>
      <w:r w:rsidR="00020C9A" w:rsidRPr="00EA1089">
        <w:rPr>
          <w:szCs w:val="23"/>
        </w:rPr>
        <w:t>(i)</w:t>
      </w:r>
      <w:r w:rsidRPr="00EA1089">
        <w:rPr>
          <w:szCs w:val="23"/>
        </w:rPr>
        <w:t>, replace “$</w:t>
      </w:r>
      <w:r w:rsidR="00B725A9" w:rsidRPr="00EA1089">
        <w:rPr>
          <w:szCs w:val="23"/>
        </w:rPr>
        <w:t>6</w:t>
      </w:r>
      <w:r w:rsidR="00DD5ADD">
        <w:rPr>
          <w:szCs w:val="23"/>
        </w:rPr>
        <w:t>5.44</w:t>
      </w:r>
      <w:r w:rsidRPr="00EA1089">
        <w:rPr>
          <w:szCs w:val="23"/>
        </w:rPr>
        <w:t>” with “$</w:t>
      </w:r>
      <w:r w:rsidR="008E6011">
        <w:rPr>
          <w:szCs w:val="23"/>
        </w:rPr>
        <w:t>67</w:t>
      </w:r>
      <w:r w:rsidR="008C33B4">
        <w:rPr>
          <w:szCs w:val="23"/>
        </w:rPr>
        <w:t>.48</w:t>
      </w:r>
      <w:r w:rsidRPr="00EA1089">
        <w:rPr>
          <w:szCs w:val="23"/>
        </w:rPr>
        <w:t>”</w:t>
      </w:r>
      <w:r w:rsidR="004C79B6" w:rsidRPr="00EA1089">
        <w:rPr>
          <w:szCs w:val="23"/>
        </w:rPr>
        <w:t>.</w:t>
      </w:r>
    </w:p>
    <w:p w14:paraId="4571C420" w14:textId="69774511" w:rsidR="00FC1A1D" w:rsidRPr="00EA1089" w:rsidRDefault="00FC1A1D" w:rsidP="00FC1A1D">
      <w:pPr>
        <w:jc w:val="both"/>
        <w:rPr>
          <w:szCs w:val="23"/>
        </w:rPr>
      </w:pPr>
      <w:r w:rsidRPr="00EA1089">
        <w:rPr>
          <w:szCs w:val="23"/>
        </w:rPr>
        <w:t xml:space="preserve">In the Schedule, clause </w:t>
      </w:r>
      <w:r w:rsidR="00D46098" w:rsidRPr="00EA1089">
        <w:rPr>
          <w:szCs w:val="23"/>
        </w:rPr>
        <w:t>9A</w:t>
      </w:r>
      <w:r w:rsidR="00020C9A" w:rsidRPr="00EA1089">
        <w:rPr>
          <w:szCs w:val="23"/>
        </w:rPr>
        <w:t>(ii)</w:t>
      </w:r>
      <w:r w:rsidRPr="00EA1089">
        <w:rPr>
          <w:szCs w:val="23"/>
        </w:rPr>
        <w:t>, replace “$</w:t>
      </w:r>
      <w:r w:rsidR="00BE541D" w:rsidRPr="00EA1089">
        <w:rPr>
          <w:szCs w:val="23"/>
        </w:rPr>
        <w:t>9</w:t>
      </w:r>
      <w:r w:rsidR="00DD5ADD">
        <w:rPr>
          <w:szCs w:val="23"/>
        </w:rPr>
        <w:t>8.16</w:t>
      </w:r>
      <w:r w:rsidRPr="00EA1089">
        <w:rPr>
          <w:szCs w:val="23"/>
        </w:rPr>
        <w:t>” with “$</w:t>
      </w:r>
      <w:r w:rsidR="008C33B4">
        <w:rPr>
          <w:szCs w:val="23"/>
        </w:rPr>
        <w:t>101.22</w:t>
      </w:r>
      <w:r w:rsidRPr="00EA1089">
        <w:rPr>
          <w:szCs w:val="23"/>
        </w:rPr>
        <w:t>”</w:t>
      </w:r>
      <w:r w:rsidR="004C79B6" w:rsidRPr="00EA1089">
        <w:rPr>
          <w:szCs w:val="23"/>
        </w:rPr>
        <w:t>.</w:t>
      </w:r>
    </w:p>
    <w:p w14:paraId="387DDD40" w14:textId="03A076E8" w:rsidR="00FC1A1D" w:rsidRPr="00EA1089" w:rsidRDefault="00FC1A1D" w:rsidP="00FC1A1D">
      <w:pPr>
        <w:jc w:val="both"/>
        <w:rPr>
          <w:szCs w:val="23"/>
        </w:rPr>
      </w:pPr>
      <w:r w:rsidRPr="00EA1089">
        <w:rPr>
          <w:szCs w:val="23"/>
        </w:rPr>
        <w:t xml:space="preserve">In the Schedule, clause </w:t>
      </w:r>
      <w:r w:rsidR="00D46098" w:rsidRPr="00EA1089">
        <w:rPr>
          <w:szCs w:val="23"/>
        </w:rPr>
        <w:t>9A</w:t>
      </w:r>
      <w:r w:rsidR="00020C9A" w:rsidRPr="00EA1089">
        <w:rPr>
          <w:szCs w:val="23"/>
        </w:rPr>
        <w:t>(iii)</w:t>
      </w:r>
      <w:r w:rsidRPr="00EA1089">
        <w:rPr>
          <w:szCs w:val="23"/>
        </w:rPr>
        <w:t>, replace “$</w:t>
      </w:r>
      <w:r w:rsidR="00BE541D" w:rsidRPr="00EA1089">
        <w:rPr>
          <w:szCs w:val="23"/>
        </w:rPr>
        <w:t>1</w:t>
      </w:r>
      <w:r w:rsidR="00DD5ADD">
        <w:rPr>
          <w:szCs w:val="23"/>
        </w:rPr>
        <w:t>30.88</w:t>
      </w:r>
      <w:r w:rsidRPr="00EA1089">
        <w:rPr>
          <w:szCs w:val="23"/>
        </w:rPr>
        <w:t>” with “$</w:t>
      </w:r>
      <w:r w:rsidR="008C33B4">
        <w:rPr>
          <w:szCs w:val="23"/>
        </w:rPr>
        <w:t>134.96</w:t>
      </w:r>
      <w:r w:rsidRPr="00EA1089">
        <w:rPr>
          <w:szCs w:val="23"/>
        </w:rPr>
        <w:t>”</w:t>
      </w:r>
      <w:r w:rsidR="004C79B6" w:rsidRPr="00EA1089">
        <w:rPr>
          <w:szCs w:val="23"/>
        </w:rPr>
        <w:t>.</w:t>
      </w:r>
    </w:p>
    <w:p w14:paraId="4F9DA555" w14:textId="353BA677" w:rsidR="00FC1A1D" w:rsidRPr="00EA1089" w:rsidRDefault="00FC1A1D" w:rsidP="00FC1A1D">
      <w:pPr>
        <w:jc w:val="both"/>
        <w:rPr>
          <w:szCs w:val="23"/>
        </w:rPr>
      </w:pPr>
      <w:r w:rsidRPr="00EA1089">
        <w:rPr>
          <w:szCs w:val="23"/>
        </w:rPr>
        <w:t xml:space="preserve">In the Schedule, clause </w:t>
      </w:r>
      <w:r w:rsidR="00D46098" w:rsidRPr="00EA1089">
        <w:rPr>
          <w:szCs w:val="23"/>
        </w:rPr>
        <w:t>9A</w:t>
      </w:r>
      <w:r w:rsidR="00020C9A" w:rsidRPr="00EA1089">
        <w:rPr>
          <w:szCs w:val="23"/>
        </w:rPr>
        <w:t>(iv)</w:t>
      </w:r>
      <w:r w:rsidRPr="00EA1089">
        <w:rPr>
          <w:szCs w:val="23"/>
        </w:rPr>
        <w:t>, replace “$</w:t>
      </w:r>
      <w:r w:rsidR="00355190" w:rsidRPr="00EA1089">
        <w:rPr>
          <w:szCs w:val="23"/>
        </w:rPr>
        <w:t>16</w:t>
      </w:r>
      <w:r w:rsidR="00DD5ADD">
        <w:rPr>
          <w:szCs w:val="23"/>
        </w:rPr>
        <w:t>3.60</w:t>
      </w:r>
      <w:r w:rsidRPr="00EA1089">
        <w:rPr>
          <w:szCs w:val="23"/>
        </w:rPr>
        <w:t>” with “$</w:t>
      </w:r>
      <w:r w:rsidR="00170319">
        <w:rPr>
          <w:szCs w:val="23"/>
        </w:rPr>
        <w:t>168.70</w:t>
      </w:r>
      <w:r w:rsidRPr="00EA1089">
        <w:rPr>
          <w:szCs w:val="23"/>
        </w:rPr>
        <w:t>”</w:t>
      </w:r>
      <w:r w:rsidR="004C79B6" w:rsidRPr="00EA1089">
        <w:rPr>
          <w:szCs w:val="23"/>
        </w:rPr>
        <w:t>.</w:t>
      </w:r>
    </w:p>
    <w:p w14:paraId="19E906CB" w14:textId="59610F1C" w:rsidR="00110842" w:rsidRPr="00EA1089" w:rsidRDefault="00D46098" w:rsidP="008F4832">
      <w:pPr>
        <w:jc w:val="both"/>
        <w:rPr>
          <w:szCs w:val="23"/>
        </w:rPr>
      </w:pPr>
      <w:r w:rsidRPr="00EA1089">
        <w:rPr>
          <w:szCs w:val="23"/>
        </w:rPr>
        <w:t>In the Schedule, clause 9A</w:t>
      </w:r>
      <w:r w:rsidR="00020C9A" w:rsidRPr="00EA1089">
        <w:rPr>
          <w:szCs w:val="23"/>
        </w:rPr>
        <w:t>(v)</w:t>
      </w:r>
      <w:r w:rsidRPr="00EA1089">
        <w:rPr>
          <w:szCs w:val="23"/>
        </w:rPr>
        <w:t>, replace “$</w:t>
      </w:r>
      <w:r w:rsidR="00355190" w:rsidRPr="00EA1089">
        <w:rPr>
          <w:szCs w:val="23"/>
        </w:rPr>
        <w:t>19</w:t>
      </w:r>
      <w:r w:rsidR="00DD5ADD">
        <w:rPr>
          <w:szCs w:val="23"/>
        </w:rPr>
        <w:t>6.32</w:t>
      </w:r>
      <w:r w:rsidRPr="00EA1089">
        <w:rPr>
          <w:szCs w:val="23"/>
        </w:rPr>
        <w:t>” with “$</w:t>
      </w:r>
      <w:r w:rsidR="00B23612">
        <w:rPr>
          <w:szCs w:val="23"/>
        </w:rPr>
        <w:t>202.44</w:t>
      </w:r>
      <w:r w:rsidRPr="00EA1089">
        <w:rPr>
          <w:szCs w:val="23"/>
        </w:rPr>
        <w:t>”</w:t>
      </w:r>
      <w:r w:rsidR="004C79B6" w:rsidRPr="00EA1089">
        <w:rPr>
          <w:szCs w:val="23"/>
        </w:rPr>
        <w:t>.</w:t>
      </w:r>
    </w:p>
    <w:p w14:paraId="6E920AE0" w14:textId="77777777" w:rsidR="005D2BAF" w:rsidRPr="00EA1089" w:rsidRDefault="005D2BAF" w:rsidP="008F4832">
      <w:pPr>
        <w:jc w:val="both"/>
        <w:rPr>
          <w:b/>
          <w:szCs w:val="23"/>
        </w:rPr>
      </w:pPr>
    </w:p>
    <w:p w14:paraId="57802784" w14:textId="277C5869" w:rsidR="00FE172F" w:rsidRPr="00EA1089" w:rsidRDefault="00565F17" w:rsidP="008F4832">
      <w:pPr>
        <w:jc w:val="both"/>
        <w:rPr>
          <w:szCs w:val="23"/>
        </w:rPr>
      </w:pPr>
      <w:r w:rsidRPr="00EA1089">
        <w:rPr>
          <w:b/>
          <w:szCs w:val="23"/>
        </w:rPr>
        <w:t>Family Start and Early Start (Childcare Assistance) Programme</w:t>
      </w:r>
      <w:r w:rsidR="004C73B0" w:rsidRPr="00EA1089">
        <w:rPr>
          <w:b/>
          <w:szCs w:val="23"/>
        </w:rPr>
        <w:t xml:space="preserve"> </w:t>
      </w:r>
      <w:r w:rsidRPr="00EA1089">
        <w:rPr>
          <w:szCs w:val="23"/>
        </w:rPr>
        <w:t>(as established and approved on 12 September 2005)</w:t>
      </w:r>
      <w:r w:rsidRPr="00EA1089">
        <w:rPr>
          <w:rStyle w:val="FootnoteReference"/>
          <w:szCs w:val="23"/>
        </w:rPr>
        <w:footnoteReference w:id="9"/>
      </w:r>
    </w:p>
    <w:p w14:paraId="509290F2" w14:textId="77777777" w:rsidR="001D3381" w:rsidRPr="00EA1089" w:rsidRDefault="001D3381" w:rsidP="008F4832">
      <w:pPr>
        <w:jc w:val="both"/>
        <w:rPr>
          <w:b/>
          <w:szCs w:val="23"/>
        </w:rPr>
      </w:pPr>
    </w:p>
    <w:p w14:paraId="6A78D927" w14:textId="21E45B62" w:rsidR="00FE172F" w:rsidRPr="00EA1089" w:rsidRDefault="00565F17" w:rsidP="008F4832">
      <w:pPr>
        <w:jc w:val="both"/>
        <w:rPr>
          <w:b/>
          <w:szCs w:val="23"/>
        </w:rPr>
      </w:pPr>
      <w:r w:rsidRPr="00EA1089">
        <w:rPr>
          <w:b/>
          <w:szCs w:val="23"/>
        </w:rPr>
        <w:t>Clause 8(3)</w:t>
      </w:r>
    </w:p>
    <w:p w14:paraId="74C5A485" w14:textId="165C3A8E" w:rsidR="00566213" w:rsidRDefault="00565F17" w:rsidP="008F4832">
      <w:pPr>
        <w:jc w:val="both"/>
        <w:rPr>
          <w:szCs w:val="23"/>
        </w:rPr>
      </w:pPr>
      <w:r w:rsidRPr="00EA1089">
        <w:rPr>
          <w:szCs w:val="23"/>
        </w:rPr>
        <w:t xml:space="preserve">In clause 8(3), definition of </w:t>
      </w:r>
      <w:r w:rsidRPr="00EA1089">
        <w:rPr>
          <w:b/>
          <w:szCs w:val="23"/>
        </w:rPr>
        <w:t>c</w:t>
      </w:r>
      <w:r w:rsidRPr="00EA1089">
        <w:rPr>
          <w:szCs w:val="23"/>
        </w:rPr>
        <w:t>,</w:t>
      </w:r>
      <w:r w:rsidRPr="00EA1089">
        <w:rPr>
          <w:b/>
          <w:szCs w:val="23"/>
        </w:rPr>
        <w:t xml:space="preserve"> </w:t>
      </w:r>
      <w:r w:rsidR="0035133C" w:rsidRPr="00EA1089">
        <w:rPr>
          <w:szCs w:val="23"/>
        </w:rPr>
        <w:t>replace</w:t>
      </w:r>
      <w:r w:rsidR="008802E2" w:rsidRPr="00EA1089">
        <w:rPr>
          <w:szCs w:val="23"/>
        </w:rPr>
        <w:t xml:space="preserve"> “$</w:t>
      </w:r>
      <w:r w:rsidR="003668D9" w:rsidRPr="00EA1089">
        <w:rPr>
          <w:szCs w:val="23"/>
        </w:rPr>
        <w:t>9.</w:t>
      </w:r>
      <w:r w:rsidR="00DD5ADD">
        <w:rPr>
          <w:szCs w:val="23"/>
        </w:rPr>
        <w:t>72</w:t>
      </w:r>
      <w:r w:rsidR="008802E2" w:rsidRPr="00EA1089">
        <w:rPr>
          <w:szCs w:val="23"/>
        </w:rPr>
        <w:t>” with “</w:t>
      </w:r>
      <w:r w:rsidR="00AB3110" w:rsidRPr="00EA1089">
        <w:rPr>
          <w:szCs w:val="23"/>
        </w:rPr>
        <w:t>$</w:t>
      </w:r>
      <w:r w:rsidR="00CE61EA">
        <w:rPr>
          <w:szCs w:val="23"/>
        </w:rPr>
        <w:t>10.02</w:t>
      </w:r>
      <w:r w:rsidR="00790015" w:rsidRPr="00EA1089">
        <w:rPr>
          <w:szCs w:val="23"/>
        </w:rPr>
        <w:t>”</w:t>
      </w:r>
      <w:r w:rsidR="008802E2" w:rsidRPr="00EA1089">
        <w:rPr>
          <w:szCs w:val="23"/>
        </w:rPr>
        <w:t>.</w:t>
      </w:r>
    </w:p>
    <w:p w14:paraId="3B9FBD7A" w14:textId="77777777" w:rsidR="002F204E" w:rsidRDefault="002F204E" w:rsidP="008F4832">
      <w:pPr>
        <w:jc w:val="both"/>
        <w:rPr>
          <w:szCs w:val="23"/>
        </w:rPr>
      </w:pPr>
    </w:p>
    <w:p w14:paraId="5E4B91A5" w14:textId="775019E7" w:rsidR="002F204E" w:rsidRDefault="002F204E" w:rsidP="008F4832">
      <w:pPr>
        <w:jc w:val="both"/>
        <w:rPr>
          <w:szCs w:val="23"/>
        </w:rPr>
      </w:pPr>
      <w:r w:rsidRPr="0072505F">
        <w:rPr>
          <w:b/>
          <w:bCs/>
          <w:szCs w:val="23"/>
        </w:rPr>
        <w:t>Flexi-wage Employment Assistance Programme</w:t>
      </w:r>
      <w:r>
        <w:rPr>
          <w:szCs w:val="23"/>
        </w:rPr>
        <w:t xml:space="preserve"> (as established and approved on 9 February 2021)</w:t>
      </w:r>
      <w:r>
        <w:rPr>
          <w:rStyle w:val="FootnoteReference"/>
          <w:szCs w:val="23"/>
        </w:rPr>
        <w:footnoteReference w:id="10"/>
      </w:r>
    </w:p>
    <w:p w14:paraId="53C6A02E" w14:textId="77777777" w:rsidR="002F204E" w:rsidRDefault="002F204E" w:rsidP="008F4832">
      <w:pPr>
        <w:jc w:val="both"/>
        <w:rPr>
          <w:szCs w:val="23"/>
        </w:rPr>
      </w:pPr>
    </w:p>
    <w:p w14:paraId="5E56AF29" w14:textId="227CE81C" w:rsidR="002F204E" w:rsidRPr="0072505F" w:rsidRDefault="002F204E" w:rsidP="008F4832">
      <w:pPr>
        <w:jc w:val="both"/>
        <w:rPr>
          <w:b/>
          <w:bCs/>
          <w:szCs w:val="23"/>
        </w:rPr>
      </w:pPr>
      <w:r w:rsidRPr="0072505F">
        <w:rPr>
          <w:b/>
          <w:bCs/>
          <w:szCs w:val="23"/>
        </w:rPr>
        <w:t>Clause 10(2)</w:t>
      </w:r>
    </w:p>
    <w:p w14:paraId="36BDEB7E" w14:textId="489AA897" w:rsidR="002F204E" w:rsidRPr="00EA1089" w:rsidRDefault="002F204E" w:rsidP="008F4832">
      <w:pPr>
        <w:jc w:val="both"/>
        <w:rPr>
          <w:szCs w:val="23"/>
        </w:rPr>
      </w:pPr>
      <w:r>
        <w:rPr>
          <w:szCs w:val="23"/>
        </w:rPr>
        <w:t xml:space="preserve">In clause 10(2), replace “receive” with “received”. </w:t>
      </w:r>
    </w:p>
    <w:p w14:paraId="1849166A" w14:textId="77777777" w:rsidR="002E3605" w:rsidRPr="00EA1089" w:rsidRDefault="002E3605" w:rsidP="008F4832">
      <w:pPr>
        <w:jc w:val="both"/>
        <w:rPr>
          <w:b/>
          <w:szCs w:val="23"/>
        </w:rPr>
      </w:pPr>
    </w:p>
    <w:p w14:paraId="0D9D2ED2" w14:textId="50F669E3" w:rsidR="00FB2E9C" w:rsidRPr="00EA1089" w:rsidRDefault="00FB2E9C" w:rsidP="008F4832">
      <w:pPr>
        <w:jc w:val="both"/>
        <w:rPr>
          <w:bCs/>
          <w:szCs w:val="23"/>
        </w:rPr>
      </w:pPr>
      <w:r w:rsidRPr="00EA1089">
        <w:rPr>
          <w:b/>
          <w:szCs w:val="23"/>
        </w:rPr>
        <w:t xml:space="preserve">Guaranteed Childcare Assistance Payment Programme </w:t>
      </w:r>
      <w:r w:rsidRPr="00EA1089">
        <w:rPr>
          <w:bCs/>
          <w:szCs w:val="23"/>
        </w:rPr>
        <w:t xml:space="preserve">(as established and </w:t>
      </w:r>
      <w:r w:rsidRPr="00EA1089">
        <w:rPr>
          <w:szCs w:val="23"/>
        </w:rPr>
        <w:t>approved</w:t>
      </w:r>
      <w:r w:rsidRPr="00EA1089">
        <w:rPr>
          <w:bCs/>
          <w:szCs w:val="23"/>
        </w:rPr>
        <w:t xml:space="preserve"> on 13 August 2012)</w:t>
      </w:r>
      <w:r w:rsidRPr="00EA1089">
        <w:rPr>
          <w:rStyle w:val="FootnoteReference"/>
          <w:bCs/>
          <w:szCs w:val="23"/>
        </w:rPr>
        <w:footnoteReference w:id="11"/>
      </w:r>
    </w:p>
    <w:p w14:paraId="31474D88" w14:textId="77777777" w:rsidR="001D3381" w:rsidRPr="00EA1089" w:rsidRDefault="001D3381" w:rsidP="008F4832">
      <w:pPr>
        <w:jc w:val="both"/>
        <w:rPr>
          <w:b/>
          <w:szCs w:val="23"/>
        </w:rPr>
      </w:pPr>
    </w:p>
    <w:p w14:paraId="6219E4AF" w14:textId="3584C764" w:rsidR="00FB2E9C" w:rsidRPr="00EA1089" w:rsidRDefault="00FB2E9C" w:rsidP="008F4832">
      <w:pPr>
        <w:jc w:val="both"/>
        <w:rPr>
          <w:b/>
          <w:szCs w:val="23"/>
        </w:rPr>
      </w:pPr>
      <w:r w:rsidRPr="00EF7AB9">
        <w:rPr>
          <w:b/>
          <w:szCs w:val="23"/>
        </w:rPr>
        <w:t>Clause 9</w:t>
      </w:r>
      <w:r w:rsidR="00CA04BF" w:rsidRPr="00EF7AB9">
        <w:rPr>
          <w:b/>
          <w:szCs w:val="23"/>
        </w:rPr>
        <w:t>(2)</w:t>
      </w:r>
    </w:p>
    <w:p w14:paraId="166708D6" w14:textId="65037C5D" w:rsidR="00FB2E9C" w:rsidRPr="00EA1089" w:rsidRDefault="00FB2E9C" w:rsidP="008F4832">
      <w:pPr>
        <w:jc w:val="both"/>
        <w:rPr>
          <w:bCs/>
          <w:szCs w:val="23"/>
        </w:rPr>
      </w:pPr>
      <w:r w:rsidRPr="00EA1089">
        <w:rPr>
          <w:bCs/>
          <w:szCs w:val="23"/>
        </w:rPr>
        <w:t xml:space="preserve">In clause 9(2), </w:t>
      </w:r>
      <w:r w:rsidR="00C8398C" w:rsidRPr="00EA1089">
        <w:rPr>
          <w:bCs/>
          <w:szCs w:val="23"/>
        </w:rPr>
        <w:t xml:space="preserve">definition of </w:t>
      </w:r>
      <w:r w:rsidR="00C8398C" w:rsidRPr="00EA1089">
        <w:rPr>
          <w:b/>
          <w:szCs w:val="23"/>
        </w:rPr>
        <w:t>c</w:t>
      </w:r>
      <w:r w:rsidR="00C8398C" w:rsidRPr="00EA1089">
        <w:rPr>
          <w:bCs/>
          <w:szCs w:val="23"/>
        </w:rPr>
        <w:t xml:space="preserve">, </w:t>
      </w:r>
      <w:r w:rsidRPr="00EA1089">
        <w:rPr>
          <w:bCs/>
          <w:szCs w:val="23"/>
        </w:rPr>
        <w:t>replace “$6</w:t>
      </w:r>
      <w:r w:rsidR="00C8398C" w:rsidRPr="00EA1089">
        <w:rPr>
          <w:bCs/>
          <w:szCs w:val="23"/>
        </w:rPr>
        <w:t>.</w:t>
      </w:r>
      <w:r w:rsidR="00DD5ADD">
        <w:rPr>
          <w:bCs/>
          <w:szCs w:val="23"/>
        </w:rPr>
        <w:t>52</w:t>
      </w:r>
      <w:r w:rsidRPr="00EA1089">
        <w:rPr>
          <w:bCs/>
          <w:szCs w:val="23"/>
        </w:rPr>
        <w:t xml:space="preserve"> with “$</w:t>
      </w:r>
      <w:r w:rsidR="00F540FA">
        <w:rPr>
          <w:bCs/>
          <w:szCs w:val="23"/>
        </w:rPr>
        <w:t>6.72</w:t>
      </w:r>
      <w:r w:rsidRPr="00EA1089">
        <w:rPr>
          <w:bCs/>
          <w:szCs w:val="23"/>
        </w:rPr>
        <w:t>” and “$3</w:t>
      </w:r>
      <w:r w:rsidR="00DD5ADD">
        <w:rPr>
          <w:bCs/>
          <w:szCs w:val="23"/>
        </w:rPr>
        <w:t>26</w:t>
      </w:r>
      <w:r w:rsidRPr="00EA1089">
        <w:rPr>
          <w:bCs/>
          <w:szCs w:val="23"/>
        </w:rPr>
        <w:t>” with “$</w:t>
      </w:r>
      <w:r w:rsidR="001E7610">
        <w:rPr>
          <w:bCs/>
          <w:szCs w:val="23"/>
        </w:rPr>
        <w:t>336</w:t>
      </w:r>
      <w:r w:rsidRPr="00EA1089">
        <w:rPr>
          <w:bCs/>
          <w:szCs w:val="23"/>
        </w:rPr>
        <w:t>”.</w:t>
      </w:r>
    </w:p>
    <w:p w14:paraId="13E118A9" w14:textId="77777777" w:rsidR="008F4832" w:rsidRPr="00EA1089" w:rsidRDefault="008F4832" w:rsidP="008F4832">
      <w:pPr>
        <w:jc w:val="both"/>
        <w:rPr>
          <w:b/>
          <w:szCs w:val="23"/>
        </w:rPr>
      </w:pPr>
    </w:p>
    <w:p w14:paraId="183E5B18" w14:textId="63DF9842" w:rsidR="007B175B" w:rsidRPr="00EA1089" w:rsidRDefault="007B175B" w:rsidP="008F4832">
      <w:pPr>
        <w:jc w:val="both"/>
        <w:rPr>
          <w:szCs w:val="23"/>
        </w:rPr>
      </w:pPr>
      <w:r w:rsidRPr="00EA1089">
        <w:rPr>
          <w:b/>
          <w:szCs w:val="23"/>
        </w:rPr>
        <w:t>Home Help Programme</w:t>
      </w:r>
      <w:r w:rsidRPr="00EA1089">
        <w:rPr>
          <w:szCs w:val="23"/>
        </w:rPr>
        <w:t xml:space="preserve"> (as established and approved on 6 May 2004)</w:t>
      </w:r>
      <w:r w:rsidRPr="00EA1089">
        <w:rPr>
          <w:rStyle w:val="FootnoteReference"/>
          <w:szCs w:val="23"/>
        </w:rPr>
        <w:footnoteReference w:id="12"/>
      </w:r>
    </w:p>
    <w:p w14:paraId="2B24190E" w14:textId="77777777" w:rsidR="001D3381" w:rsidRPr="00EA1089" w:rsidRDefault="001D3381" w:rsidP="008F4832">
      <w:pPr>
        <w:jc w:val="both"/>
        <w:rPr>
          <w:b/>
          <w:szCs w:val="23"/>
        </w:rPr>
      </w:pPr>
    </w:p>
    <w:p w14:paraId="2B397067" w14:textId="324711AE" w:rsidR="007B175B" w:rsidRPr="00EA1089" w:rsidRDefault="007B175B" w:rsidP="008F4832">
      <w:pPr>
        <w:jc w:val="both"/>
        <w:rPr>
          <w:b/>
          <w:szCs w:val="23"/>
        </w:rPr>
      </w:pPr>
      <w:r w:rsidRPr="00EA1089">
        <w:rPr>
          <w:b/>
          <w:szCs w:val="23"/>
        </w:rPr>
        <w:t>Schedule</w:t>
      </w:r>
    </w:p>
    <w:p w14:paraId="3E6DE030" w14:textId="77B17D34" w:rsidR="007B175B" w:rsidRPr="00EA1089" w:rsidRDefault="007B175B" w:rsidP="008F4832">
      <w:pPr>
        <w:jc w:val="both"/>
        <w:rPr>
          <w:szCs w:val="23"/>
        </w:rPr>
      </w:pPr>
      <w:r w:rsidRPr="00EA1089">
        <w:rPr>
          <w:szCs w:val="23"/>
        </w:rPr>
        <w:t>In the Schedule, clause 1(a), replace “$</w:t>
      </w:r>
      <w:r w:rsidR="00F31D06" w:rsidRPr="00EA1089">
        <w:rPr>
          <w:szCs w:val="23"/>
        </w:rPr>
        <w:t>2</w:t>
      </w:r>
      <w:r w:rsidR="003668D9" w:rsidRPr="00EA1089">
        <w:rPr>
          <w:szCs w:val="23"/>
        </w:rPr>
        <w:t>4.</w:t>
      </w:r>
      <w:r w:rsidR="00DD5ADD">
        <w:rPr>
          <w:szCs w:val="23"/>
        </w:rPr>
        <w:t>74</w:t>
      </w:r>
      <w:r w:rsidRPr="00EA1089">
        <w:rPr>
          <w:szCs w:val="23"/>
        </w:rPr>
        <w:t>” with “$</w:t>
      </w:r>
      <w:r w:rsidR="0091788F">
        <w:rPr>
          <w:szCs w:val="23"/>
        </w:rPr>
        <w:t>25.21</w:t>
      </w:r>
      <w:r w:rsidR="00DD5ADD">
        <w:rPr>
          <w:szCs w:val="23"/>
        </w:rPr>
        <w:t>”</w:t>
      </w:r>
      <w:r w:rsidRPr="00EA1089">
        <w:rPr>
          <w:szCs w:val="23"/>
        </w:rPr>
        <w:t>.</w:t>
      </w:r>
    </w:p>
    <w:p w14:paraId="380FCB48" w14:textId="77777777" w:rsidR="002E3605" w:rsidRPr="00EA1089" w:rsidRDefault="002E3605" w:rsidP="008F4832">
      <w:pPr>
        <w:jc w:val="both"/>
        <w:rPr>
          <w:b/>
          <w:szCs w:val="23"/>
        </w:rPr>
      </w:pPr>
    </w:p>
    <w:p w14:paraId="73B67738" w14:textId="417EC9C8" w:rsidR="00FE172F" w:rsidRPr="00EA1089" w:rsidRDefault="00565F17" w:rsidP="008F4832">
      <w:pPr>
        <w:jc w:val="both"/>
        <w:rPr>
          <w:szCs w:val="23"/>
        </w:rPr>
      </w:pPr>
      <w:r w:rsidRPr="00EA1089">
        <w:rPr>
          <w:b/>
          <w:szCs w:val="23"/>
        </w:rPr>
        <w:t xml:space="preserve">New Employment Transition Grant Programme </w:t>
      </w:r>
      <w:r w:rsidRPr="00EA1089">
        <w:rPr>
          <w:szCs w:val="23"/>
        </w:rPr>
        <w:t>(as established and approved on 9 December 1998)</w:t>
      </w:r>
      <w:r w:rsidRPr="00EA1089">
        <w:rPr>
          <w:rStyle w:val="FootnoteReference"/>
          <w:szCs w:val="23"/>
        </w:rPr>
        <w:footnoteReference w:id="13"/>
      </w:r>
    </w:p>
    <w:p w14:paraId="5099ABD6" w14:textId="77777777" w:rsidR="001D3381" w:rsidRPr="00EA1089" w:rsidRDefault="001D3381" w:rsidP="008F4832">
      <w:pPr>
        <w:jc w:val="both"/>
        <w:rPr>
          <w:b/>
          <w:szCs w:val="23"/>
        </w:rPr>
      </w:pPr>
    </w:p>
    <w:p w14:paraId="3A088506" w14:textId="5AB927FC" w:rsidR="00FE172F" w:rsidRPr="00EA1089" w:rsidRDefault="00565F17" w:rsidP="008F4832">
      <w:pPr>
        <w:jc w:val="both"/>
        <w:rPr>
          <w:b/>
          <w:szCs w:val="23"/>
        </w:rPr>
      </w:pPr>
      <w:r w:rsidRPr="00EA1089">
        <w:rPr>
          <w:b/>
          <w:szCs w:val="23"/>
        </w:rPr>
        <w:t>Clause 5.1.1</w:t>
      </w:r>
    </w:p>
    <w:p w14:paraId="73E3FD62" w14:textId="3CAB667F" w:rsidR="00FE172F" w:rsidRPr="00EA1089" w:rsidRDefault="0035133C" w:rsidP="008F4832">
      <w:pPr>
        <w:jc w:val="both"/>
        <w:rPr>
          <w:szCs w:val="23"/>
        </w:rPr>
      </w:pPr>
      <w:r w:rsidRPr="00EA1089">
        <w:rPr>
          <w:szCs w:val="23"/>
        </w:rPr>
        <w:t>In clause 5.1.1, replace “$</w:t>
      </w:r>
      <w:r w:rsidR="003668D9" w:rsidRPr="00EA1089">
        <w:rPr>
          <w:szCs w:val="23"/>
        </w:rPr>
        <w:t>9</w:t>
      </w:r>
      <w:r w:rsidR="00DD5ADD">
        <w:rPr>
          <w:szCs w:val="23"/>
        </w:rPr>
        <w:t>3</w:t>
      </w:r>
      <w:r w:rsidRPr="00EA1089">
        <w:rPr>
          <w:szCs w:val="23"/>
        </w:rPr>
        <w:t>” with “$</w:t>
      </w:r>
      <w:r w:rsidR="00CF0C87">
        <w:rPr>
          <w:szCs w:val="23"/>
        </w:rPr>
        <w:t>96</w:t>
      </w:r>
      <w:r w:rsidR="00565F17" w:rsidRPr="00EA1089">
        <w:rPr>
          <w:szCs w:val="23"/>
        </w:rPr>
        <w:t>”.</w:t>
      </w:r>
    </w:p>
    <w:p w14:paraId="295EC09D" w14:textId="77777777" w:rsidR="00DD1C3A" w:rsidRPr="00EA1089" w:rsidRDefault="00DD1C3A" w:rsidP="008F4832">
      <w:pPr>
        <w:jc w:val="both"/>
        <w:rPr>
          <w:b/>
          <w:szCs w:val="23"/>
        </w:rPr>
      </w:pPr>
    </w:p>
    <w:p w14:paraId="0C7CA060" w14:textId="37AAAA94" w:rsidR="00FE172F" w:rsidRPr="00EA1089" w:rsidRDefault="00565F17" w:rsidP="008F4832">
      <w:pPr>
        <w:jc w:val="both"/>
        <w:rPr>
          <w:szCs w:val="23"/>
        </w:rPr>
      </w:pPr>
      <w:r w:rsidRPr="00EA1089">
        <w:rPr>
          <w:b/>
          <w:szCs w:val="23"/>
        </w:rPr>
        <w:t>Clause 5.2</w:t>
      </w:r>
    </w:p>
    <w:p w14:paraId="24213B73" w14:textId="4F70A9A7" w:rsidR="00FE172F" w:rsidRPr="00EA1089" w:rsidRDefault="0035133C" w:rsidP="008F4832">
      <w:pPr>
        <w:jc w:val="both"/>
        <w:rPr>
          <w:szCs w:val="23"/>
        </w:rPr>
      </w:pPr>
      <w:r w:rsidRPr="00EA1089">
        <w:rPr>
          <w:szCs w:val="23"/>
        </w:rPr>
        <w:t>In clause 5.2, replace “$</w:t>
      </w:r>
      <w:r w:rsidR="003668D9" w:rsidRPr="00EA1089">
        <w:rPr>
          <w:szCs w:val="23"/>
        </w:rPr>
        <w:t>9</w:t>
      </w:r>
      <w:r w:rsidR="00DD5ADD">
        <w:rPr>
          <w:szCs w:val="23"/>
        </w:rPr>
        <w:t>30</w:t>
      </w:r>
      <w:r w:rsidRPr="00EA1089">
        <w:rPr>
          <w:szCs w:val="23"/>
        </w:rPr>
        <w:t>” with “$</w:t>
      </w:r>
      <w:r w:rsidR="00CF0C87">
        <w:rPr>
          <w:szCs w:val="23"/>
        </w:rPr>
        <w:t>960</w:t>
      </w:r>
      <w:r w:rsidR="00565F17" w:rsidRPr="00EA1089">
        <w:rPr>
          <w:szCs w:val="23"/>
        </w:rPr>
        <w:t>”.</w:t>
      </w:r>
    </w:p>
    <w:p w14:paraId="36B5BB7C" w14:textId="77777777" w:rsidR="002E3605" w:rsidRPr="00EA1089" w:rsidRDefault="002E3605" w:rsidP="008F4832">
      <w:pPr>
        <w:jc w:val="both"/>
        <w:rPr>
          <w:b/>
          <w:bCs/>
          <w:szCs w:val="23"/>
        </w:rPr>
      </w:pPr>
    </w:p>
    <w:p w14:paraId="6547D509" w14:textId="256F37A0" w:rsidR="007B175B" w:rsidRPr="00EA1089" w:rsidRDefault="007B175B" w:rsidP="008F4832">
      <w:pPr>
        <w:jc w:val="both"/>
        <w:rPr>
          <w:szCs w:val="23"/>
        </w:rPr>
      </w:pPr>
      <w:r w:rsidRPr="00EA1089">
        <w:rPr>
          <w:b/>
          <w:bCs/>
          <w:szCs w:val="23"/>
        </w:rPr>
        <w:lastRenderedPageBreak/>
        <w:t xml:space="preserve">Recoverable Assistance Programme </w:t>
      </w:r>
      <w:r w:rsidRPr="00EA1089">
        <w:rPr>
          <w:szCs w:val="23"/>
        </w:rPr>
        <w:t xml:space="preserve">(as established and approved on </w:t>
      </w:r>
      <w:r w:rsidR="001B0493" w:rsidRPr="00EA1089">
        <w:rPr>
          <w:szCs w:val="23"/>
        </w:rPr>
        <w:t>15 February 1999</w:t>
      </w:r>
      <w:r w:rsidRPr="00EA1089">
        <w:rPr>
          <w:szCs w:val="23"/>
        </w:rPr>
        <w:t>)</w:t>
      </w:r>
      <w:r w:rsidRPr="00EA1089">
        <w:rPr>
          <w:rStyle w:val="FootnoteReference"/>
          <w:szCs w:val="23"/>
        </w:rPr>
        <w:footnoteReference w:id="14"/>
      </w:r>
    </w:p>
    <w:p w14:paraId="1329B7FE" w14:textId="77777777" w:rsidR="00A63B81" w:rsidRPr="00EA1089" w:rsidRDefault="00A63B81" w:rsidP="008F4832">
      <w:pPr>
        <w:jc w:val="both"/>
        <w:rPr>
          <w:b/>
          <w:bCs/>
          <w:szCs w:val="23"/>
        </w:rPr>
      </w:pPr>
    </w:p>
    <w:p w14:paraId="763353DF" w14:textId="28A9BFA4" w:rsidR="007B175B" w:rsidRPr="00EA1089" w:rsidRDefault="007B175B" w:rsidP="008F4832">
      <w:pPr>
        <w:jc w:val="both"/>
        <w:rPr>
          <w:b/>
          <w:bCs/>
          <w:szCs w:val="23"/>
        </w:rPr>
      </w:pPr>
      <w:r w:rsidRPr="00EA1089">
        <w:rPr>
          <w:b/>
          <w:bCs/>
          <w:szCs w:val="23"/>
        </w:rPr>
        <w:t xml:space="preserve">Clause 7.4 </w:t>
      </w:r>
    </w:p>
    <w:p w14:paraId="317BB714" w14:textId="585FECA1" w:rsidR="007B175B" w:rsidRPr="00EA1089" w:rsidRDefault="007B175B" w:rsidP="008F4832">
      <w:pPr>
        <w:rPr>
          <w:bCs/>
          <w:szCs w:val="23"/>
        </w:rPr>
      </w:pPr>
      <w:r w:rsidRPr="00EA1089">
        <w:rPr>
          <w:bCs/>
          <w:szCs w:val="23"/>
        </w:rPr>
        <w:t>In clause 7.4(a), replace “$</w:t>
      </w:r>
      <w:r w:rsidR="003668D9" w:rsidRPr="00EA1089">
        <w:rPr>
          <w:bCs/>
          <w:szCs w:val="23"/>
        </w:rPr>
        <w:t>8</w:t>
      </w:r>
      <w:r w:rsidR="00DD5ADD">
        <w:rPr>
          <w:bCs/>
          <w:szCs w:val="23"/>
        </w:rPr>
        <w:t>54.30</w:t>
      </w:r>
      <w:r w:rsidRPr="00EA1089">
        <w:rPr>
          <w:bCs/>
          <w:szCs w:val="23"/>
        </w:rPr>
        <w:t xml:space="preserve">” with </w:t>
      </w:r>
      <w:r w:rsidR="003C070F" w:rsidRPr="00EA1089">
        <w:rPr>
          <w:bCs/>
          <w:szCs w:val="23"/>
        </w:rPr>
        <w:t>“$</w:t>
      </w:r>
      <w:r w:rsidR="00CF0C87">
        <w:rPr>
          <w:bCs/>
          <w:szCs w:val="23"/>
        </w:rPr>
        <w:t>87</w:t>
      </w:r>
      <w:r w:rsidR="00581404">
        <w:rPr>
          <w:bCs/>
          <w:szCs w:val="23"/>
        </w:rPr>
        <w:t>9</w:t>
      </w:r>
      <w:r w:rsidR="00CF0C87">
        <w:rPr>
          <w:bCs/>
          <w:szCs w:val="23"/>
        </w:rPr>
        <w:t>.</w:t>
      </w:r>
      <w:r w:rsidR="00581404">
        <w:rPr>
          <w:bCs/>
          <w:szCs w:val="23"/>
        </w:rPr>
        <w:t>17</w:t>
      </w:r>
      <w:r w:rsidR="003C070F"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722B5513" w14:textId="21BBEC35" w:rsidR="007B175B" w:rsidRPr="00EA1089" w:rsidRDefault="007B175B" w:rsidP="008F4832">
      <w:pPr>
        <w:rPr>
          <w:bCs/>
          <w:szCs w:val="23"/>
        </w:rPr>
      </w:pPr>
      <w:r w:rsidRPr="00EA1089">
        <w:rPr>
          <w:bCs/>
          <w:szCs w:val="23"/>
        </w:rPr>
        <w:t>In clause 7.4(b), replace “</w:t>
      </w:r>
      <w:r w:rsidR="001A3B4F" w:rsidRPr="00EA1089">
        <w:rPr>
          <w:bCs/>
          <w:szCs w:val="23"/>
        </w:rPr>
        <w:t>$</w:t>
      </w:r>
      <w:r w:rsidR="003668D9" w:rsidRPr="00EA1089">
        <w:rPr>
          <w:bCs/>
          <w:szCs w:val="23"/>
        </w:rPr>
        <w:t>9</w:t>
      </w:r>
      <w:r w:rsidR="00DD5ADD">
        <w:rPr>
          <w:bCs/>
          <w:szCs w:val="23"/>
        </w:rPr>
        <w:t>81.83</w:t>
      </w:r>
      <w:r w:rsidRPr="00EA1089">
        <w:rPr>
          <w:bCs/>
          <w:szCs w:val="23"/>
        </w:rPr>
        <w:t xml:space="preserve">” with </w:t>
      </w:r>
      <w:r w:rsidR="001A3B4F" w:rsidRPr="00EA1089">
        <w:rPr>
          <w:bCs/>
          <w:szCs w:val="23"/>
        </w:rPr>
        <w:t>“</w:t>
      </w:r>
      <w:r w:rsidR="000F3623" w:rsidRPr="00EA1089">
        <w:rPr>
          <w:bCs/>
          <w:szCs w:val="23"/>
        </w:rPr>
        <w:t>$</w:t>
      </w:r>
      <w:r w:rsidR="00CF0C87">
        <w:rPr>
          <w:bCs/>
          <w:szCs w:val="23"/>
        </w:rPr>
        <w:t>1,0</w:t>
      </w:r>
      <w:r w:rsidR="00581404">
        <w:rPr>
          <w:bCs/>
          <w:szCs w:val="23"/>
        </w:rPr>
        <w:t>10.41</w:t>
      </w:r>
      <w:r w:rsidR="001A3B4F"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036BBFCE" w14:textId="52FED29E" w:rsidR="007B175B" w:rsidRPr="00EA1089" w:rsidRDefault="007B175B" w:rsidP="008F4832">
      <w:pPr>
        <w:rPr>
          <w:bCs/>
          <w:szCs w:val="23"/>
        </w:rPr>
      </w:pPr>
      <w:r w:rsidRPr="00EA1089">
        <w:rPr>
          <w:bCs/>
          <w:szCs w:val="23"/>
        </w:rPr>
        <w:t>In clause 7.4(c), replace “</w:t>
      </w:r>
      <w:r w:rsidR="001A3B4F" w:rsidRPr="00EA1089">
        <w:rPr>
          <w:bCs/>
          <w:szCs w:val="23"/>
        </w:rPr>
        <w:t>$</w:t>
      </w:r>
      <w:r w:rsidR="003668D9" w:rsidRPr="00EA1089">
        <w:rPr>
          <w:bCs/>
          <w:szCs w:val="23"/>
        </w:rPr>
        <w:t>1,</w:t>
      </w:r>
      <w:r w:rsidR="00DD5ADD">
        <w:rPr>
          <w:bCs/>
          <w:szCs w:val="23"/>
        </w:rPr>
        <w:t>426.10</w:t>
      </w:r>
      <w:r w:rsidRPr="00EA1089">
        <w:rPr>
          <w:bCs/>
          <w:szCs w:val="23"/>
        </w:rPr>
        <w:t xml:space="preserve">” with </w:t>
      </w:r>
      <w:r w:rsidR="001A3B4F" w:rsidRPr="00EA1089">
        <w:rPr>
          <w:bCs/>
          <w:szCs w:val="23"/>
        </w:rPr>
        <w:t>“$</w:t>
      </w:r>
      <w:r w:rsidR="00CF0C87">
        <w:rPr>
          <w:bCs/>
          <w:szCs w:val="23"/>
        </w:rPr>
        <w:t>1,4</w:t>
      </w:r>
      <w:r w:rsidR="004A29D6">
        <w:rPr>
          <w:bCs/>
          <w:szCs w:val="23"/>
        </w:rPr>
        <w:t>67.61</w:t>
      </w:r>
      <w:r w:rsidR="001A3B4F"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57A9E5BA" w14:textId="05E341AF" w:rsidR="007B175B" w:rsidRPr="00EA1089" w:rsidRDefault="007B175B" w:rsidP="008F4832">
      <w:pPr>
        <w:rPr>
          <w:bCs/>
          <w:szCs w:val="23"/>
        </w:rPr>
      </w:pPr>
      <w:r w:rsidRPr="00EA1089">
        <w:rPr>
          <w:bCs/>
          <w:szCs w:val="23"/>
        </w:rPr>
        <w:t>In clause 7.4(d), replace “</w:t>
      </w:r>
      <w:r w:rsidR="001A3B4F" w:rsidRPr="00EA1089">
        <w:rPr>
          <w:bCs/>
          <w:szCs w:val="23"/>
        </w:rPr>
        <w:t>$</w:t>
      </w:r>
      <w:r w:rsidR="003668D9" w:rsidRPr="00EA1089">
        <w:rPr>
          <w:bCs/>
          <w:szCs w:val="23"/>
        </w:rPr>
        <w:t>1,</w:t>
      </w:r>
      <w:r w:rsidR="00DD5ADD">
        <w:rPr>
          <w:bCs/>
          <w:szCs w:val="23"/>
        </w:rPr>
        <w:t>191.41</w:t>
      </w:r>
      <w:r w:rsidRPr="00EA1089">
        <w:rPr>
          <w:bCs/>
          <w:szCs w:val="23"/>
        </w:rPr>
        <w:t xml:space="preserve">” with </w:t>
      </w:r>
      <w:r w:rsidR="001A3B4F" w:rsidRPr="00EA1089">
        <w:rPr>
          <w:bCs/>
          <w:szCs w:val="23"/>
        </w:rPr>
        <w:t>“</w:t>
      </w:r>
      <w:r w:rsidR="00DB68A3">
        <w:rPr>
          <w:bCs/>
          <w:szCs w:val="23"/>
        </w:rPr>
        <w:t>$</w:t>
      </w:r>
      <w:r w:rsidR="00CF0C87">
        <w:rPr>
          <w:bCs/>
          <w:szCs w:val="23"/>
        </w:rPr>
        <w:t>1,2</w:t>
      </w:r>
      <w:r w:rsidR="004A29D6">
        <w:rPr>
          <w:bCs/>
          <w:szCs w:val="23"/>
        </w:rPr>
        <w:t>26.09</w:t>
      </w:r>
      <w:r w:rsidR="001A3B4F"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66D3A557" w14:textId="52F6C7C4" w:rsidR="007B175B" w:rsidRPr="00EA1089" w:rsidRDefault="007B175B" w:rsidP="008F4832">
      <w:pPr>
        <w:rPr>
          <w:bCs/>
          <w:szCs w:val="23"/>
        </w:rPr>
      </w:pPr>
      <w:r w:rsidRPr="00EA1089">
        <w:rPr>
          <w:bCs/>
          <w:szCs w:val="23"/>
        </w:rPr>
        <w:t>In clause 7.4(e), replace “</w:t>
      </w:r>
      <w:r w:rsidR="001A3B4F" w:rsidRPr="00EA1089">
        <w:rPr>
          <w:bCs/>
          <w:szCs w:val="23"/>
        </w:rPr>
        <w:t>$</w:t>
      </w:r>
      <w:r w:rsidR="003668D9" w:rsidRPr="00EA1089">
        <w:rPr>
          <w:bCs/>
          <w:szCs w:val="23"/>
        </w:rPr>
        <w:t>1,2</w:t>
      </w:r>
      <w:r w:rsidR="00DD5ADD">
        <w:rPr>
          <w:bCs/>
          <w:szCs w:val="23"/>
        </w:rPr>
        <w:t>55.22</w:t>
      </w:r>
      <w:r w:rsidRPr="00EA1089">
        <w:rPr>
          <w:bCs/>
          <w:szCs w:val="23"/>
        </w:rPr>
        <w:t xml:space="preserve">” with </w:t>
      </w:r>
      <w:r w:rsidR="00CE295F" w:rsidRPr="00EA1089">
        <w:rPr>
          <w:bCs/>
          <w:szCs w:val="23"/>
        </w:rPr>
        <w:t>“$</w:t>
      </w:r>
      <w:r w:rsidR="00CF0C87">
        <w:rPr>
          <w:bCs/>
          <w:szCs w:val="23"/>
        </w:rPr>
        <w:t>1,2</w:t>
      </w:r>
      <w:r w:rsidR="004A29D6">
        <w:rPr>
          <w:bCs/>
          <w:szCs w:val="23"/>
        </w:rPr>
        <w:t>91.75</w:t>
      </w:r>
      <w:r w:rsidR="00CE295F"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0EDF0270" w14:textId="77777777" w:rsidR="004417BE" w:rsidRPr="00EA1089" w:rsidRDefault="004417BE" w:rsidP="008F4832">
      <w:pPr>
        <w:jc w:val="both"/>
        <w:rPr>
          <w:b/>
          <w:szCs w:val="23"/>
        </w:rPr>
      </w:pPr>
    </w:p>
    <w:p w14:paraId="29F26393" w14:textId="4E4A2E4C" w:rsidR="00FE172F" w:rsidRPr="00EA1089" w:rsidRDefault="00565F17" w:rsidP="008F4832">
      <w:pPr>
        <w:jc w:val="both"/>
        <w:rPr>
          <w:szCs w:val="23"/>
        </w:rPr>
      </w:pPr>
      <w:r w:rsidRPr="00EA1089">
        <w:rPr>
          <w:b/>
          <w:szCs w:val="23"/>
        </w:rPr>
        <w:t>Seasonal Work Assistance Programme</w:t>
      </w:r>
      <w:r w:rsidRPr="00EA1089">
        <w:rPr>
          <w:szCs w:val="23"/>
        </w:rPr>
        <w:t xml:space="preserve"> (as established and approved on 7 July 2002)</w:t>
      </w:r>
      <w:r w:rsidRPr="00EA1089">
        <w:rPr>
          <w:rStyle w:val="FootnoteReference"/>
          <w:szCs w:val="23"/>
        </w:rPr>
        <w:footnoteReference w:id="15"/>
      </w:r>
    </w:p>
    <w:p w14:paraId="69B3B39D" w14:textId="77777777" w:rsidR="000B706D" w:rsidRPr="00EA1089" w:rsidRDefault="000B706D" w:rsidP="008F4832">
      <w:pPr>
        <w:jc w:val="both"/>
        <w:rPr>
          <w:b/>
          <w:szCs w:val="23"/>
        </w:rPr>
      </w:pPr>
    </w:p>
    <w:p w14:paraId="52E2CC1A" w14:textId="611B26FD" w:rsidR="00FE172F" w:rsidRPr="00EA1089" w:rsidRDefault="00565F17" w:rsidP="008F4832">
      <w:pPr>
        <w:jc w:val="both"/>
        <w:rPr>
          <w:b/>
          <w:szCs w:val="23"/>
        </w:rPr>
      </w:pPr>
      <w:r w:rsidRPr="00EA1089">
        <w:rPr>
          <w:b/>
          <w:szCs w:val="23"/>
        </w:rPr>
        <w:t>Clause 7(3)</w:t>
      </w:r>
    </w:p>
    <w:p w14:paraId="701A3D16" w14:textId="0F1D626B" w:rsidR="00DD1C3A" w:rsidRPr="00EA1089" w:rsidRDefault="00565F17" w:rsidP="00DD1C3A">
      <w:pPr>
        <w:jc w:val="both"/>
        <w:rPr>
          <w:szCs w:val="23"/>
        </w:rPr>
      </w:pPr>
      <w:r w:rsidRPr="00EA1089">
        <w:rPr>
          <w:szCs w:val="23"/>
        </w:rPr>
        <w:t>In clause 7(3), replace</w:t>
      </w:r>
      <w:r w:rsidR="0035133C" w:rsidRPr="00EA1089">
        <w:rPr>
          <w:szCs w:val="23"/>
        </w:rPr>
        <w:t xml:space="preserve"> “$</w:t>
      </w:r>
      <w:r w:rsidR="003668D9" w:rsidRPr="00EA1089">
        <w:rPr>
          <w:szCs w:val="23"/>
        </w:rPr>
        <w:t>2,6</w:t>
      </w:r>
      <w:r w:rsidR="00DD5ADD">
        <w:rPr>
          <w:szCs w:val="23"/>
        </w:rPr>
        <w:t>69</w:t>
      </w:r>
      <w:r w:rsidR="0035133C" w:rsidRPr="00EA1089">
        <w:rPr>
          <w:szCs w:val="23"/>
        </w:rPr>
        <w:t>” with “</w:t>
      </w:r>
      <w:r w:rsidR="009A44E9" w:rsidRPr="00EA1089">
        <w:rPr>
          <w:szCs w:val="23"/>
        </w:rPr>
        <w:t>$</w:t>
      </w:r>
      <w:r w:rsidR="00BD1D9A">
        <w:rPr>
          <w:szCs w:val="23"/>
        </w:rPr>
        <w:t>2,754</w:t>
      </w:r>
      <w:r w:rsidRPr="00EA1089">
        <w:rPr>
          <w:szCs w:val="23"/>
        </w:rPr>
        <w:t>”.</w:t>
      </w:r>
    </w:p>
    <w:p w14:paraId="089F1499" w14:textId="77777777" w:rsidR="0091237E" w:rsidRPr="00EA1089" w:rsidRDefault="0091237E" w:rsidP="00DD1C3A">
      <w:pPr>
        <w:jc w:val="both"/>
        <w:rPr>
          <w:b/>
          <w:szCs w:val="23"/>
        </w:rPr>
      </w:pPr>
    </w:p>
    <w:p w14:paraId="27491945" w14:textId="2CDBD5A0" w:rsidR="00FE172F" w:rsidRPr="00EA1089" w:rsidRDefault="00565F17" w:rsidP="00DD1C3A">
      <w:pPr>
        <w:jc w:val="both"/>
        <w:rPr>
          <w:szCs w:val="23"/>
        </w:rPr>
      </w:pPr>
      <w:r w:rsidRPr="00EA1089">
        <w:rPr>
          <w:b/>
          <w:szCs w:val="23"/>
        </w:rPr>
        <w:t>Schedule 1</w:t>
      </w:r>
    </w:p>
    <w:p w14:paraId="1944EF76" w14:textId="14F34B49" w:rsidR="000669FC" w:rsidRPr="00EA1089" w:rsidRDefault="00565F17" w:rsidP="008F4832">
      <w:pPr>
        <w:jc w:val="both"/>
        <w:rPr>
          <w:szCs w:val="23"/>
        </w:rPr>
      </w:pPr>
      <w:r w:rsidRPr="00EA1089">
        <w:rPr>
          <w:szCs w:val="23"/>
        </w:rPr>
        <w:t>In Schedule 1, table, replace with:</w:t>
      </w: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4536"/>
        <w:gridCol w:w="3828"/>
      </w:tblGrid>
      <w:tr w:rsidR="00997A6C" w:rsidRPr="00EA1089" w14:paraId="345B9EF3" w14:textId="693A4CA4" w:rsidTr="00BF60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95790" w14:textId="20902B2E" w:rsidR="00997A6C" w:rsidRPr="00EA1089" w:rsidRDefault="00997A6C" w:rsidP="008F4832">
            <w:pPr>
              <w:keepNext/>
              <w:jc w:val="center"/>
              <w:rPr>
                <w:b/>
                <w:szCs w:val="23"/>
              </w:rPr>
            </w:pPr>
            <w:r w:rsidRPr="00EA1089">
              <w:rPr>
                <w:b/>
                <w:szCs w:val="23"/>
              </w:rPr>
              <w:t>Hours lost (over the week)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0ED47" w14:textId="2680EF07" w:rsidR="00997A6C" w:rsidRPr="00EA1089" w:rsidRDefault="00997A6C" w:rsidP="008F4832">
            <w:pPr>
              <w:keepNext/>
              <w:jc w:val="center"/>
              <w:rPr>
                <w:b/>
                <w:szCs w:val="23"/>
              </w:rPr>
            </w:pPr>
            <w:r w:rsidRPr="00EA1089">
              <w:rPr>
                <w:b/>
                <w:bCs/>
                <w:szCs w:val="23"/>
              </w:rPr>
              <w:t>Maximum weekly amounts of Seasonal Work Assistance payments</w:t>
            </w:r>
          </w:p>
        </w:tc>
      </w:tr>
      <w:tr w:rsidR="00997A6C" w:rsidRPr="00EA1089" w14:paraId="73CF570D" w14:textId="68681E9F" w:rsidTr="00BF60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DA852" w14:textId="77777777" w:rsidR="00997A6C" w:rsidRPr="00EA1089" w:rsidRDefault="00997A6C" w:rsidP="002A45E3">
            <w:pPr>
              <w:spacing w:after="120"/>
              <w:jc w:val="both"/>
              <w:rPr>
                <w:szCs w:val="23"/>
              </w:rPr>
            </w:pPr>
            <w:r w:rsidRPr="00EA1089">
              <w:rPr>
                <w:szCs w:val="23"/>
              </w:rPr>
              <w:t>8 hours or less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F15AC" w14:textId="79100A21" w:rsidR="00505EC7" w:rsidRPr="00EA1089" w:rsidRDefault="00997A6C" w:rsidP="008F4832">
            <w:pPr>
              <w:tabs>
                <w:tab w:val="decimal" w:pos="1207"/>
              </w:tabs>
              <w:rPr>
                <w:szCs w:val="23"/>
              </w:rPr>
            </w:pPr>
            <w:r w:rsidRPr="00EA1089">
              <w:rPr>
                <w:szCs w:val="23"/>
              </w:rPr>
              <w:t>$</w:t>
            </w:r>
            <w:r w:rsidR="005A55D8">
              <w:rPr>
                <w:szCs w:val="23"/>
              </w:rPr>
              <w:t>162</w:t>
            </w:r>
          </w:p>
        </w:tc>
      </w:tr>
      <w:tr w:rsidR="00B321FA" w:rsidRPr="00EA1089" w14:paraId="6A677EDC" w14:textId="2366487B" w:rsidTr="00BF60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B7964" w14:textId="77777777" w:rsidR="00B321FA" w:rsidRPr="00EA1089" w:rsidRDefault="00B321FA" w:rsidP="002A45E3">
            <w:pPr>
              <w:spacing w:after="120"/>
              <w:jc w:val="both"/>
              <w:rPr>
                <w:szCs w:val="23"/>
              </w:rPr>
            </w:pPr>
            <w:r w:rsidRPr="00EA1089">
              <w:rPr>
                <w:szCs w:val="23"/>
              </w:rPr>
              <w:t>More than 8 and not more than 16 hours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CF248" w14:textId="0CF067F4" w:rsidR="00B321FA" w:rsidRPr="00EA1089" w:rsidRDefault="00B321FA" w:rsidP="008F4832">
            <w:pPr>
              <w:tabs>
                <w:tab w:val="decimal" w:pos="1207"/>
              </w:tabs>
              <w:rPr>
                <w:szCs w:val="23"/>
              </w:rPr>
            </w:pPr>
            <w:r w:rsidRPr="00EA1089">
              <w:rPr>
                <w:szCs w:val="23"/>
              </w:rPr>
              <w:t>$</w:t>
            </w:r>
            <w:r w:rsidR="005A55D8">
              <w:rPr>
                <w:szCs w:val="23"/>
              </w:rPr>
              <w:t>324</w:t>
            </w:r>
          </w:p>
        </w:tc>
      </w:tr>
      <w:tr w:rsidR="00B321FA" w:rsidRPr="00EA1089" w14:paraId="3417F09F" w14:textId="1E1533D7" w:rsidTr="00BF60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A9B6F" w14:textId="77777777" w:rsidR="00B321FA" w:rsidRPr="00EA1089" w:rsidRDefault="00B321FA" w:rsidP="002A45E3">
            <w:pPr>
              <w:spacing w:after="120"/>
              <w:jc w:val="both"/>
              <w:rPr>
                <w:szCs w:val="23"/>
              </w:rPr>
            </w:pPr>
            <w:r w:rsidRPr="00EA1089">
              <w:rPr>
                <w:szCs w:val="23"/>
              </w:rPr>
              <w:t>More than 16 and not more than 24 hours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9BF2D" w14:textId="1D7391AE" w:rsidR="00B321FA" w:rsidRPr="00EA1089" w:rsidRDefault="00B321FA" w:rsidP="008F4832">
            <w:pPr>
              <w:tabs>
                <w:tab w:val="decimal" w:pos="1207"/>
              </w:tabs>
              <w:rPr>
                <w:szCs w:val="23"/>
              </w:rPr>
            </w:pPr>
            <w:r w:rsidRPr="00EA1089">
              <w:rPr>
                <w:szCs w:val="23"/>
              </w:rPr>
              <w:t>$</w:t>
            </w:r>
            <w:r w:rsidR="005A55D8">
              <w:rPr>
                <w:szCs w:val="23"/>
              </w:rPr>
              <w:t>486</w:t>
            </w:r>
          </w:p>
        </w:tc>
      </w:tr>
      <w:tr w:rsidR="00B321FA" w:rsidRPr="00EA1089" w14:paraId="0E6A76F3" w14:textId="7A65AFFC" w:rsidTr="00BF6058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6E459" w14:textId="77777777" w:rsidR="00B321FA" w:rsidRPr="00EA1089" w:rsidRDefault="00B321FA" w:rsidP="002A45E3">
            <w:pPr>
              <w:spacing w:after="120"/>
              <w:jc w:val="both"/>
              <w:rPr>
                <w:szCs w:val="23"/>
              </w:rPr>
            </w:pPr>
            <w:r w:rsidRPr="00EA1089">
              <w:rPr>
                <w:szCs w:val="23"/>
              </w:rPr>
              <w:t>More than 24 and not more than 32 hours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2E2FB" w14:textId="1A478050" w:rsidR="00B321FA" w:rsidRPr="00EA1089" w:rsidRDefault="00B321FA" w:rsidP="008F4832">
            <w:pPr>
              <w:tabs>
                <w:tab w:val="decimal" w:pos="1207"/>
              </w:tabs>
              <w:rPr>
                <w:szCs w:val="23"/>
              </w:rPr>
            </w:pPr>
            <w:r w:rsidRPr="00EA1089">
              <w:rPr>
                <w:szCs w:val="23"/>
              </w:rPr>
              <w:t>$</w:t>
            </w:r>
            <w:r w:rsidR="005A55D8">
              <w:rPr>
                <w:szCs w:val="23"/>
              </w:rPr>
              <w:t>648</w:t>
            </w:r>
          </w:p>
        </w:tc>
      </w:tr>
      <w:tr w:rsidR="00B321FA" w:rsidRPr="00EA1089" w14:paraId="33C3BA28" w14:textId="4011F277" w:rsidTr="00BF60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211DC" w14:textId="77777777" w:rsidR="00B321FA" w:rsidRPr="00EA1089" w:rsidRDefault="00B321FA" w:rsidP="002A45E3">
            <w:pPr>
              <w:spacing w:after="120"/>
              <w:jc w:val="both"/>
              <w:rPr>
                <w:szCs w:val="23"/>
              </w:rPr>
            </w:pPr>
            <w:r w:rsidRPr="00EA1089">
              <w:rPr>
                <w:szCs w:val="23"/>
              </w:rPr>
              <w:t>More than 32 hours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3E6A2" w14:textId="753ACEBD" w:rsidR="00B321FA" w:rsidRPr="00EA1089" w:rsidRDefault="00B321FA" w:rsidP="008F4832">
            <w:pPr>
              <w:tabs>
                <w:tab w:val="decimal" w:pos="1207"/>
              </w:tabs>
              <w:rPr>
                <w:szCs w:val="23"/>
              </w:rPr>
            </w:pPr>
            <w:r w:rsidRPr="00EA1089">
              <w:rPr>
                <w:szCs w:val="23"/>
              </w:rPr>
              <w:t>$</w:t>
            </w:r>
            <w:r w:rsidR="005A55D8">
              <w:rPr>
                <w:szCs w:val="23"/>
              </w:rPr>
              <w:t>810</w:t>
            </w:r>
          </w:p>
        </w:tc>
      </w:tr>
    </w:tbl>
    <w:p w14:paraId="1BD91F50" w14:textId="77777777" w:rsidR="00FE172F" w:rsidRPr="00EA1089" w:rsidRDefault="00FE172F" w:rsidP="008F4832">
      <w:pPr>
        <w:pStyle w:val="Heading1"/>
        <w:keepNext w:val="0"/>
        <w:spacing w:before="0"/>
        <w:rPr>
          <w:rFonts w:cs="Times New Roman"/>
          <w:sz w:val="23"/>
          <w:szCs w:val="23"/>
        </w:rPr>
      </w:pPr>
    </w:p>
    <w:p w14:paraId="66629D71" w14:textId="5375BFD4" w:rsidR="00F768ED" w:rsidRPr="00EA1089" w:rsidRDefault="00F768ED" w:rsidP="008F4832">
      <w:pPr>
        <w:jc w:val="both"/>
        <w:rPr>
          <w:bCs/>
          <w:szCs w:val="23"/>
        </w:rPr>
      </w:pPr>
      <w:r w:rsidRPr="00EA1089">
        <w:rPr>
          <w:b/>
          <w:szCs w:val="23"/>
        </w:rPr>
        <w:t xml:space="preserve">Special Needs Grants Programme </w:t>
      </w:r>
      <w:r w:rsidRPr="00EA1089">
        <w:rPr>
          <w:bCs/>
          <w:szCs w:val="23"/>
        </w:rPr>
        <w:t>(as established and approved on 18 December 1998)</w:t>
      </w:r>
      <w:r w:rsidRPr="00EA1089">
        <w:rPr>
          <w:rStyle w:val="FootnoteReference"/>
          <w:bCs/>
          <w:szCs w:val="23"/>
        </w:rPr>
        <w:footnoteReference w:id="16"/>
      </w:r>
    </w:p>
    <w:p w14:paraId="778ECF3B" w14:textId="77777777" w:rsidR="000B706D" w:rsidRPr="00EA1089" w:rsidRDefault="000B706D" w:rsidP="008F4832">
      <w:pPr>
        <w:jc w:val="both"/>
        <w:rPr>
          <w:b/>
          <w:szCs w:val="23"/>
        </w:rPr>
      </w:pPr>
    </w:p>
    <w:p w14:paraId="703ED603" w14:textId="248AB001" w:rsidR="00F768ED" w:rsidRPr="00EA1089" w:rsidRDefault="00F768ED" w:rsidP="008F4832">
      <w:pPr>
        <w:jc w:val="both"/>
        <w:rPr>
          <w:b/>
          <w:szCs w:val="23"/>
        </w:rPr>
      </w:pPr>
      <w:r w:rsidRPr="00EA1089">
        <w:rPr>
          <w:b/>
          <w:szCs w:val="23"/>
        </w:rPr>
        <w:t>Clause 7.1</w:t>
      </w:r>
    </w:p>
    <w:p w14:paraId="35A51964" w14:textId="29C6D372" w:rsidR="00F768ED" w:rsidRPr="00EA1089" w:rsidRDefault="00F768ED" w:rsidP="008F4832">
      <w:pPr>
        <w:rPr>
          <w:bCs/>
          <w:szCs w:val="23"/>
        </w:rPr>
      </w:pPr>
      <w:r w:rsidRPr="00EA1089">
        <w:rPr>
          <w:bCs/>
          <w:szCs w:val="23"/>
        </w:rPr>
        <w:t>In clause 7.1(a), replace “$</w:t>
      </w:r>
      <w:r w:rsidR="006F6D16" w:rsidRPr="00EA1089">
        <w:rPr>
          <w:bCs/>
          <w:szCs w:val="23"/>
        </w:rPr>
        <w:t>8</w:t>
      </w:r>
      <w:r w:rsidR="00DD5ADD">
        <w:rPr>
          <w:bCs/>
          <w:szCs w:val="23"/>
        </w:rPr>
        <w:t>54.30</w:t>
      </w:r>
      <w:r w:rsidRPr="00EA1089">
        <w:rPr>
          <w:bCs/>
          <w:szCs w:val="23"/>
        </w:rPr>
        <w:t>” with “$</w:t>
      </w:r>
      <w:r w:rsidR="00CF2085">
        <w:rPr>
          <w:bCs/>
          <w:szCs w:val="23"/>
        </w:rPr>
        <w:t>879.17</w:t>
      </w:r>
      <w:r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19CBE52D" w14:textId="600B23D7" w:rsidR="00F768ED" w:rsidRPr="00EA1089" w:rsidRDefault="00F768ED" w:rsidP="008F4832">
      <w:pPr>
        <w:rPr>
          <w:bCs/>
          <w:szCs w:val="23"/>
        </w:rPr>
      </w:pPr>
      <w:r w:rsidRPr="00EA1089">
        <w:rPr>
          <w:bCs/>
          <w:szCs w:val="23"/>
        </w:rPr>
        <w:t>In clause 7.1(b), replace “$</w:t>
      </w:r>
      <w:r w:rsidR="00DD5ADD">
        <w:rPr>
          <w:bCs/>
          <w:szCs w:val="23"/>
        </w:rPr>
        <w:t>981.83</w:t>
      </w:r>
      <w:r w:rsidRPr="00EA1089">
        <w:rPr>
          <w:bCs/>
          <w:szCs w:val="23"/>
        </w:rPr>
        <w:t>” with “$</w:t>
      </w:r>
      <w:r w:rsidR="007E2807">
        <w:rPr>
          <w:bCs/>
          <w:szCs w:val="23"/>
        </w:rPr>
        <w:t>1,010.41</w:t>
      </w:r>
      <w:r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3E23ACA4" w14:textId="52A1F80F" w:rsidR="00F768ED" w:rsidRPr="00EA1089" w:rsidRDefault="00F768ED" w:rsidP="008F4832">
      <w:pPr>
        <w:rPr>
          <w:bCs/>
          <w:szCs w:val="23"/>
        </w:rPr>
      </w:pPr>
      <w:r w:rsidRPr="00EA1089">
        <w:rPr>
          <w:bCs/>
          <w:szCs w:val="23"/>
        </w:rPr>
        <w:t>In clause 7.1(c), replace “$</w:t>
      </w:r>
      <w:r w:rsidR="00DD5ADD">
        <w:rPr>
          <w:bCs/>
          <w:szCs w:val="23"/>
        </w:rPr>
        <w:t>1,426.10</w:t>
      </w:r>
      <w:r w:rsidRPr="00EA1089">
        <w:rPr>
          <w:bCs/>
          <w:szCs w:val="23"/>
        </w:rPr>
        <w:t>” with “</w:t>
      </w:r>
      <w:r w:rsidR="004F14AE">
        <w:rPr>
          <w:bCs/>
          <w:szCs w:val="23"/>
        </w:rPr>
        <w:t>$1,467.61</w:t>
      </w:r>
      <w:r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79A2D961" w14:textId="11B5C91E" w:rsidR="00F768ED" w:rsidRPr="00EA1089" w:rsidRDefault="00F768ED" w:rsidP="008F4832">
      <w:pPr>
        <w:rPr>
          <w:bCs/>
          <w:szCs w:val="23"/>
        </w:rPr>
      </w:pPr>
      <w:r w:rsidRPr="00EA1089">
        <w:rPr>
          <w:bCs/>
          <w:szCs w:val="23"/>
        </w:rPr>
        <w:t>In clause 7.1(d), replace “$</w:t>
      </w:r>
      <w:r w:rsidR="00DD5ADD">
        <w:rPr>
          <w:bCs/>
          <w:szCs w:val="23"/>
        </w:rPr>
        <w:t>1,191.41</w:t>
      </w:r>
      <w:r w:rsidRPr="00EA1089">
        <w:rPr>
          <w:bCs/>
          <w:szCs w:val="23"/>
        </w:rPr>
        <w:t>” with “$</w:t>
      </w:r>
      <w:r w:rsidR="004F14AE">
        <w:rPr>
          <w:bCs/>
          <w:szCs w:val="23"/>
        </w:rPr>
        <w:t>1,226.09</w:t>
      </w:r>
      <w:r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02287D7C" w14:textId="6DF33D3F" w:rsidR="00F768ED" w:rsidRPr="00EA1089" w:rsidRDefault="00F768ED" w:rsidP="008F4832">
      <w:pPr>
        <w:rPr>
          <w:bCs/>
          <w:szCs w:val="23"/>
        </w:rPr>
      </w:pPr>
      <w:r w:rsidRPr="00EA1089">
        <w:rPr>
          <w:bCs/>
          <w:szCs w:val="23"/>
        </w:rPr>
        <w:t>In clause 7.1(e), replace “$</w:t>
      </w:r>
      <w:r w:rsidR="006F6D16" w:rsidRPr="00EA1089">
        <w:rPr>
          <w:bCs/>
          <w:szCs w:val="23"/>
        </w:rPr>
        <w:t>1</w:t>
      </w:r>
      <w:r w:rsidR="00DD5ADD">
        <w:rPr>
          <w:bCs/>
          <w:szCs w:val="23"/>
        </w:rPr>
        <w:t>,255.22</w:t>
      </w:r>
      <w:r w:rsidRPr="00EA1089">
        <w:rPr>
          <w:bCs/>
          <w:szCs w:val="23"/>
        </w:rPr>
        <w:t>” with “$</w:t>
      </w:r>
      <w:r w:rsidR="00802F21">
        <w:rPr>
          <w:bCs/>
          <w:szCs w:val="23"/>
        </w:rPr>
        <w:t>1,29</w:t>
      </w:r>
      <w:r w:rsidR="006D63AA">
        <w:rPr>
          <w:bCs/>
          <w:szCs w:val="23"/>
        </w:rPr>
        <w:t>1.</w:t>
      </w:r>
      <w:r w:rsidR="00802F21">
        <w:rPr>
          <w:bCs/>
          <w:szCs w:val="23"/>
        </w:rPr>
        <w:t>75</w:t>
      </w:r>
      <w:r w:rsidRPr="00EA1089">
        <w:rPr>
          <w:bCs/>
          <w:szCs w:val="23"/>
        </w:rPr>
        <w:t>”</w:t>
      </w:r>
      <w:r w:rsidR="001B5670">
        <w:rPr>
          <w:bCs/>
          <w:szCs w:val="23"/>
        </w:rPr>
        <w:t>.</w:t>
      </w:r>
    </w:p>
    <w:p w14:paraId="457EBFA4" w14:textId="77777777" w:rsidR="002A45E3" w:rsidRDefault="002A45E3" w:rsidP="008F4832">
      <w:pPr>
        <w:jc w:val="both"/>
        <w:rPr>
          <w:b/>
          <w:szCs w:val="23"/>
        </w:rPr>
      </w:pPr>
    </w:p>
    <w:p w14:paraId="5045ABB4" w14:textId="5D8B5202" w:rsidR="002F204E" w:rsidRDefault="002F204E" w:rsidP="008F4832">
      <w:pPr>
        <w:jc w:val="both"/>
        <w:rPr>
          <w:b/>
          <w:szCs w:val="23"/>
        </w:rPr>
      </w:pPr>
      <w:r w:rsidRPr="0072505F">
        <w:rPr>
          <w:b/>
          <w:szCs w:val="23"/>
        </w:rPr>
        <w:t>Clause 9.11(b)</w:t>
      </w:r>
      <w:r w:rsidRPr="00802F21">
        <w:rPr>
          <w:b/>
          <w:szCs w:val="23"/>
        </w:rPr>
        <w:t xml:space="preserve"> </w:t>
      </w:r>
    </w:p>
    <w:p w14:paraId="69839D32" w14:textId="6B485575" w:rsidR="002F204E" w:rsidRPr="0072505F" w:rsidRDefault="002F204E" w:rsidP="008F4832">
      <w:pPr>
        <w:jc w:val="both"/>
        <w:rPr>
          <w:bCs/>
          <w:szCs w:val="23"/>
        </w:rPr>
      </w:pPr>
      <w:r w:rsidRPr="0072505F">
        <w:rPr>
          <w:bCs/>
          <w:szCs w:val="23"/>
        </w:rPr>
        <w:t xml:space="preserve">In clause </w:t>
      </w:r>
      <w:r w:rsidR="001C148F" w:rsidRPr="0072505F">
        <w:rPr>
          <w:bCs/>
          <w:szCs w:val="23"/>
        </w:rPr>
        <w:t>9.11(b) re</w:t>
      </w:r>
      <w:r w:rsidR="001C148F">
        <w:rPr>
          <w:bCs/>
          <w:szCs w:val="23"/>
        </w:rPr>
        <w:t>place</w:t>
      </w:r>
      <w:r w:rsidR="001C148F" w:rsidRPr="0072505F">
        <w:rPr>
          <w:bCs/>
          <w:szCs w:val="23"/>
        </w:rPr>
        <w:t xml:space="preserve"> “P” with “</w:t>
      </w:r>
      <w:r w:rsidR="00A15EB6">
        <w:rPr>
          <w:bCs/>
          <w:szCs w:val="23"/>
        </w:rPr>
        <w:t xml:space="preserve">the </w:t>
      </w:r>
      <w:r w:rsidR="001C148F" w:rsidRPr="0072505F">
        <w:rPr>
          <w:bCs/>
          <w:szCs w:val="23"/>
        </w:rPr>
        <w:t xml:space="preserve">applicant”. </w:t>
      </w:r>
    </w:p>
    <w:p w14:paraId="1F849D82" w14:textId="77777777" w:rsidR="00B62B18" w:rsidRDefault="00B62B18" w:rsidP="008F4832">
      <w:pPr>
        <w:keepNext/>
        <w:jc w:val="both"/>
        <w:rPr>
          <w:b/>
          <w:szCs w:val="23"/>
        </w:rPr>
      </w:pPr>
    </w:p>
    <w:p w14:paraId="6436E5FD" w14:textId="329E85CB" w:rsidR="00B62B18" w:rsidRPr="00EA1089" w:rsidRDefault="00B62B18" w:rsidP="008F4832">
      <w:pPr>
        <w:jc w:val="both"/>
        <w:rPr>
          <w:b/>
          <w:szCs w:val="23"/>
        </w:rPr>
      </w:pPr>
      <w:r>
        <w:rPr>
          <w:b/>
          <w:szCs w:val="23"/>
        </w:rPr>
        <w:t>Special Transfer Allowance Programme 2000</w:t>
      </w:r>
      <w:r w:rsidR="00D86B71">
        <w:rPr>
          <w:b/>
          <w:szCs w:val="23"/>
        </w:rPr>
        <w:t xml:space="preserve"> </w:t>
      </w:r>
      <w:r w:rsidR="00D86B71" w:rsidRPr="00EA1089">
        <w:rPr>
          <w:bCs/>
          <w:szCs w:val="23"/>
        </w:rPr>
        <w:t>(as established and approved on 1</w:t>
      </w:r>
      <w:r w:rsidR="00D86B71">
        <w:rPr>
          <w:bCs/>
          <w:szCs w:val="23"/>
        </w:rPr>
        <w:t>3</w:t>
      </w:r>
      <w:r w:rsidR="00D86B71" w:rsidRPr="00EA1089">
        <w:rPr>
          <w:bCs/>
          <w:szCs w:val="23"/>
        </w:rPr>
        <w:t xml:space="preserve"> </w:t>
      </w:r>
      <w:r w:rsidR="00D86B71">
        <w:rPr>
          <w:bCs/>
          <w:szCs w:val="23"/>
        </w:rPr>
        <w:t>Nove</w:t>
      </w:r>
      <w:r w:rsidR="00D86B71" w:rsidRPr="00EA1089">
        <w:rPr>
          <w:bCs/>
          <w:szCs w:val="23"/>
        </w:rPr>
        <w:t xml:space="preserve">mber </w:t>
      </w:r>
      <w:r w:rsidR="00D86B71">
        <w:rPr>
          <w:bCs/>
          <w:szCs w:val="23"/>
        </w:rPr>
        <w:t>2000</w:t>
      </w:r>
      <w:r w:rsidR="00D86B71" w:rsidRPr="00EA1089">
        <w:rPr>
          <w:bCs/>
          <w:szCs w:val="23"/>
        </w:rPr>
        <w:t>)</w:t>
      </w:r>
      <w:r w:rsidR="00D86B71">
        <w:rPr>
          <w:rStyle w:val="FootnoteReference"/>
          <w:bCs/>
          <w:szCs w:val="23"/>
        </w:rPr>
        <w:footnoteReference w:id="17"/>
      </w:r>
    </w:p>
    <w:p w14:paraId="1349E676" w14:textId="77777777" w:rsidR="000B706D" w:rsidRPr="00EA1089" w:rsidRDefault="000B706D" w:rsidP="008F4832">
      <w:pPr>
        <w:keepNext/>
        <w:jc w:val="both"/>
        <w:rPr>
          <w:b/>
          <w:szCs w:val="23"/>
        </w:rPr>
      </w:pPr>
    </w:p>
    <w:p w14:paraId="6A304B61" w14:textId="3745FEBA" w:rsidR="00FE172F" w:rsidRPr="00EA1089" w:rsidRDefault="00565F17" w:rsidP="008F4832">
      <w:pPr>
        <w:keepNext/>
        <w:jc w:val="both"/>
        <w:rPr>
          <w:b/>
          <w:szCs w:val="23"/>
        </w:rPr>
      </w:pPr>
      <w:r w:rsidRPr="00EA1089">
        <w:rPr>
          <w:b/>
          <w:szCs w:val="23"/>
        </w:rPr>
        <w:t>Schedule</w:t>
      </w:r>
      <w:r w:rsidR="00F31D06" w:rsidRPr="00EA1089">
        <w:rPr>
          <w:b/>
          <w:szCs w:val="23"/>
        </w:rPr>
        <w:t xml:space="preserve"> </w:t>
      </w:r>
    </w:p>
    <w:p w14:paraId="036EADEA" w14:textId="611570FB" w:rsidR="007B1208" w:rsidRPr="00EA1089" w:rsidRDefault="00A65E66" w:rsidP="008F4832">
      <w:pPr>
        <w:jc w:val="both"/>
        <w:rPr>
          <w:szCs w:val="23"/>
        </w:rPr>
      </w:pPr>
      <w:r w:rsidRPr="00EA1089">
        <w:rPr>
          <w:szCs w:val="23"/>
        </w:rPr>
        <w:t>In the Schedule</w:t>
      </w:r>
      <w:r w:rsidR="0070398F" w:rsidRPr="00EA1089">
        <w:rPr>
          <w:szCs w:val="23"/>
        </w:rPr>
        <w:t>, clause 1</w:t>
      </w:r>
      <w:r w:rsidRPr="00EA1089">
        <w:rPr>
          <w:szCs w:val="23"/>
        </w:rPr>
        <w:t>, replace “</w:t>
      </w:r>
      <w:r w:rsidR="009A44E9" w:rsidRPr="00EA1089">
        <w:rPr>
          <w:szCs w:val="23"/>
        </w:rPr>
        <w:t>$</w:t>
      </w:r>
      <w:r w:rsidR="006F6D16" w:rsidRPr="00EA1089">
        <w:rPr>
          <w:szCs w:val="23"/>
        </w:rPr>
        <w:t>4</w:t>
      </w:r>
      <w:r w:rsidR="00DD5ADD">
        <w:rPr>
          <w:szCs w:val="23"/>
        </w:rPr>
        <w:t>59</w:t>
      </w:r>
      <w:r w:rsidRPr="00EA1089">
        <w:rPr>
          <w:szCs w:val="23"/>
        </w:rPr>
        <w:t>”</w:t>
      </w:r>
      <w:r w:rsidR="007B1208" w:rsidRPr="00EA1089">
        <w:rPr>
          <w:szCs w:val="23"/>
        </w:rPr>
        <w:t xml:space="preserve"> with “</w:t>
      </w:r>
      <w:r w:rsidR="009A44E9" w:rsidRPr="00EA1089">
        <w:rPr>
          <w:szCs w:val="23"/>
        </w:rPr>
        <w:t>$</w:t>
      </w:r>
      <w:r w:rsidR="00675370">
        <w:rPr>
          <w:szCs w:val="23"/>
        </w:rPr>
        <w:t>479</w:t>
      </w:r>
      <w:r w:rsidR="007B1208" w:rsidRPr="00EA1089">
        <w:rPr>
          <w:szCs w:val="23"/>
        </w:rPr>
        <w:t>”</w:t>
      </w:r>
      <w:r w:rsidR="001B5670">
        <w:rPr>
          <w:szCs w:val="23"/>
        </w:rPr>
        <w:t>.</w:t>
      </w:r>
    </w:p>
    <w:p w14:paraId="1F2C2F3E" w14:textId="4EAE03C7" w:rsidR="007B1208" w:rsidRPr="00EA1089" w:rsidRDefault="007B1208" w:rsidP="008F4832">
      <w:pPr>
        <w:jc w:val="both"/>
        <w:rPr>
          <w:szCs w:val="23"/>
        </w:rPr>
      </w:pPr>
      <w:r w:rsidRPr="00EA1089">
        <w:rPr>
          <w:szCs w:val="23"/>
        </w:rPr>
        <w:t>In the Schedule</w:t>
      </w:r>
      <w:r w:rsidR="0070398F" w:rsidRPr="00EA1089">
        <w:rPr>
          <w:szCs w:val="23"/>
        </w:rPr>
        <w:t>, clause 2</w:t>
      </w:r>
      <w:r w:rsidRPr="00EA1089">
        <w:rPr>
          <w:szCs w:val="23"/>
        </w:rPr>
        <w:t>, replace</w:t>
      </w:r>
      <w:r w:rsidR="00A65E66" w:rsidRPr="00EA1089">
        <w:rPr>
          <w:szCs w:val="23"/>
        </w:rPr>
        <w:t xml:space="preserve"> “</w:t>
      </w:r>
      <w:r w:rsidR="009A44E9" w:rsidRPr="00EA1089">
        <w:rPr>
          <w:szCs w:val="23"/>
        </w:rPr>
        <w:t>$</w:t>
      </w:r>
      <w:r w:rsidR="006F6D16" w:rsidRPr="00EA1089">
        <w:rPr>
          <w:szCs w:val="23"/>
        </w:rPr>
        <w:t>4</w:t>
      </w:r>
      <w:r w:rsidR="00DD5ADD">
        <w:rPr>
          <w:szCs w:val="23"/>
        </w:rPr>
        <w:t>56</w:t>
      </w:r>
      <w:r w:rsidR="00A65E66" w:rsidRPr="00EA1089">
        <w:rPr>
          <w:szCs w:val="23"/>
        </w:rPr>
        <w:t>”</w:t>
      </w:r>
      <w:r w:rsidRPr="00EA1089">
        <w:rPr>
          <w:szCs w:val="23"/>
        </w:rPr>
        <w:t xml:space="preserve"> with “</w:t>
      </w:r>
      <w:r w:rsidR="009A44E9" w:rsidRPr="00EA1089">
        <w:rPr>
          <w:szCs w:val="23"/>
        </w:rPr>
        <w:t>$</w:t>
      </w:r>
      <w:r w:rsidR="00791B96">
        <w:rPr>
          <w:szCs w:val="23"/>
        </w:rPr>
        <w:t>460</w:t>
      </w:r>
      <w:r w:rsidRPr="00EA1089">
        <w:rPr>
          <w:szCs w:val="23"/>
        </w:rPr>
        <w:t>”</w:t>
      </w:r>
      <w:r w:rsidR="001B5670">
        <w:rPr>
          <w:szCs w:val="23"/>
        </w:rPr>
        <w:t>.</w:t>
      </w:r>
    </w:p>
    <w:p w14:paraId="42F4A2DB" w14:textId="47E3B6B7" w:rsidR="007B1208" w:rsidRPr="00EA1089" w:rsidRDefault="007B1208" w:rsidP="008F4832">
      <w:pPr>
        <w:jc w:val="both"/>
        <w:rPr>
          <w:szCs w:val="23"/>
        </w:rPr>
      </w:pPr>
      <w:r w:rsidRPr="00EA1089">
        <w:rPr>
          <w:szCs w:val="23"/>
        </w:rPr>
        <w:lastRenderedPageBreak/>
        <w:t>In the Schedule</w:t>
      </w:r>
      <w:r w:rsidR="0070398F" w:rsidRPr="00EA1089">
        <w:rPr>
          <w:szCs w:val="23"/>
        </w:rPr>
        <w:t>, clause 3</w:t>
      </w:r>
      <w:r w:rsidRPr="00EA1089">
        <w:rPr>
          <w:szCs w:val="23"/>
        </w:rPr>
        <w:t>, replace</w:t>
      </w:r>
      <w:r w:rsidR="00A65E66" w:rsidRPr="00EA1089">
        <w:rPr>
          <w:szCs w:val="23"/>
        </w:rPr>
        <w:t xml:space="preserve"> “$</w:t>
      </w:r>
      <w:r w:rsidR="006F6D16" w:rsidRPr="00EA1089">
        <w:rPr>
          <w:szCs w:val="23"/>
        </w:rPr>
        <w:t>3</w:t>
      </w:r>
      <w:r w:rsidR="003A31E3">
        <w:rPr>
          <w:szCs w:val="23"/>
        </w:rPr>
        <w:t>60</w:t>
      </w:r>
      <w:r w:rsidR="00A65E66" w:rsidRPr="00EA1089">
        <w:rPr>
          <w:szCs w:val="23"/>
        </w:rPr>
        <w:t>”</w:t>
      </w:r>
      <w:r w:rsidRPr="00EA1089">
        <w:rPr>
          <w:szCs w:val="23"/>
        </w:rPr>
        <w:t xml:space="preserve"> with “</w:t>
      </w:r>
      <w:r w:rsidR="009A44E9" w:rsidRPr="00EA1089">
        <w:rPr>
          <w:szCs w:val="23"/>
        </w:rPr>
        <w:t>$</w:t>
      </w:r>
      <w:r w:rsidR="00791B96">
        <w:rPr>
          <w:szCs w:val="23"/>
        </w:rPr>
        <w:t>388</w:t>
      </w:r>
      <w:r w:rsidRPr="00EA1089">
        <w:rPr>
          <w:szCs w:val="23"/>
        </w:rPr>
        <w:t>”</w:t>
      </w:r>
      <w:r w:rsidR="001B5670">
        <w:rPr>
          <w:szCs w:val="23"/>
        </w:rPr>
        <w:t>.</w:t>
      </w:r>
    </w:p>
    <w:p w14:paraId="54D995A3" w14:textId="3A3C0103" w:rsidR="007B1208" w:rsidRPr="00EA1089" w:rsidRDefault="007B1208" w:rsidP="008F4832">
      <w:pPr>
        <w:jc w:val="both"/>
        <w:rPr>
          <w:szCs w:val="23"/>
        </w:rPr>
      </w:pPr>
      <w:r w:rsidRPr="00EA1089">
        <w:rPr>
          <w:szCs w:val="23"/>
        </w:rPr>
        <w:t>In the Schedule,</w:t>
      </w:r>
      <w:r w:rsidR="0070398F" w:rsidRPr="00EA1089">
        <w:rPr>
          <w:szCs w:val="23"/>
        </w:rPr>
        <w:t xml:space="preserve"> clause 4,</w:t>
      </w:r>
      <w:r w:rsidRPr="00EA1089">
        <w:rPr>
          <w:szCs w:val="23"/>
        </w:rPr>
        <w:t xml:space="preserve"> replace</w:t>
      </w:r>
      <w:r w:rsidR="00F03CFF" w:rsidRPr="00EA1089">
        <w:rPr>
          <w:szCs w:val="23"/>
        </w:rPr>
        <w:t xml:space="preserve"> </w:t>
      </w:r>
      <w:r w:rsidR="00A65E66" w:rsidRPr="00EA1089">
        <w:rPr>
          <w:szCs w:val="23"/>
        </w:rPr>
        <w:t>“</w:t>
      </w:r>
      <w:r w:rsidR="009A44E9" w:rsidRPr="00EA1089">
        <w:rPr>
          <w:szCs w:val="23"/>
        </w:rPr>
        <w:t>$</w:t>
      </w:r>
      <w:r w:rsidR="006F6D16" w:rsidRPr="00EA1089">
        <w:rPr>
          <w:szCs w:val="23"/>
        </w:rPr>
        <w:t>5</w:t>
      </w:r>
      <w:r w:rsidR="003A31E3">
        <w:rPr>
          <w:szCs w:val="23"/>
        </w:rPr>
        <w:t>68</w:t>
      </w:r>
      <w:r w:rsidR="00A65E66" w:rsidRPr="00EA1089">
        <w:rPr>
          <w:szCs w:val="23"/>
        </w:rPr>
        <w:t>”</w:t>
      </w:r>
      <w:r w:rsidRPr="00EA1089">
        <w:rPr>
          <w:szCs w:val="23"/>
        </w:rPr>
        <w:t xml:space="preserve"> with “</w:t>
      </w:r>
      <w:r w:rsidR="009A44E9" w:rsidRPr="00EA1089">
        <w:rPr>
          <w:szCs w:val="23"/>
        </w:rPr>
        <w:t>$</w:t>
      </w:r>
      <w:r w:rsidR="00791B96">
        <w:rPr>
          <w:szCs w:val="23"/>
        </w:rPr>
        <w:t>584</w:t>
      </w:r>
      <w:r w:rsidRPr="00EA1089">
        <w:rPr>
          <w:szCs w:val="23"/>
        </w:rPr>
        <w:t>”</w:t>
      </w:r>
      <w:r w:rsidR="001B5670">
        <w:rPr>
          <w:szCs w:val="23"/>
        </w:rPr>
        <w:t>.</w:t>
      </w:r>
    </w:p>
    <w:p w14:paraId="5C04A4BC" w14:textId="6DAE1929" w:rsidR="007B1208" w:rsidRPr="00EA1089" w:rsidRDefault="007B1208" w:rsidP="008F4832">
      <w:pPr>
        <w:jc w:val="both"/>
        <w:rPr>
          <w:szCs w:val="23"/>
        </w:rPr>
      </w:pPr>
      <w:r w:rsidRPr="00EA1089">
        <w:rPr>
          <w:szCs w:val="23"/>
        </w:rPr>
        <w:t>In the Schedule,</w:t>
      </w:r>
      <w:r w:rsidR="0070398F" w:rsidRPr="00EA1089">
        <w:rPr>
          <w:szCs w:val="23"/>
        </w:rPr>
        <w:t xml:space="preserve"> clause 5,</w:t>
      </w:r>
      <w:r w:rsidRPr="00EA1089">
        <w:rPr>
          <w:szCs w:val="23"/>
        </w:rPr>
        <w:t xml:space="preserve"> replace</w:t>
      </w:r>
      <w:r w:rsidR="00A65E66" w:rsidRPr="00EA1089">
        <w:rPr>
          <w:szCs w:val="23"/>
        </w:rPr>
        <w:t xml:space="preserve"> “$</w:t>
      </w:r>
      <w:r w:rsidR="006F6D16" w:rsidRPr="00EA1089">
        <w:rPr>
          <w:szCs w:val="23"/>
        </w:rPr>
        <w:t>5</w:t>
      </w:r>
      <w:r w:rsidR="003A31E3">
        <w:rPr>
          <w:szCs w:val="23"/>
        </w:rPr>
        <w:t>91</w:t>
      </w:r>
      <w:r w:rsidR="00A65E66" w:rsidRPr="00EA1089">
        <w:rPr>
          <w:szCs w:val="23"/>
        </w:rPr>
        <w:t xml:space="preserve">” </w:t>
      </w:r>
      <w:r w:rsidRPr="00862310">
        <w:rPr>
          <w:szCs w:val="23"/>
        </w:rPr>
        <w:t>with “</w:t>
      </w:r>
      <w:r w:rsidR="004417BE" w:rsidRPr="00862310">
        <w:rPr>
          <w:szCs w:val="23"/>
        </w:rPr>
        <w:t>$</w:t>
      </w:r>
      <w:r w:rsidR="00B56E40" w:rsidRPr="00862310">
        <w:rPr>
          <w:szCs w:val="23"/>
        </w:rPr>
        <w:t>575</w:t>
      </w:r>
      <w:r w:rsidRPr="00EA1089">
        <w:rPr>
          <w:szCs w:val="23"/>
        </w:rPr>
        <w:t>”</w:t>
      </w:r>
      <w:r w:rsidR="001B5670">
        <w:rPr>
          <w:szCs w:val="23"/>
        </w:rPr>
        <w:t>.</w:t>
      </w:r>
    </w:p>
    <w:p w14:paraId="12ED72D9" w14:textId="2D33DEA5" w:rsidR="00F768ED" w:rsidRPr="00EA1089" w:rsidRDefault="007B1208" w:rsidP="008F4832">
      <w:pPr>
        <w:jc w:val="both"/>
        <w:rPr>
          <w:szCs w:val="23"/>
        </w:rPr>
      </w:pPr>
      <w:r w:rsidRPr="00EA1089">
        <w:rPr>
          <w:szCs w:val="23"/>
        </w:rPr>
        <w:t xml:space="preserve">In the Schedule, </w:t>
      </w:r>
      <w:r w:rsidR="0070398F" w:rsidRPr="00EA1089">
        <w:rPr>
          <w:szCs w:val="23"/>
        </w:rPr>
        <w:t xml:space="preserve">clause 6, </w:t>
      </w:r>
      <w:r w:rsidRPr="00EA1089">
        <w:rPr>
          <w:szCs w:val="23"/>
        </w:rPr>
        <w:t>replace</w:t>
      </w:r>
      <w:r w:rsidR="00A65E66" w:rsidRPr="00EA1089">
        <w:rPr>
          <w:szCs w:val="23"/>
        </w:rPr>
        <w:t xml:space="preserve"> “$</w:t>
      </w:r>
      <w:r w:rsidR="003A31E3">
        <w:rPr>
          <w:szCs w:val="23"/>
        </w:rPr>
        <w:t>460</w:t>
      </w:r>
      <w:r w:rsidR="00A65E66" w:rsidRPr="00EA1089">
        <w:rPr>
          <w:szCs w:val="23"/>
        </w:rPr>
        <w:t>” with “</w:t>
      </w:r>
      <w:r w:rsidR="009A44E9" w:rsidRPr="00EA1089">
        <w:rPr>
          <w:szCs w:val="23"/>
        </w:rPr>
        <w:t>$</w:t>
      </w:r>
      <w:r w:rsidR="00961FC3">
        <w:rPr>
          <w:szCs w:val="23"/>
        </w:rPr>
        <w:t>496</w:t>
      </w:r>
      <w:r w:rsidR="00565F17" w:rsidRPr="00EA1089">
        <w:rPr>
          <w:szCs w:val="23"/>
        </w:rPr>
        <w:t>”</w:t>
      </w:r>
      <w:r w:rsidR="001B5670">
        <w:rPr>
          <w:szCs w:val="23"/>
        </w:rPr>
        <w:t>.</w:t>
      </w:r>
    </w:p>
    <w:p w14:paraId="522FF5BE" w14:textId="77777777" w:rsidR="00EA1089" w:rsidRPr="00EA1089" w:rsidRDefault="00EA1089" w:rsidP="008F4832">
      <w:pPr>
        <w:jc w:val="both"/>
        <w:rPr>
          <w:b/>
          <w:szCs w:val="23"/>
        </w:rPr>
      </w:pPr>
    </w:p>
    <w:p w14:paraId="56F89065" w14:textId="54A28C25" w:rsidR="00AF0A12" w:rsidRPr="00EA1089" w:rsidRDefault="00BD2CB3" w:rsidP="008F4832">
      <w:pPr>
        <w:jc w:val="both"/>
        <w:rPr>
          <w:bCs/>
          <w:szCs w:val="23"/>
        </w:rPr>
      </w:pPr>
      <w:r w:rsidRPr="00EA1089">
        <w:rPr>
          <w:b/>
          <w:szCs w:val="23"/>
        </w:rPr>
        <w:t>Training Incentive Allowance</w:t>
      </w:r>
      <w:r w:rsidR="00730D4D" w:rsidRPr="00EA1089">
        <w:rPr>
          <w:b/>
          <w:szCs w:val="23"/>
        </w:rPr>
        <w:t xml:space="preserve"> Pr</w:t>
      </w:r>
      <w:r w:rsidR="00F10CB8" w:rsidRPr="00EA1089">
        <w:rPr>
          <w:b/>
          <w:szCs w:val="23"/>
        </w:rPr>
        <w:t>ogramme</w:t>
      </w:r>
      <w:r w:rsidRPr="00EA1089">
        <w:rPr>
          <w:b/>
          <w:szCs w:val="23"/>
        </w:rPr>
        <w:t xml:space="preserve"> </w:t>
      </w:r>
      <w:r w:rsidR="00AF0A12" w:rsidRPr="00EA1089">
        <w:rPr>
          <w:bCs/>
          <w:szCs w:val="23"/>
        </w:rPr>
        <w:t xml:space="preserve">(as established and approved </w:t>
      </w:r>
      <w:r w:rsidR="00505EC7" w:rsidRPr="00EA1089">
        <w:rPr>
          <w:bCs/>
          <w:szCs w:val="23"/>
        </w:rPr>
        <w:t>on 24</w:t>
      </w:r>
      <w:r w:rsidRPr="00EA1089">
        <w:rPr>
          <w:bCs/>
          <w:szCs w:val="23"/>
        </w:rPr>
        <w:t xml:space="preserve"> May 2021</w:t>
      </w:r>
      <w:r w:rsidR="00AF0A12" w:rsidRPr="00EA1089">
        <w:rPr>
          <w:bCs/>
          <w:szCs w:val="23"/>
        </w:rPr>
        <w:t>)</w:t>
      </w:r>
      <w:r w:rsidR="00AF0A12" w:rsidRPr="00EA1089">
        <w:rPr>
          <w:rStyle w:val="FootnoteReference"/>
          <w:bCs/>
          <w:szCs w:val="23"/>
        </w:rPr>
        <w:footnoteReference w:id="18"/>
      </w:r>
    </w:p>
    <w:p w14:paraId="4A61BB5F" w14:textId="77777777" w:rsidR="000B706D" w:rsidRPr="00EA1089" w:rsidRDefault="000B706D" w:rsidP="008F4832">
      <w:pPr>
        <w:jc w:val="both"/>
        <w:rPr>
          <w:b/>
          <w:szCs w:val="23"/>
        </w:rPr>
      </w:pPr>
    </w:p>
    <w:p w14:paraId="0FC99837" w14:textId="502AABC2" w:rsidR="0037701D" w:rsidRPr="00EA1089" w:rsidRDefault="0037701D" w:rsidP="008F4832">
      <w:pPr>
        <w:jc w:val="both"/>
        <w:rPr>
          <w:b/>
          <w:szCs w:val="23"/>
        </w:rPr>
      </w:pPr>
      <w:r w:rsidRPr="00EA1089">
        <w:rPr>
          <w:b/>
          <w:szCs w:val="23"/>
        </w:rPr>
        <w:t>Clause 11</w:t>
      </w:r>
      <w:r w:rsidR="007249C5" w:rsidRPr="00EA1089">
        <w:rPr>
          <w:b/>
          <w:szCs w:val="23"/>
        </w:rPr>
        <w:t>(1)</w:t>
      </w:r>
    </w:p>
    <w:p w14:paraId="38793532" w14:textId="7AA2C6AC" w:rsidR="0037701D" w:rsidRPr="00EA1089" w:rsidRDefault="0037701D" w:rsidP="008F4832">
      <w:pPr>
        <w:jc w:val="both"/>
        <w:rPr>
          <w:bCs/>
          <w:szCs w:val="23"/>
        </w:rPr>
      </w:pPr>
      <w:r w:rsidRPr="00EA1089">
        <w:rPr>
          <w:bCs/>
          <w:szCs w:val="23"/>
        </w:rPr>
        <w:t xml:space="preserve">In clause 11(1), replace </w:t>
      </w:r>
      <w:r w:rsidR="002F705F" w:rsidRPr="00EA1089">
        <w:rPr>
          <w:bCs/>
          <w:szCs w:val="23"/>
        </w:rPr>
        <w:t>“</w:t>
      </w:r>
      <w:r w:rsidRPr="00EA1089">
        <w:rPr>
          <w:bCs/>
          <w:szCs w:val="23"/>
        </w:rPr>
        <w:t>$</w:t>
      </w:r>
      <w:r w:rsidR="006F6D16" w:rsidRPr="00EA1089">
        <w:rPr>
          <w:bCs/>
          <w:szCs w:val="23"/>
        </w:rPr>
        <w:t>13</w:t>
      </w:r>
      <w:r w:rsidR="003A31E3">
        <w:rPr>
          <w:bCs/>
          <w:szCs w:val="23"/>
        </w:rPr>
        <w:t>8.77</w:t>
      </w:r>
      <w:r w:rsidR="002F705F" w:rsidRPr="00EA1089">
        <w:rPr>
          <w:bCs/>
          <w:szCs w:val="23"/>
        </w:rPr>
        <w:t>”</w:t>
      </w:r>
      <w:r w:rsidRPr="00EA1089">
        <w:rPr>
          <w:bCs/>
          <w:szCs w:val="23"/>
        </w:rPr>
        <w:t xml:space="preserve"> </w:t>
      </w:r>
      <w:r w:rsidR="0038537A" w:rsidRPr="00EA1089">
        <w:rPr>
          <w:bCs/>
          <w:szCs w:val="23"/>
        </w:rPr>
        <w:t>with</w:t>
      </w:r>
      <w:r w:rsidRPr="00EA1089">
        <w:rPr>
          <w:bCs/>
          <w:szCs w:val="23"/>
        </w:rPr>
        <w:t xml:space="preserve"> “</w:t>
      </w:r>
      <w:r w:rsidR="001A3B4F" w:rsidRPr="00EA1089">
        <w:rPr>
          <w:bCs/>
          <w:szCs w:val="23"/>
        </w:rPr>
        <w:t>$</w:t>
      </w:r>
      <w:r w:rsidR="00961FC3">
        <w:rPr>
          <w:bCs/>
          <w:szCs w:val="23"/>
        </w:rPr>
        <w:t>143.08</w:t>
      </w:r>
      <w:r w:rsidRPr="00EA1089">
        <w:rPr>
          <w:bCs/>
          <w:szCs w:val="23"/>
        </w:rPr>
        <w:t>” and “$</w:t>
      </w:r>
      <w:r w:rsidR="006F6D16" w:rsidRPr="00EA1089">
        <w:rPr>
          <w:bCs/>
          <w:szCs w:val="23"/>
        </w:rPr>
        <w:t>5,</w:t>
      </w:r>
      <w:r w:rsidR="003A31E3">
        <w:rPr>
          <w:bCs/>
          <w:szCs w:val="23"/>
        </w:rPr>
        <w:t>550.80</w:t>
      </w:r>
      <w:r w:rsidR="002F705F" w:rsidRPr="00EA1089">
        <w:rPr>
          <w:bCs/>
          <w:szCs w:val="23"/>
        </w:rPr>
        <w:t>”</w:t>
      </w:r>
      <w:r w:rsidRPr="00EA1089">
        <w:rPr>
          <w:bCs/>
          <w:szCs w:val="23"/>
        </w:rPr>
        <w:t xml:space="preserve"> </w:t>
      </w:r>
      <w:r w:rsidR="0038537A" w:rsidRPr="00EA1089">
        <w:rPr>
          <w:bCs/>
          <w:szCs w:val="23"/>
        </w:rPr>
        <w:t>with</w:t>
      </w:r>
      <w:r w:rsidRPr="00EA1089">
        <w:rPr>
          <w:bCs/>
          <w:szCs w:val="23"/>
        </w:rPr>
        <w:t xml:space="preserve"> “</w:t>
      </w:r>
      <w:r w:rsidR="001A3B4F" w:rsidRPr="00EA1089">
        <w:rPr>
          <w:bCs/>
          <w:szCs w:val="23"/>
        </w:rPr>
        <w:t>$</w:t>
      </w:r>
      <w:r w:rsidR="00961FC3">
        <w:rPr>
          <w:bCs/>
          <w:szCs w:val="23"/>
        </w:rPr>
        <w:t>5,723.20</w:t>
      </w:r>
      <w:r w:rsidRPr="00EA1089">
        <w:rPr>
          <w:bCs/>
          <w:szCs w:val="23"/>
        </w:rPr>
        <w:t>”.</w:t>
      </w:r>
    </w:p>
    <w:bookmarkEnd w:id="31"/>
    <w:p w14:paraId="256D534D" w14:textId="77777777" w:rsidR="004417BE" w:rsidRPr="00EA1089" w:rsidRDefault="004417BE" w:rsidP="008F4832">
      <w:pPr>
        <w:keepLines/>
        <w:jc w:val="center"/>
        <w:rPr>
          <w:szCs w:val="23"/>
        </w:rPr>
      </w:pPr>
    </w:p>
    <w:p w14:paraId="15D49663" w14:textId="77777777" w:rsidR="004417BE" w:rsidRPr="00EA1089" w:rsidRDefault="004417BE" w:rsidP="008F4832">
      <w:pPr>
        <w:keepLines/>
        <w:jc w:val="center"/>
        <w:rPr>
          <w:szCs w:val="23"/>
        </w:rPr>
      </w:pPr>
    </w:p>
    <w:p w14:paraId="0C5E3D3E" w14:textId="77777777" w:rsidR="004417BE" w:rsidRPr="00EA1089" w:rsidRDefault="004417BE" w:rsidP="008F4832">
      <w:pPr>
        <w:keepLines/>
        <w:jc w:val="center"/>
        <w:rPr>
          <w:szCs w:val="23"/>
        </w:rPr>
      </w:pPr>
    </w:p>
    <w:p w14:paraId="40F71A24" w14:textId="77777777" w:rsidR="004417BE" w:rsidRPr="00EA1089" w:rsidRDefault="004417BE" w:rsidP="00876241">
      <w:pPr>
        <w:keepLines/>
        <w:rPr>
          <w:szCs w:val="23"/>
        </w:rPr>
      </w:pPr>
    </w:p>
    <w:p w14:paraId="1831E18D" w14:textId="43C0CFC0" w:rsidR="00FE172F" w:rsidRPr="00EA1089" w:rsidRDefault="00565F17" w:rsidP="008F4832">
      <w:pPr>
        <w:keepLines/>
        <w:jc w:val="center"/>
        <w:rPr>
          <w:szCs w:val="23"/>
        </w:rPr>
      </w:pPr>
      <w:r w:rsidRPr="00EA1089">
        <w:rPr>
          <w:szCs w:val="23"/>
        </w:rPr>
        <w:t xml:space="preserve">Dated </w:t>
      </w:r>
      <w:r w:rsidRPr="00862310">
        <w:rPr>
          <w:szCs w:val="23"/>
        </w:rPr>
        <w:t xml:space="preserve">at </w:t>
      </w:r>
      <w:r w:rsidR="002E3605" w:rsidRPr="00862310">
        <w:rPr>
          <w:szCs w:val="23"/>
        </w:rPr>
        <w:t>Wellington</w:t>
      </w:r>
      <w:r w:rsidR="002E3605" w:rsidRPr="00EA1089">
        <w:rPr>
          <w:szCs w:val="23"/>
        </w:rPr>
        <w:t xml:space="preserve"> </w:t>
      </w:r>
      <w:r w:rsidRPr="00EA1089">
        <w:rPr>
          <w:szCs w:val="23"/>
        </w:rPr>
        <w:t xml:space="preserve">this </w:t>
      </w:r>
      <w:r w:rsidRPr="00EA1089">
        <w:rPr>
          <w:i/>
          <w:szCs w:val="23"/>
        </w:rPr>
        <w:t xml:space="preserve">  </w:t>
      </w:r>
      <w:r w:rsidR="002E3605" w:rsidRPr="00EA1089">
        <w:rPr>
          <w:i/>
          <w:szCs w:val="23"/>
        </w:rPr>
        <w:softHyphen/>
      </w:r>
      <w:r w:rsidR="002E3605" w:rsidRPr="00EA1089">
        <w:rPr>
          <w:i/>
          <w:szCs w:val="23"/>
        </w:rPr>
        <w:softHyphen/>
      </w:r>
      <w:r w:rsidR="002E3605" w:rsidRPr="00EA1089">
        <w:rPr>
          <w:i/>
          <w:szCs w:val="23"/>
        </w:rPr>
        <w:softHyphen/>
      </w:r>
      <w:r w:rsidR="002E3605" w:rsidRPr="00EA1089">
        <w:rPr>
          <w:i/>
          <w:szCs w:val="23"/>
        </w:rPr>
        <w:softHyphen/>
        <w:t>_____</w:t>
      </w:r>
      <w:r w:rsidRPr="00EA1089">
        <w:rPr>
          <w:i/>
          <w:szCs w:val="23"/>
        </w:rPr>
        <w:t xml:space="preserve"> </w:t>
      </w:r>
      <w:r w:rsidR="00DE702E" w:rsidRPr="00EA1089">
        <w:rPr>
          <w:szCs w:val="23"/>
        </w:rPr>
        <w:t xml:space="preserve">day </w:t>
      </w:r>
      <w:r w:rsidR="0088152B" w:rsidRPr="00EA1089">
        <w:rPr>
          <w:szCs w:val="23"/>
        </w:rPr>
        <w:t>of February</w:t>
      </w:r>
      <w:r w:rsidR="002E3605" w:rsidRPr="00EA1089">
        <w:rPr>
          <w:szCs w:val="23"/>
        </w:rPr>
        <w:t xml:space="preserve"> </w:t>
      </w:r>
      <w:r w:rsidR="00DE702E" w:rsidRPr="00EA1089">
        <w:rPr>
          <w:szCs w:val="23"/>
        </w:rPr>
        <w:t>20</w:t>
      </w:r>
      <w:r w:rsidR="001E34E3" w:rsidRPr="00EA1089">
        <w:rPr>
          <w:szCs w:val="23"/>
        </w:rPr>
        <w:t>2</w:t>
      </w:r>
      <w:r w:rsidR="003A31E3">
        <w:rPr>
          <w:szCs w:val="23"/>
        </w:rPr>
        <w:t>6</w:t>
      </w:r>
      <w:r w:rsidR="00F21286" w:rsidRPr="00EA1089">
        <w:rPr>
          <w:szCs w:val="23"/>
        </w:rPr>
        <w:t xml:space="preserve"> </w:t>
      </w:r>
    </w:p>
    <w:p w14:paraId="4CA6AC86" w14:textId="77777777" w:rsidR="00FE172F" w:rsidRPr="00EA1089" w:rsidRDefault="00FE172F" w:rsidP="008F4832">
      <w:pPr>
        <w:keepLines/>
        <w:jc w:val="right"/>
        <w:rPr>
          <w:szCs w:val="23"/>
        </w:rPr>
      </w:pPr>
    </w:p>
    <w:p w14:paraId="31356367" w14:textId="77777777" w:rsidR="00FE172F" w:rsidRPr="00EA1089" w:rsidRDefault="00FE172F" w:rsidP="008F4832">
      <w:pPr>
        <w:keepLines/>
        <w:jc w:val="right"/>
        <w:rPr>
          <w:szCs w:val="23"/>
        </w:rPr>
      </w:pPr>
    </w:p>
    <w:p w14:paraId="0E8314B1" w14:textId="77777777" w:rsidR="00883855" w:rsidRPr="00EA1089" w:rsidRDefault="00883855" w:rsidP="00EA1089">
      <w:pPr>
        <w:keepLines/>
        <w:rPr>
          <w:szCs w:val="23"/>
        </w:rPr>
      </w:pPr>
    </w:p>
    <w:p w14:paraId="55BD74EF" w14:textId="0FE959F3" w:rsidR="00FE172F" w:rsidRPr="00EA1089" w:rsidRDefault="00565F17" w:rsidP="008F4832">
      <w:pPr>
        <w:keepLines/>
        <w:jc w:val="right"/>
        <w:rPr>
          <w:szCs w:val="23"/>
        </w:rPr>
      </w:pPr>
      <w:r w:rsidRPr="00EA1089">
        <w:rPr>
          <w:szCs w:val="23"/>
        </w:rPr>
        <w:t>___________________________</w:t>
      </w:r>
    </w:p>
    <w:p w14:paraId="603BDC39" w14:textId="4944D2EA" w:rsidR="00FE172F" w:rsidRPr="00EA1089" w:rsidRDefault="00565F17" w:rsidP="008F4832">
      <w:pPr>
        <w:keepLines/>
        <w:jc w:val="right"/>
        <w:rPr>
          <w:szCs w:val="23"/>
        </w:rPr>
      </w:pPr>
      <w:r w:rsidRPr="00EA1089">
        <w:rPr>
          <w:szCs w:val="23"/>
        </w:rPr>
        <w:t xml:space="preserve">Minister for Social Development </w:t>
      </w:r>
      <w:r w:rsidR="00D133F2" w:rsidRPr="00EA1089">
        <w:rPr>
          <w:szCs w:val="23"/>
        </w:rPr>
        <w:t>and Employment</w:t>
      </w:r>
    </w:p>
    <w:p w14:paraId="737C6A05" w14:textId="77777777" w:rsidR="00883855" w:rsidRPr="00EA1089" w:rsidRDefault="00883855" w:rsidP="008F4832">
      <w:pPr>
        <w:jc w:val="center"/>
        <w:rPr>
          <w:b/>
          <w:szCs w:val="23"/>
        </w:rPr>
      </w:pPr>
      <w:bookmarkStart w:id="32" w:name="_Toc122512064"/>
      <w:bookmarkStart w:id="33" w:name="_Toc129664984"/>
      <w:bookmarkStart w:id="34" w:name="_Toc129686156"/>
      <w:bookmarkStart w:id="35" w:name="_Toc130014792"/>
      <w:bookmarkStart w:id="36" w:name="_Toc130100518"/>
    </w:p>
    <w:p w14:paraId="79E4D6E8" w14:textId="77777777" w:rsidR="002E3605" w:rsidRPr="00EA1089" w:rsidRDefault="002E3605" w:rsidP="008F4832">
      <w:pPr>
        <w:jc w:val="center"/>
        <w:rPr>
          <w:b/>
          <w:szCs w:val="23"/>
        </w:rPr>
      </w:pPr>
    </w:p>
    <w:p w14:paraId="06FC3090" w14:textId="11ECA9AC" w:rsidR="00FE172F" w:rsidRPr="00EA1089" w:rsidRDefault="00565F17" w:rsidP="002A45E3">
      <w:pPr>
        <w:spacing w:after="120" w:line="276" w:lineRule="auto"/>
        <w:jc w:val="center"/>
        <w:rPr>
          <w:b/>
          <w:szCs w:val="23"/>
        </w:rPr>
      </w:pPr>
      <w:r w:rsidRPr="00EA1089">
        <w:rPr>
          <w:b/>
          <w:szCs w:val="23"/>
        </w:rPr>
        <w:t>__</w:t>
      </w:r>
      <w:bookmarkEnd w:id="32"/>
      <w:bookmarkEnd w:id="33"/>
      <w:bookmarkEnd w:id="34"/>
      <w:bookmarkEnd w:id="35"/>
      <w:bookmarkEnd w:id="36"/>
      <w:r w:rsidRPr="00EA1089">
        <w:rPr>
          <w:b/>
          <w:szCs w:val="23"/>
        </w:rPr>
        <w:t>______</w:t>
      </w:r>
    </w:p>
    <w:p w14:paraId="5E431032" w14:textId="53CDD404" w:rsidR="0088152B" w:rsidRPr="00EA1089" w:rsidRDefault="00565F17" w:rsidP="002A45E3">
      <w:pPr>
        <w:spacing w:after="120"/>
        <w:jc w:val="center"/>
        <w:rPr>
          <w:b/>
          <w:szCs w:val="23"/>
        </w:rPr>
      </w:pPr>
      <w:r w:rsidRPr="00EA1089">
        <w:rPr>
          <w:b/>
          <w:szCs w:val="23"/>
        </w:rPr>
        <w:t>Explanatory note</w:t>
      </w:r>
    </w:p>
    <w:p w14:paraId="0B4C7305" w14:textId="7BF3753E" w:rsidR="00FE172F" w:rsidRPr="00EA1089" w:rsidRDefault="00565F17" w:rsidP="0088152B">
      <w:pPr>
        <w:spacing w:after="120"/>
        <w:jc w:val="both"/>
        <w:rPr>
          <w:szCs w:val="23"/>
        </w:rPr>
      </w:pPr>
      <w:r w:rsidRPr="00EA1089">
        <w:rPr>
          <w:i/>
          <w:szCs w:val="23"/>
        </w:rPr>
        <w:t>This note is not part of the instrument but is intended to indicate its general effect.</w:t>
      </w:r>
    </w:p>
    <w:p w14:paraId="0EE5423D" w14:textId="5DDF67C9" w:rsidR="00FE172F" w:rsidRDefault="00565F17" w:rsidP="0088152B">
      <w:pPr>
        <w:spacing w:after="120"/>
        <w:jc w:val="both"/>
        <w:rPr>
          <w:szCs w:val="23"/>
        </w:rPr>
      </w:pPr>
      <w:r w:rsidRPr="00EA1089">
        <w:rPr>
          <w:szCs w:val="23"/>
        </w:rPr>
        <w:t xml:space="preserve">This instrument, which </w:t>
      </w:r>
      <w:r w:rsidR="0076663B" w:rsidRPr="00EA1089">
        <w:rPr>
          <w:szCs w:val="23"/>
        </w:rPr>
        <w:t xml:space="preserve">comes into force on 1 April </w:t>
      </w:r>
      <w:r w:rsidR="009B3FCB" w:rsidRPr="00EA1089">
        <w:rPr>
          <w:szCs w:val="23"/>
        </w:rPr>
        <w:t>202</w:t>
      </w:r>
      <w:r w:rsidR="003A31E3">
        <w:rPr>
          <w:szCs w:val="23"/>
        </w:rPr>
        <w:t>6</w:t>
      </w:r>
      <w:r w:rsidRPr="00EA1089">
        <w:rPr>
          <w:szCs w:val="23"/>
        </w:rPr>
        <w:t xml:space="preserve">, amends </w:t>
      </w:r>
      <w:r w:rsidR="00DF4DA6">
        <w:rPr>
          <w:szCs w:val="23"/>
        </w:rPr>
        <w:t xml:space="preserve">a number of Ministerial Directions and </w:t>
      </w:r>
      <w:r w:rsidRPr="00EA1089">
        <w:rPr>
          <w:szCs w:val="23"/>
        </w:rPr>
        <w:t>Ministerial welfare programmes un</w:t>
      </w:r>
      <w:r w:rsidR="00DE702E" w:rsidRPr="00EA1089">
        <w:rPr>
          <w:szCs w:val="23"/>
        </w:rPr>
        <w:t>der the Social Security Act 2018</w:t>
      </w:r>
      <w:r w:rsidR="009B3FCB" w:rsidRPr="00EA1089">
        <w:rPr>
          <w:szCs w:val="23"/>
        </w:rPr>
        <w:t>:</w:t>
      </w:r>
    </w:p>
    <w:p w14:paraId="0C2AD336" w14:textId="074972C2" w:rsidR="00FE172F" w:rsidRPr="00EA1089" w:rsidRDefault="00565F17" w:rsidP="0088152B">
      <w:pPr>
        <w:spacing w:after="120"/>
        <w:jc w:val="both"/>
        <w:rPr>
          <w:i/>
          <w:szCs w:val="23"/>
        </w:rPr>
      </w:pPr>
      <w:r w:rsidRPr="004D0E66">
        <w:rPr>
          <w:i/>
          <w:szCs w:val="23"/>
        </w:rPr>
        <w:t xml:space="preserve">Clause </w:t>
      </w:r>
      <w:r w:rsidR="00A7358A" w:rsidRPr="0072505F">
        <w:rPr>
          <w:i/>
          <w:szCs w:val="23"/>
        </w:rPr>
        <w:t>4</w:t>
      </w:r>
      <w:r w:rsidRPr="004D0E66">
        <w:rPr>
          <w:i/>
          <w:szCs w:val="23"/>
        </w:rPr>
        <w:t xml:space="preserve"> and Schedule 1:</w:t>
      </w:r>
      <w:r w:rsidRPr="00EA1089">
        <w:rPr>
          <w:i/>
          <w:szCs w:val="23"/>
        </w:rPr>
        <w:t xml:space="preserve"> </w:t>
      </w:r>
    </w:p>
    <w:p w14:paraId="3F9BEC2E" w14:textId="0BB0B48E" w:rsidR="00EF7AB9" w:rsidRPr="00EF7AB9" w:rsidRDefault="002E55B8" w:rsidP="00EF7AB9">
      <w:pPr>
        <w:numPr>
          <w:ilvl w:val="0"/>
          <w:numId w:val="12"/>
        </w:numPr>
        <w:tabs>
          <w:tab w:val="clear" w:pos="770"/>
          <w:tab w:val="num" w:pos="360"/>
        </w:tabs>
        <w:spacing w:after="120"/>
        <w:ind w:left="357" w:hanging="357"/>
        <w:jc w:val="both"/>
        <w:rPr>
          <w:i/>
          <w:szCs w:val="23"/>
        </w:rPr>
      </w:pPr>
      <w:bookmarkStart w:id="37" w:name="_Hlk64904007"/>
      <w:r>
        <w:rPr>
          <w:szCs w:val="23"/>
        </w:rPr>
        <w:t>m</w:t>
      </w:r>
      <w:r w:rsidR="00EF7AB9">
        <w:rPr>
          <w:szCs w:val="23"/>
        </w:rPr>
        <w:t xml:space="preserve">akes several minor and technical amendments to the Direction setting approval criteria for </w:t>
      </w:r>
      <w:r w:rsidR="00EF7AB9" w:rsidRPr="00DF4DA6">
        <w:rPr>
          <w:szCs w:val="23"/>
        </w:rPr>
        <w:t>specified early childhood education programmes for purposes of social obligations under the Social Security Act 2018</w:t>
      </w:r>
      <w:r w:rsidR="00EF7AB9">
        <w:rPr>
          <w:szCs w:val="23"/>
        </w:rPr>
        <w:t xml:space="preserve"> and the Ministerial Direction on </w:t>
      </w:r>
      <w:r>
        <w:rPr>
          <w:szCs w:val="23"/>
        </w:rPr>
        <w:t>D</w:t>
      </w:r>
      <w:r w:rsidR="00EF7AB9">
        <w:rPr>
          <w:szCs w:val="23"/>
        </w:rPr>
        <w:t xml:space="preserve">ebt </w:t>
      </w:r>
      <w:proofErr w:type="gramStart"/>
      <w:r>
        <w:rPr>
          <w:szCs w:val="23"/>
        </w:rPr>
        <w:t>R</w:t>
      </w:r>
      <w:r w:rsidR="00EF7AB9">
        <w:rPr>
          <w:szCs w:val="23"/>
        </w:rPr>
        <w:t>ecovery</w:t>
      </w:r>
      <w:r>
        <w:rPr>
          <w:szCs w:val="23"/>
        </w:rPr>
        <w:t>;</w:t>
      </w:r>
      <w:proofErr w:type="gramEnd"/>
      <w:r w:rsidR="00EF7AB9">
        <w:rPr>
          <w:szCs w:val="23"/>
        </w:rPr>
        <w:t xml:space="preserve"> </w:t>
      </w:r>
    </w:p>
    <w:p w14:paraId="26845049" w14:textId="24B6343A" w:rsidR="00C500F1" w:rsidRPr="0072505F" w:rsidRDefault="00021A74" w:rsidP="0088152B">
      <w:pPr>
        <w:numPr>
          <w:ilvl w:val="0"/>
          <w:numId w:val="12"/>
        </w:numPr>
        <w:tabs>
          <w:tab w:val="clear" w:pos="770"/>
          <w:tab w:val="num" w:pos="360"/>
        </w:tabs>
        <w:spacing w:after="120"/>
        <w:ind w:left="357" w:hanging="357"/>
        <w:jc w:val="both"/>
        <w:rPr>
          <w:i/>
          <w:szCs w:val="23"/>
        </w:rPr>
      </w:pPr>
      <w:r w:rsidRPr="00EA1089">
        <w:rPr>
          <w:szCs w:val="23"/>
        </w:rPr>
        <w:t xml:space="preserve">adjusts the appropriate income </w:t>
      </w:r>
      <w:r w:rsidR="00A63545" w:rsidRPr="00EA1089">
        <w:rPr>
          <w:szCs w:val="23"/>
        </w:rPr>
        <w:t xml:space="preserve">limits </w:t>
      </w:r>
      <w:r w:rsidRPr="00EA1089">
        <w:rPr>
          <w:szCs w:val="23"/>
        </w:rPr>
        <w:t xml:space="preserve">in relation to Advance Payments of Instalments </w:t>
      </w:r>
      <w:r w:rsidR="0088416F" w:rsidRPr="00EA1089">
        <w:rPr>
          <w:szCs w:val="23"/>
        </w:rPr>
        <w:t xml:space="preserve">of </w:t>
      </w:r>
      <w:r w:rsidRPr="00EA1089">
        <w:rPr>
          <w:szCs w:val="23"/>
        </w:rPr>
        <w:t xml:space="preserve">Benefit to reflect </w:t>
      </w:r>
      <w:r w:rsidR="00C46152" w:rsidRPr="00EA1089">
        <w:rPr>
          <w:szCs w:val="23"/>
        </w:rPr>
        <w:t xml:space="preserve">the </w:t>
      </w:r>
      <w:r w:rsidR="004D0E66" w:rsidRPr="0072505F">
        <w:rPr>
          <w:szCs w:val="23"/>
        </w:rPr>
        <w:t>2.91</w:t>
      </w:r>
      <w:r w:rsidR="00FC4B3C" w:rsidRPr="004D0E66">
        <w:rPr>
          <w:szCs w:val="23"/>
        </w:rPr>
        <w:t>%</w:t>
      </w:r>
      <w:r w:rsidR="001D0EFF" w:rsidRPr="00EA1089">
        <w:rPr>
          <w:szCs w:val="23"/>
        </w:rPr>
        <w:t xml:space="preserve"> </w:t>
      </w:r>
      <w:r w:rsidR="00C500F1" w:rsidRPr="00EA1089">
        <w:rPr>
          <w:szCs w:val="23"/>
        </w:rPr>
        <w:t xml:space="preserve">increase in the net average wage over the previous </w:t>
      </w:r>
      <w:proofErr w:type="gramStart"/>
      <w:r w:rsidR="00C500F1" w:rsidRPr="00EA1089">
        <w:rPr>
          <w:szCs w:val="23"/>
        </w:rPr>
        <w:t>year</w:t>
      </w:r>
      <w:r w:rsidR="007C423B" w:rsidRPr="00EA1089">
        <w:rPr>
          <w:szCs w:val="23"/>
        </w:rPr>
        <w:t>;</w:t>
      </w:r>
      <w:proofErr w:type="gramEnd"/>
    </w:p>
    <w:p w14:paraId="25594588" w14:textId="6089D66E" w:rsidR="00C500F1" w:rsidRPr="00EA1089" w:rsidRDefault="00C500F1" w:rsidP="0088152B">
      <w:pPr>
        <w:numPr>
          <w:ilvl w:val="0"/>
          <w:numId w:val="12"/>
        </w:numPr>
        <w:tabs>
          <w:tab w:val="clear" w:pos="770"/>
          <w:tab w:val="num" w:pos="360"/>
        </w:tabs>
        <w:spacing w:after="120"/>
        <w:ind w:left="357" w:hanging="357"/>
        <w:jc w:val="both"/>
        <w:rPr>
          <w:i/>
          <w:szCs w:val="23"/>
        </w:rPr>
      </w:pPr>
      <w:r w:rsidRPr="00EA1089">
        <w:rPr>
          <w:szCs w:val="23"/>
        </w:rPr>
        <w:t xml:space="preserve">adjusts standard costs, to the </w:t>
      </w:r>
      <w:r w:rsidR="00865741" w:rsidRPr="0072505F">
        <w:rPr>
          <w:color w:val="000000" w:themeColor="text1"/>
          <w:szCs w:val="23"/>
        </w:rPr>
        <w:t>D</w:t>
      </w:r>
      <w:r w:rsidRPr="0072505F">
        <w:rPr>
          <w:color w:val="000000" w:themeColor="text1"/>
          <w:szCs w:val="23"/>
        </w:rPr>
        <w:t xml:space="preserve">irection </w:t>
      </w:r>
      <w:r w:rsidR="00865741" w:rsidRPr="0072505F">
        <w:rPr>
          <w:color w:val="000000" w:themeColor="text1"/>
          <w:szCs w:val="23"/>
        </w:rPr>
        <w:t xml:space="preserve">in relation to </w:t>
      </w:r>
      <w:r w:rsidRPr="00EA1089">
        <w:rPr>
          <w:szCs w:val="23"/>
        </w:rPr>
        <w:t xml:space="preserve">Special Benefit to reflect a </w:t>
      </w:r>
      <w:r w:rsidR="00434D46" w:rsidRPr="0072505F">
        <w:rPr>
          <w:szCs w:val="23"/>
        </w:rPr>
        <w:t>3.11</w:t>
      </w:r>
      <w:r w:rsidR="007249C5" w:rsidRPr="00434D46">
        <w:rPr>
          <w:szCs w:val="23"/>
        </w:rPr>
        <w:t>%</w:t>
      </w:r>
      <w:r w:rsidRPr="00EA1089">
        <w:rPr>
          <w:szCs w:val="23"/>
        </w:rPr>
        <w:t xml:space="preserve"> increase in the New Zealand Consumers Price Index</w:t>
      </w:r>
      <w:r w:rsidR="00A63545" w:rsidRPr="00EA1089">
        <w:rPr>
          <w:szCs w:val="23"/>
        </w:rPr>
        <w:t xml:space="preserve"> (CPI)</w:t>
      </w:r>
      <w:r w:rsidRPr="00EA1089">
        <w:rPr>
          <w:szCs w:val="23"/>
        </w:rPr>
        <w:t xml:space="preserve"> from the December 202</w:t>
      </w:r>
      <w:r w:rsidR="003A31E3">
        <w:rPr>
          <w:szCs w:val="23"/>
        </w:rPr>
        <w:t>4</w:t>
      </w:r>
      <w:r w:rsidRPr="00EA1089">
        <w:rPr>
          <w:szCs w:val="23"/>
        </w:rPr>
        <w:t xml:space="preserve"> quarter to the December 202</w:t>
      </w:r>
      <w:r w:rsidR="003A31E3">
        <w:rPr>
          <w:szCs w:val="23"/>
        </w:rPr>
        <w:t>5</w:t>
      </w:r>
      <w:r w:rsidRPr="00EA1089">
        <w:rPr>
          <w:szCs w:val="23"/>
        </w:rPr>
        <w:t xml:space="preserve"> quarter (calculated using the CPI (All Groups))</w:t>
      </w:r>
      <w:r w:rsidR="007C423B" w:rsidRPr="00EA1089">
        <w:rPr>
          <w:szCs w:val="23"/>
        </w:rPr>
        <w:t>.</w:t>
      </w:r>
    </w:p>
    <w:bookmarkEnd w:id="37"/>
    <w:p w14:paraId="3966400B" w14:textId="5AFFB7AA" w:rsidR="00FE172F" w:rsidRPr="00EA1089" w:rsidRDefault="00565F17" w:rsidP="0088152B">
      <w:pPr>
        <w:spacing w:after="120"/>
        <w:jc w:val="both"/>
        <w:rPr>
          <w:szCs w:val="23"/>
        </w:rPr>
      </w:pPr>
      <w:r w:rsidRPr="004D0E66">
        <w:rPr>
          <w:i/>
          <w:szCs w:val="23"/>
        </w:rPr>
        <w:t xml:space="preserve">Clause </w:t>
      </w:r>
      <w:r w:rsidR="00314744" w:rsidRPr="0072505F">
        <w:rPr>
          <w:i/>
          <w:szCs w:val="23"/>
        </w:rPr>
        <w:t>4</w:t>
      </w:r>
      <w:r w:rsidRPr="004D0E66">
        <w:rPr>
          <w:i/>
          <w:szCs w:val="23"/>
        </w:rPr>
        <w:t xml:space="preserve"> and Schedule 2</w:t>
      </w:r>
      <w:r w:rsidRPr="004D0E66">
        <w:rPr>
          <w:szCs w:val="23"/>
        </w:rPr>
        <w:t>:</w:t>
      </w:r>
    </w:p>
    <w:p w14:paraId="0BDABA0A" w14:textId="06C1E466" w:rsidR="00DF4DA6" w:rsidRPr="0072505F" w:rsidRDefault="00DF4DA6" w:rsidP="00DF4DA6">
      <w:pPr>
        <w:numPr>
          <w:ilvl w:val="0"/>
          <w:numId w:val="12"/>
        </w:numPr>
        <w:tabs>
          <w:tab w:val="clear" w:pos="770"/>
          <w:tab w:val="num" w:pos="360"/>
        </w:tabs>
        <w:spacing w:after="120"/>
        <w:ind w:left="357" w:hanging="357"/>
        <w:jc w:val="both"/>
        <w:rPr>
          <w:iCs/>
          <w:szCs w:val="23"/>
        </w:rPr>
      </w:pPr>
      <w:r w:rsidRPr="0072505F">
        <w:rPr>
          <w:iCs/>
          <w:szCs w:val="23"/>
        </w:rPr>
        <w:t>makes several minor and technical amendments to the Away from Home Allowance Programme, Emergency Housing Grants Programme, Flexi-wage Employment Assistance Programme</w:t>
      </w:r>
      <w:r w:rsidR="002E55B8">
        <w:rPr>
          <w:iCs/>
          <w:szCs w:val="23"/>
        </w:rPr>
        <w:t xml:space="preserve"> and the</w:t>
      </w:r>
      <w:r w:rsidRPr="0072505F">
        <w:rPr>
          <w:iCs/>
          <w:szCs w:val="23"/>
        </w:rPr>
        <w:t xml:space="preserve"> Special Needs Grants </w:t>
      </w:r>
      <w:proofErr w:type="gramStart"/>
      <w:r w:rsidRPr="0072505F">
        <w:rPr>
          <w:iCs/>
          <w:szCs w:val="23"/>
        </w:rPr>
        <w:t>Programme</w:t>
      </w:r>
      <w:r w:rsidR="002E55B8">
        <w:rPr>
          <w:iCs/>
          <w:szCs w:val="23"/>
        </w:rPr>
        <w:t>;</w:t>
      </w:r>
      <w:proofErr w:type="gramEnd"/>
      <w:r w:rsidRPr="0072505F">
        <w:rPr>
          <w:iCs/>
          <w:szCs w:val="23"/>
        </w:rPr>
        <w:t xml:space="preserve"> </w:t>
      </w:r>
    </w:p>
    <w:p w14:paraId="56744D2B" w14:textId="309C5F5E" w:rsidR="000F321A" w:rsidRPr="00EA1089" w:rsidRDefault="000F321A" w:rsidP="0088152B">
      <w:pPr>
        <w:numPr>
          <w:ilvl w:val="0"/>
          <w:numId w:val="12"/>
        </w:numPr>
        <w:tabs>
          <w:tab w:val="clear" w:pos="770"/>
          <w:tab w:val="num" w:pos="360"/>
        </w:tabs>
        <w:spacing w:after="120"/>
        <w:ind w:left="357" w:hanging="357"/>
        <w:jc w:val="both"/>
        <w:rPr>
          <w:i/>
          <w:szCs w:val="23"/>
        </w:rPr>
      </w:pPr>
      <w:r w:rsidRPr="00EA1089">
        <w:rPr>
          <w:szCs w:val="23"/>
        </w:rPr>
        <w:lastRenderedPageBreak/>
        <w:t>adjusts certain rates</w:t>
      </w:r>
      <w:r w:rsidR="009B3FCB" w:rsidRPr="00EA1089">
        <w:rPr>
          <w:szCs w:val="23"/>
        </w:rPr>
        <w:t xml:space="preserve"> </w:t>
      </w:r>
      <w:r w:rsidRPr="00EA1089">
        <w:rPr>
          <w:szCs w:val="23"/>
        </w:rPr>
        <w:t xml:space="preserve">and limits in relation to </w:t>
      </w:r>
      <w:r w:rsidR="007249C5" w:rsidRPr="00EA1089">
        <w:rPr>
          <w:szCs w:val="23"/>
        </w:rPr>
        <w:t xml:space="preserve">the Employment and Work Readiness Assistance Programme, </w:t>
      </w:r>
      <w:r w:rsidRPr="00EA1089">
        <w:rPr>
          <w:szCs w:val="23"/>
        </w:rPr>
        <w:t xml:space="preserve">Family Start and Early Start (Childcare Assistance) Programme, </w:t>
      </w:r>
      <w:r w:rsidR="009C2127" w:rsidRPr="00EA1089">
        <w:rPr>
          <w:iCs/>
          <w:szCs w:val="23"/>
        </w:rPr>
        <w:t>Guaranteed Childcare Assistance Payment Programme</w:t>
      </w:r>
      <w:r w:rsidR="004417BE" w:rsidRPr="00EA1089">
        <w:rPr>
          <w:iCs/>
          <w:szCs w:val="23"/>
        </w:rPr>
        <w:t>,</w:t>
      </w:r>
      <w:r w:rsidR="009C2127" w:rsidRPr="00EA1089">
        <w:rPr>
          <w:iCs/>
          <w:szCs w:val="23"/>
        </w:rPr>
        <w:t xml:space="preserve"> </w:t>
      </w:r>
      <w:r w:rsidRPr="00EA1089">
        <w:rPr>
          <w:szCs w:val="23"/>
        </w:rPr>
        <w:t>New Employment Transition Grant Programme,</w:t>
      </w:r>
      <w:r w:rsidR="00BA3E7C" w:rsidRPr="00EA1089">
        <w:rPr>
          <w:szCs w:val="23"/>
        </w:rPr>
        <w:t xml:space="preserve"> </w:t>
      </w:r>
      <w:r w:rsidRPr="00EA1089">
        <w:rPr>
          <w:szCs w:val="23"/>
        </w:rPr>
        <w:t>Seasonal Work Assistance Programme</w:t>
      </w:r>
      <w:r w:rsidR="00233C02" w:rsidRPr="00EA1089">
        <w:rPr>
          <w:szCs w:val="23"/>
        </w:rPr>
        <w:t>, and Training Incentive Allowance Programme</w:t>
      </w:r>
      <w:r w:rsidRPr="00EA1089">
        <w:rPr>
          <w:szCs w:val="23"/>
        </w:rPr>
        <w:t xml:space="preserve"> to reflect a </w:t>
      </w:r>
      <w:r w:rsidR="00881FF8" w:rsidRPr="0072505F">
        <w:rPr>
          <w:szCs w:val="23"/>
        </w:rPr>
        <w:t>3.11</w:t>
      </w:r>
      <w:r w:rsidRPr="00881FF8">
        <w:rPr>
          <w:szCs w:val="23"/>
        </w:rPr>
        <w:t>%</w:t>
      </w:r>
      <w:r w:rsidRPr="00EA1089">
        <w:rPr>
          <w:szCs w:val="23"/>
        </w:rPr>
        <w:t xml:space="preserve"> increase in the </w:t>
      </w:r>
      <w:r w:rsidR="00A63545" w:rsidRPr="00EA1089">
        <w:rPr>
          <w:szCs w:val="23"/>
        </w:rPr>
        <w:t>CPI</w:t>
      </w:r>
      <w:r w:rsidRPr="00EA1089">
        <w:rPr>
          <w:szCs w:val="23"/>
        </w:rPr>
        <w:t xml:space="preserve"> from the December 20</w:t>
      </w:r>
      <w:r w:rsidR="00883B12" w:rsidRPr="00EA1089">
        <w:rPr>
          <w:szCs w:val="23"/>
        </w:rPr>
        <w:t>2</w:t>
      </w:r>
      <w:r w:rsidR="003A31E3">
        <w:rPr>
          <w:szCs w:val="23"/>
        </w:rPr>
        <w:t>4</w:t>
      </w:r>
      <w:r w:rsidRPr="00EA1089">
        <w:rPr>
          <w:szCs w:val="23"/>
        </w:rPr>
        <w:t xml:space="preserve"> quarter to the December 202</w:t>
      </w:r>
      <w:r w:rsidR="003A31E3">
        <w:rPr>
          <w:szCs w:val="23"/>
        </w:rPr>
        <w:t>5</w:t>
      </w:r>
      <w:r w:rsidRPr="00EA1089">
        <w:rPr>
          <w:szCs w:val="23"/>
        </w:rPr>
        <w:t xml:space="preserve"> quarter (calculated using the CPI </w:t>
      </w:r>
      <w:r w:rsidR="009756A7" w:rsidRPr="00EA1089">
        <w:rPr>
          <w:szCs w:val="23"/>
        </w:rPr>
        <w:t>(</w:t>
      </w:r>
      <w:r w:rsidRPr="00EA1089">
        <w:rPr>
          <w:szCs w:val="23"/>
        </w:rPr>
        <w:t>All Groups</w:t>
      </w:r>
      <w:r w:rsidR="009756A7" w:rsidRPr="00EA1089">
        <w:rPr>
          <w:szCs w:val="23"/>
        </w:rPr>
        <w:t>)</w:t>
      </w:r>
      <w:r w:rsidRPr="00EA1089">
        <w:rPr>
          <w:szCs w:val="23"/>
        </w:rPr>
        <w:t>)</w:t>
      </w:r>
      <w:r w:rsidR="00352993" w:rsidRPr="00EA1089">
        <w:rPr>
          <w:szCs w:val="23"/>
        </w:rPr>
        <w:t>;</w:t>
      </w:r>
    </w:p>
    <w:p w14:paraId="0DD976E4" w14:textId="7EEEC3E2" w:rsidR="00AA17A1" w:rsidRPr="00EA1089" w:rsidRDefault="00C46152" w:rsidP="0088152B">
      <w:pPr>
        <w:numPr>
          <w:ilvl w:val="0"/>
          <w:numId w:val="12"/>
        </w:numPr>
        <w:tabs>
          <w:tab w:val="clear" w:pos="770"/>
          <w:tab w:val="num" w:pos="360"/>
        </w:tabs>
        <w:spacing w:after="120"/>
        <w:ind w:left="357" w:hanging="357"/>
        <w:jc w:val="both"/>
        <w:rPr>
          <w:i/>
          <w:szCs w:val="23"/>
        </w:rPr>
      </w:pPr>
      <w:r w:rsidRPr="00EA1089">
        <w:rPr>
          <w:szCs w:val="23"/>
        </w:rPr>
        <w:t xml:space="preserve">adjusts </w:t>
      </w:r>
      <w:r w:rsidR="00A63545" w:rsidRPr="00EA1089">
        <w:rPr>
          <w:szCs w:val="23"/>
        </w:rPr>
        <w:t xml:space="preserve">the appropriate income limits </w:t>
      </w:r>
      <w:r w:rsidRPr="00EA1089">
        <w:rPr>
          <w:szCs w:val="23"/>
        </w:rPr>
        <w:t xml:space="preserve">in relation to the Recoverable Assistance Programme and Special Needs Grants Programme to reflect the </w:t>
      </w:r>
      <w:r w:rsidR="00881FF8" w:rsidRPr="0072505F">
        <w:rPr>
          <w:szCs w:val="23"/>
        </w:rPr>
        <w:t>2.91</w:t>
      </w:r>
      <w:r w:rsidRPr="00881FF8">
        <w:rPr>
          <w:szCs w:val="23"/>
        </w:rPr>
        <w:t>%</w:t>
      </w:r>
      <w:r w:rsidRPr="00EA1089">
        <w:rPr>
          <w:szCs w:val="23"/>
        </w:rPr>
        <w:t xml:space="preserve"> increase in the net average wage over the previous </w:t>
      </w:r>
      <w:proofErr w:type="gramStart"/>
      <w:r w:rsidRPr="00EA1089">
        <w:rPr>
          <w:szCs w:val="23"/>
        </w:rPr>
        <w:t>year</w:t>
      </w:r>
      <w:r w:rsidR="00352993" w:rsidRPr="00EA1089">
        <w:rPr>
          <w:szCs w:val="23"/>
        </w:rPr>
        <w:t>;</w:t>
      </w:r>
      <w:proofErr w:type="gramEnd"/>
    </w:p>
    <w:p w14:paraId="152CF0DB" w14:textId="43A30F26" w:rsidR="00F66F2C" w:rsidRPr="00EA1089" w:rsidRDefault="00B710F2" w:rsidP="0088152B">
      <w:pPr>
        <w:numPr>
          <w:ilvl w:val="0"/>
          <w:numId w:val="12"/>
        </w:numPr>
        <w:tabs>
          <w:tab w:val="clear" w:pos="770"/>
          <w:tab w:val="num" w:pos="360"/>
        </w:tabs>
        <w:spacing w:after="120"/>
        <w:ind w:left="357" w:hanging="357"/>
        <w:jc w:val="both"/>
        <w:rPr>
          <w:szCs w:val="23"/>
        </w:rPr>
      </w:pPr>
      <w:r>
        <w:rPr>
          <w:szCs w:val="23"/>
        </w:rPr>
        <w:t xml:space="preserve">amends </w:t>
      </w:r>
      <w:r w:rsidR="00F66F2C" w:rsidRPr="00EA1089">
        <w:rPr>
          <w:szCs w:val="23"/>
        </w:rPr>
        <w:t xml:space="preserve">the Home Help Programme, to adjust the hourly rate, that may be paid to a home helper, in line with the actual </w:t>
      </w:r>
      <w:r w:rsidR="00844F53" w:rsidRPr="00620A9C">
        <w:rPr>
          <w:szCs w:val="23"/>
        </w:rPr>
        <w:t>1.</w:t>
      </w:r>
      <w:r w:rsidR="00620A9C" w:rsidRPr="0072505F">
        <w:rPr>
          <w:szCs w:val="23"/>
        </w:rPr>
        <w:t>91</w:t>
      </w:r>
      <w:r w:rsidR="00F66F2C" w:rsidRPr="00620A9C">
        <w:rPr>
          <w:szCs w:val="23"/>
        </w:rPr>
        <w:t>%</w:t>
      </w:r>
      <w:r w:rsidR="00F66F2C" w:rsidRPr="00EA1089">
        <w:rPr>
          <w:szCs w:val="23"/>
        </w:rPr>
        <w:t xml:space="preserve"> increase in the adult minimum wage rate from 1 April 202</w:t>
      </w:r>
      <w:r w:rsidR="003A31E3">
        <w:rPr>
          <w:szCs w:val="23"/>
        </w:rPr>
        <w:t>6</w:t>
      </w:r>
      <w:r w:rsidR="00F66F2C" w:rsidRPr="00EA1089">
        <w:rPr>
          <w:szCs w:val="23"/>
        </w:rPr>
        <w:t xml:space="preserve"> (occurring in line with Cabinet’s decision to increase the minimum </w:t>
      </w:r>
      <w:r w:rsidR="00F66F2C" w:rsidRPr="00620A9C">
        <w:rPr>
          <w:szCs w:val="23"/>
        </w:rPr>
        <w:t xml:space="preserve">wage by </w:t>
      </w:r>
      <w:r w:rsidR="00E001E4">
        <w:rPr>
          <w:szCs w:val="23"/>
        </w:rPr>
        <w:t>2.0</w:t>
      </w:r>
      <w:r w:rsidR="00F66F2C" w:rsidRPr="00620A9C">
        <w:rPr>
          <w:szCs w:val="23"/>
        </w:rPr>
        <w:t>% and</w:t>
      </w:r>
      <w:r w:rsidR="00F66F2C" w:rsidRPr="00EA1089">
        <w:rPr>
          <w:szCs w:val="23"/>
        </w:rPr>
        <w:t xml:space="preserve"> then round to the nearest </w:t>
      </w:r>
      <w:r w:rsidR="00E001E4">
        <w:rPr>
          <w:szCs w:val="23"/>
        </w:rPr>
        <w:t>5</w:t>
      </w:r>
      <w:r w:rsidR="00C8398C" w:rsidRPr="00EA1089">
        <w:rPr>
          <w:szCs w:val="23"/>
        </w:rPr>
        <w:t xml:space="preserve"> </w:t>
      </w:r>
      <w:r w:rsidR="00F66F2C" w:rsidRPr="00EA1089">
        <w:rPr>
          <w:szCs w:val="23"/>
        </w:rPr>
        <w:t>cent</w:t>
      </w:r>
      <w:r w:rsidR="00E001E4">
        <w:rPr>
          <w:szCs w:val="23"/>
        </w:rPr>
        <w:t>s</w:t>
      </w:r>
      <w:proofErr w:type="gramStart"/>
      <w:r w:rsidR="00F66F2C" w:rsidRPr="00EA1089">
        <w:rPr>
          <w:szCs w:val="23"/>
        </w:rPr>
        <w:t>)</w:t>
      </w:r>
      <w:r w:rsidR="00352993" w:rsidRPr="00EA1089">
        <w:rPr>
          <w:szCs w:val="23"/>
        </w:rPr>
        <w:t>;</w:t>
      </w:r>
      <w:proofErr w:type="gramEnd"/>
    </w:p>
    <w:p w14:paraId="2FEC1551" w14:textId="0CCEAEA5" w:rsidR="0020599A" w:rsidRPr="00EA1089" w:rsidRDefault="00B710F2" w:rsidP="0088152B">
      <w:pPr>
        <w:numPr>
          <w:ilvl w:val="0"/>
          <w:numId w:val="12"/>
        </w:numPr>
        <w:tabs>
          <w:tab w:val="clear" w:pos="770"/>
          <w:tab w:val="num" w:pos="360"/>
        </w:tabs>
        <w:spacing w:after="120"/>
        <w:ind w:left="357" w:hanging="357"/>
        <w:jc w:val="both"/>
        <w:rPr>
          <w:szCs w:val="23"/>
        </w:rPr>
      </w:pPr>
      <w:r>
        <w:rPr>
          <w:szCs w:val="23"/>
        </w:rPr>
        <w:t xml:space="preserve">amend </w:t>
      </w:r>
      <w:r w:rsidR="00565F17" w:rsidRPr="00EA1089">
        <w:rPr>
          <w:szCs w:val="23"/>
        </w:rPr>
        <w:t xml:space="preserve">the Special Transfer Allowance Programme 2000 to adjust average regional rents </w:t>
      </w:r>
      <w:r w:rsidR="00270EA9" w:rsidRPr="00EA1089">
        <w:rPr>
          <w:szCs w:val="23"/>
        </w:rPr>
        <w:t>to reflect movements in rentals</w:t>
      </w:r>
      <w:r w:rsidR="00C8398C" w:rsidRPr="00EA1089">
        <w:rPr>
          <w:szCs w:val="23"/>
        </w:rPr>
        <w:t>.</w:t>
      </w:r>
    </w:p>
    <w:sectPr w:rsidR="0020599A" w:rsidRPr="00EA1089" w:rsidSect="001A74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2155" w:bottom="1440" w:left="2155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EB4C" w14:textId="77777777" w:rsidR="00F67DFF" w:rsidRDefault="00F67DFF">
      <w:r>
        <w:separator/>
      </w:r>
    </w:p>
  </w:endnote>
  <w:endnote w:type="continuationSeparator" w:id="0">
    <w:p w14:paraId="1D732A48" w14:textId="77777777" w:rsidR="00F67DFF" w:rsidRDefault="00F67DFF">
      <w:r>
        <w:continuationSeparator/>
      </w:r>
    </w:p>
  </w:endnote>
  <w:endnote w:type="continuationNotice" w:id="1">
    <w:p w14:paraId="6B64531D" w14:textId="77777777" w:rsidR="00F67DFF" w:rsidRDefault="00F67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F6EB" w14:textId="77777777" w:rsidR="00304C48" w:rsidRDefault="00304C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9313FDC" w14:textId="77777777" w:rsidR="00304C48" w:rsidRDefault="00304C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515F" w14:textId="77777777" w:rsidR="00304C48" w:rsidRDefault="00304C48">
    <w:pPr>
      <w:pStyle w:val="Footer"/>
      <w:framePr w:wrap="around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noProof/>
        <w:sz w:val="20"/>
      </w:rPr>
      <w:t>5</w:t>
    </w:r>
    <w:r>
      <w:rPr>
        <w:rStyle w:val="PageNumber"/>
        <w:b w:val="0"/>
        <w:sz w:val="20"/>
      </w:rPr>
      <w:fldChar w:fldCharType="end"/>
    </w:r>
  </w:p>
  <w:p w14:paraId="30229782" w14:textId="77777777" w:rsidR="00304C48" w:rsidRDefault="00304C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6520" w14:textId="77777777" w:rsidR="00304C48" w:rsidRDefault="00304C48">
    <w:pPr>
      <w:pStyle w:val="Footer"/>
      <w:jc w:val="right"/>
      <w:rPr>
        <w:b w:val="0"/>
        <w:sz w:val="20"/>
      </w:rPr>
    </w:pPr>
    <w:r>
      <w:rPr>
        <w:b w:val="0"/>
        <w:sz w:val="20"/>
      </w:rPr>
      <w:fldChar w:fldCharType="begin"/>
    </w:r>
    <w:r>
      <w:rPr>
        <w:b w:val="0"/>
        <w:sz w:val="20"/>
      </w:rPr>
      <w:instrText xml:space="preserve"> PAGE   \* MERGEFORMAT </w:instrText>
    </w:r>
    <w:r>
      <w:rPr>
        <w:b w:val="0"/>
        <w:sz w:val="20"/>
      </w:rPr>
      <w:fldChar w:fldCharType="separate"/>
    </w:r>
    <w:r>
      <w:rPr>
        <w:b w:val="0"/>
        <w:noProof/>
        <w:sz w:val="20"/>
      </w:rPr>
      <w:t>1</w:t>
    </w:r>
    <w:r>
      <w:rPr>
        <w:b w:val="0"/>
        <w:noProof/>
        <w:sz w:val="20"/>
      </w:rPr>
      <w:fldChar w:fldCharType="end"/>
    </w:r>
  </w:p>
  <w:p w14:paraId="2FD662E7" w14:textId="77777777" w:rsidR="00304C48" w:rsidRDefault="00304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8C8A" w14:textId="77777777" w:rsidR="00F67DFF" w:rsidRDefault="00F67DFF">
      <w:r>
        <w:separator/>
      </w:r>
    </w:p>
  </w:footnote>
  <w:footnote w:type="continuationSeparator" w:id="0">
    <w:p w14:paraId="6C8E9793" w14:textId="77777777" w:rsidR="00F67DFF" w:rsidRDefault="00F67DFF">
      <w:r>
        <w:continuationSeparator/>
      </w:r>
    </w:p>
  </w:footnote>
  <w:footnote w:type="continuationNotice" w:id="1">
    <w:p w14:paraId="529C79F9" w14:textId="77777777" w:rsidR="00F67DFF" w:rsidRDefault="00F67DFF"/>
  </w:footnote>
  <w:footnote w:id="2">
    <w:p w14:paraId="3F92EAEC" w14:textId="5C18981F" w:rsidR="00803E41" w:rsidRDefault="00803E41">
      <w:pPr>
        <w:pStyle w:val="FootnoteText"/>
      </w:pPr>
      <w:r w:rsidRPr="00091080">
        <w:rPr>
          <w:rStyle w:val="FootnoteReference"/>
        </w:rPr>
        <w:footnoteRef/>
      </w:r>
      <w:r w:rsidRPr="00091080">
        <w:t xml:space="preserve"> New Zealand Gazette </w:t>
      </w:r>
      <w:r w:rsidR="003542E1" w:rsidRPr="00091080">
        <w:t>24 June 1999, No</w:t>
      </w:r>
      <w:r w:rsidR="0038537A" w:rsidRPr="00091080">
        <w:t>.</w:t>
      </w:r>
      <w:r w:rsidR="003542E1" w:rsidRPr="00091080">
        <w:t xml:space="preserve"> </w:t>
      </w:r>
      <w:r w:rsidR="00DD7651" w:rsidRPr="00091080">
        <w:t>75</w:t>
      </w:r>
      <w:r w:rsidR="003542E1" w:rsidRPr="00091080">
        <w:t xml:space="preserve">, </w:t>
      </w:r>
      <w:r w:rsidR="0038537A" w:rsidRPr="00091080">
        <w:t xml:space="preserve">page </w:t>
      </w:r>
      <w:r w:rsidR="003542E1" w:rsidRPr="00091080">
        <w:t>1687.</w:t>
      </w:r>
      <w:r w:rsidR="003542E1">
        <w:t xml:space="preserve"> </w:t>
      </w:r>
    </w:p>
  </w:footnote>
  <w:footnote w:id="3">
    <w:p w14:paraId="3254F9FF" w14:textId="3690CE1B" w:rsidR="001C148F" w:rsidRDefault="001C148F">
      <w:pPr>
        <w:pStyle w:val="FootnoteText"/>
      </w:pPr>
      <w:r>
        <w:rPr>
          <w:rStyle w:val="FootnoteReference"/>
        </w:rPr>
        <w:footnoteRef/>
      </w:r>
      <w:r>
        <w:t xml:space="preserve"> New Zealand Gazette 4 July 2013, No. </w:t>
      </w:r>
      <w:r w:rsidR="00DD7651">
        <w:t>85</w:t>
      </w:r>
      <w:r>
        <w:t xml:space="preserve">, page 2300. </w:t>
      </w:r>
    </w:p>
  </w:footnote>
  <w:footnote w:id="4">
    <w:p w14:paraId="08550EEC" w14:textId="6C3FAA69" w:rsidR="00467DA1" w:rsidRDefault="00467DA1">
      <w:pPr>
        <w:pStyle w:val="FootnoteText"/>
      </w:pPr>
      <w:r>
        <w:rPr>
          <w:rStyle w:val="FootnoteReference"/>
        </w:rPr>
        <w:footnoteRef/>
      </w:r>
      <w:r>
        <w:t xml:space="preserve"> New Zealand Gazette 10 July 2014, No. </w:t>
      </w:r>
      <w:r w:rsidR="00DD7651">
        <w:t>73</w:t>
      </w:r>
      <w:r>
        <w:t xml:space="preserve">, page 2061. </w:t>
      </w:r>
    </w:p>
  </w:footnote>
  <w:footnote w:id="5">
    <w:p w14:paraId="1EDA1F6B" w14:textId="0CFF4D5C" w:rsidR="00750837" w:rsidRDefault="00750837" w:rsidP="00750837">
      <w:pPr>
        <w:pStyle w:val="FootnoteText"/>
      </w:pPr>
      <w:r w:rsidRPr="003B6489">
        <w:rPr>
          <w:rStyle w:val="FootnoteReference"/>
        </w:rPr>
        <w:footnoteRef/>
      </w:r>
      <w:r w:rsidRPr="003B6489">
        <w:t xml:space="preserve"> New Zealand Gazette 16 December 1999, No. 193, page 4</w:t>
      </w:r>
      <w:r w:rsidR="00591391" w:rsidRPr="003B6489">
        <w:t>600</w:t>
      </w:r>
      <w:r w:rsidRPr="003B6489">
        <w:t>.</w:t>
      </w:r>
    </w:p>
  </w:footnote>
  <w:footnote w:id="6">
    <w:p w14:paraId="156BB2AA" w14:textId="72D19F69" w:rsidR="002D5EA8" w:rsidRDefault="002D5E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61F7A">
        <w:t xml:space="preserve">New Zealand Gazette 29 January 1998, No. </w:t>
      </w:r>
      <w:r w:rsidR="00D428D8">
        <w:t>14</w:t>
      </w:r>
      <w:r w:rsidR="00F61F7A">
        <w:t xml:space="preserve">, page 349. </w:t>
      </w:r>
    </w:p>
  </w:footnote>
  <w:footnote w:id="7">
    <w:p w14:paraId="2A90A62F" w14:textId="73DBECEC" w:rsidR="00053BA2" w:rsidRDefault="00053BA2">
      <w:pPr>
        <w:pStyle w:val="FootnoteText"/>
      </w:pPr>
      <w:r>
        <w:rPr>
          <w:rStyle w:val="FootnoteReference"/>
        </w:rPr>
        <w:footnoteRef/>
      </w:r>
      <w:r>
        <w:t xml:space="preserve"> New Zealand Gazette 2</w:t>
      </w:r>
      <w:r w:rsidR="00862310">
        <w:t>6</w:t>
      </w:r>
      <w:r>
        <w:t xml:space="preserve"> July 2024, No. </w:t>
      </w:r>
      <w:r w:rsidR="00D428D8">
        <w:t>2024-sl</w:t>
      </w:r>
      <w:r>
        <w:t xml:space="preserve">3594. </w:t>
      </w:r>
    </w:p>
  </w:footnote>
  <w:footnote w:id="8">
    <w:p w14:paraId="4D009984" w14:textId="75EA392E" w:rsidR="00714291" w:rsidRDefault="007142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57E9C">
        <w:t>New Zealand Gazette</w:t>
      </w:r>
      <w:r w:rsidR="00027211">
        <w:t xml:space="preserve"> </w:t>
      </w:r>
      <w:r w:rsidR="003D71E3">
        <w:t>13 March 2014</w:t>
      </w:r>
      <w:r w:rsidR="006C5010">
        <w:t>, No</w:t>
      </w:r>
      <w:r w:rsidR="00556EC6">
        <w:t>. 29, page</w:t>
      </w:r>
      <w:r w:rsidR="00CE5894">
        <w:t xml:space="preserve"> 837.</w:t>
      </w:r>
    </w:p>
  </w:footnote>
  <w:footnote w:id="9">
    <w:p w14:paraId="373C2E0D" w14:textId="77777777" w:rsidR="00304C48" w:rsidRDefault="00304C48">
      <w:pPr>
        <w:pStyle w:val="FootnoteText"/>
      </w:pPr>
      <w:r>
        <w:rPr>
          <w:rStyle w:val="FootnoteReference"/>
        </w:rPr>
        <w:footnoteRef/>
      </w:r>
      <w:r>
        <w:t xml:space="preserve"> New Zealand Gazette 15 December 2005, No. 207, page 5275.</w:t>
      </w:r>
    </w:p>
  </w:footnote>
  <w:footnote w:id="10">
    <w:p w14:paraId="6FB0FE8F" w14:textId="76D16049" w:rsidR="002F204E" w:rsidRDefault="002F204E">
      <w:pPr>
        <w:pStyle w:val="FootnoteText"/>
      </w:pPr>
      <w:r>
        <w:rPr>
          <w:rStyle w:val="FootnoteReference"/>
        </w:rPr>
        <w:footnoteRef/>
      </w:r>
      <w:r>
        <w:t xml:space="preserve"> New Zealand Gazette 11 February 2021, No. </w:t>
      </w:r>
      <w:r w:rsidR="005A38B2">
        <w:t>2021-go</w:t>
      </w:r>
      <w:r>
        <w:t xml:space="preserve">475. </w:t>
      </w:r>
    </w:p>
  </w:footnote>
  <w:footnote w:id="11">
    <w:p w14:paraId="696C7E5A" w14:textId="35A1B970" w:rsidR="00FB2E9C" w:rsidRDefault="00FB2E9C">
      <w:pPr>
        <w:pStyle w:val="FootnoteText"/>
      </w:pPr>
      <w:r>
        <w:rPr>
          <w:rStyle w:val="FootnoteReference"/>
        </w:rPr>
        <w:footnoteRef/>
      </w:r>
      <w:r>
        <w:t xml:space="preserve"> New Zealand Gazette, 16 August 2012, No. 98, page 2739.</w:t>
      </w:r>
    </w:p>
  </w:footnote>
  <w:footnote w:id="12">
    <w:p w14:paraId="0A562031" w14:textId="77777777" w:rsidR="007B175B" w:rsidRDefault="007B175B" w:rsidP="007B175B">
      <w:pPr>
        <w:pStyle w:val="FootnoteText"/>
      </w:pPr>
      <w:r>
        <w:rPr>
          <w:rStyle w:val="FootnoteReference"/>
        </w:rPr>
        <w:footnoteRef/>
      </w:r>
      <w:r>
        <w:t xml:space="preserve"> New Zealand Gazette 13 May 2004, No. 52, page 1290.</w:t>
      </w:r>
    </w:p>
  </w:footnote>
  <w:footnote w:id="13">
    <w:p w14:paraId="1ABF8556" w14:textId="39E749EA" w:rsidR="00304C48" w:rsidRDefault="00304C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6589">
        <w:t xml:space="preserve">New Zealand Gazette 17 December 1998, </w:t>
      </w:r>
      <w:r w:rsidR="00C8398C" w:rsidRPr="00386589">
        <w:t xml:space="preserve">No. </w:t>
      </w:r>
      <w:r w:rsidR="00074EC3" w:rsidRPr="00386589">
        <w:t>200</w:t>
      </w:r>
      <w:r w:rsidR="00C8398C" w:rsidRPr="00386589">
        <w:t xml:space="preserve">, </w:t>
      </w:r>
      <w:r w:rsidRPr="00386589">
        <w:t>page 4769.</w:t>
      </w:r>
    </w:p>
  </w:footnote>
  <w:footnote w:id="14">
    <w:p w14:paraId="04A912F8" w14:textId="20DE986E" w:rsidR="007B175B" w:rsidRDefault="007B17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559A">
        <w:t>New Zealand Gazette 25 February 1999, No</w:t>
      </w:r>
      <w:r w:rsidR="0038537A" w:rsidRPr="00B9559A">
        <w:t>.</w:t>
      </w:r>
      <w:r w:rsidRPr="00B9559A">
        <w:t xml:space="preserve"> </w:t>
      </w:r>
      <w:r w:rsidR="00074EC3" w:rsidRPr="00B9559A">
        <w:t>2</w:t>
      </w:r>
      <w:r w:rsidRPr="00B9559A">
        <w:t>3, page 567.</w:t>
      </w:r>
      <w:r>
        <w:t xml:space="preserve"> </w:t>
      </w:r>
    </w:p>
  </w:footnote>
  <w:footnote w:id="15">
    <w:p w14:paraId="406AFB33" w14:textId="77777777" w:rsidR="00304C48" w:rsidRDefault="00304C48">
      <w:pPr>
        <w:pStyle w:val="FootnoteText"/>
      </w:pPr>
      <w:r>
        <w:rPr>
          <w:rStyle w:val="FootnoteReference"/>
        </w:rPr>
        <w:footnoteRef/>
      </w:r>
      <w:r>
        <w:t xml:space="preserve"> New Zealand Gazette 11 July 2002, No.78, page 2079.</w:t>
      </w:r>
    </w:p>
  </w:footnote>
  <w:footnote w:id="16">
    <w:p w14:paraId="2C0A4C49" w14:textId="069FECA1" w:rsidR="00F768ED" w:rsidRPr="00021A74" w:rsidRDefault="00F768ED" w:rsidP="00F768ED">
      <w:pPr>
        <w:pStyle w:val="FootnoteText"/>
      </w:pPr>
      <w:r w:rsidRPr="00591E56">
        <w:rPr>
          <w:rStyle w:val="FootnoteReference"/>
        </w:rPr>
        <w:footnoteRef/>
      </w:r>
      <w:r w:rsidRPr="00591E56">
        <w:t xml:space="preserve"> </w:t>
      </w:r>
      <w:r w:rsidRPr="00D57E3A">
        <w:t xml:space="preserve">New Zealand Gazette 28 January 1999, No. </w:t>
      </w:r>
      <w:r w:rsidR="004D3D1A" w:rsidRPr="00D57E3A">
        <w:t>8</w:t>
      </w:r>
      <w:r w:rsidRPr="00D57E3A">
        <w:t>, page 202.</w:t>
      </w:r>
    </w:p>
  </w:footnote>
  <w:footnote w:id="17">
    <w:p w14:paraId="067F8009" w14:textId="047013CB" w:rsidR="00D86B71" w:rsidRDefault="00D86B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02D63" w:rsidRPr="003F4EE5">
        <w:t>New Zealand Gazette 16 November 2000, No. 154, page 3995.</w:t>
      </w:r>
    </w:p>
  </w:footnote>
  <w:footnote w:id="18">
    <w:p w14:paraId="5D293521" w14:textId="0848B83F" w:rsidR="00AF0A12" w:rsidRDefault="00AF0A12">
      <w:pPr>
        <w:pStyle w:val="FootnoteText"/>
      </w:pPr>
      <w:r w:rsidRPr="00591E56">
        <w:rPr>
          <w:rStyle w:val="FootnoteReference"/>
        </w:rPr>
        <w:footnoteRef/>
      </w:r>
      <w:r w:rsidRPr="00591E56">
        <w:t xml:space="preserve"> </w:t>
      </w:r>
      <w:r w:rsidR="0038537A" w:rsidRPr="00A13C7C">
        <w:t>New Zealand Gazette 2</w:t>
      </w:r>
      <w:r w:rsidR="00DE7636" w:rsidRPr="00A13C7C">
        <w:t>6</w:t>
      </w:r>
      <w:r w:rsidR="0038537A" w:rsidRPr="00A13C7C">
        <w:t xml:space="preserve"> May 2021, No.</w:t>
      </w:r>
      <w:r w:rsidR="002B26E1" w:rsidRPr="00A13C7C">
        <w:t xml:space="preserve"> </w:t>
      </w:r>
      <w:r w:rsidR="00DE7636" w:rsidRPr="00A13C7C">
        <w:t>2021-go</w:t>
      </w:r>
      <w:r w:rsidR="002B26E1" w:rsidRPr="00A13C7C">
        <w:t>2032</w:t>
      </w:r>
      <w:r w:rsidR="002B26E1">
        <w:t>.</w:t>
      </w:r>
      <w:r w:rsidR="0038537A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9A93" w14:textId="77777777" w:rsidR="001A74EB" w:rsidRDefault="001A7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4754" w14:textId="4ED1B471" w:rsidR="003959B0" w:rsidRDefault="003959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20B1" w14:textId="6452CEFD" w:rsidR="003959B0" w:rsidRDefault="00395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BA0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E0FD0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8D00F0"/>
    <w:multiLevelType w:val="hybridMultilevel"/>
    <w:tmpl w:val="FD14923A"/>
    <w:lvl w:ilvl="0" w:tplc="3D9A9072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3683D"/>
    <w:multiLevelType w:val="hybridMultilevel"/>
    <w:tmpl w:val="3906E582"/>
    <w:lvl w:ilvl="0" w:tplc="1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6689"/>
    <w:multiLevelType w:val="singleLevel"/>
    <w:tmpl w:val="D4FC72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A001B7"/>
    <w:multiLevelType w:val="hybridMultilevel"/>
    <w:tmpl w:val="FD86A2E6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EF71A9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17342ED"/>
    <w:multiLevelType w:val="hybridMultilevel"/>
    <w:tmpl w:val="87FE974A"/>
    <w:lvl w:ilvl="0" w:tplc="1F3226F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11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937B7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9911">
    <w:abstractNumId w:val="8"/>
  </w:num>
  <w:num w:numId="2" w16cid:durableId="10642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1422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8641038">
    <w:abstractNumId w:val="5"/>
  </w:num>
  <w:num w:numId="5" w16cid:durableId="81991909">
    <w:abstractNumId w:val="1"/>
  </w:num>
  <w:num w:numId="6" w16cid:durableId="1401749626">
    <w:abstractNumId w:val="0"/>
  </w:num>
  <w:num w:numId="7" w16cid:durableId="1753698490">
    <w:abstractNumId w:val="11"/>
  </w:num>
  <w:num w:numId="8" w16cid:durableId="106702438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111799">
    <w:abstractNumId w:val="1"/>
  </w:num>
  <w:num w:numId="10" w16cid:durableId="516504452">
    <w:abstractNumId w:val="2"/>
  </w:num>
  <w:num w:numId="11" w16cid:durableId="1049382607">
    <w:abstractNumId w:val="4"/>
  </w:num>
  <w:num w:numId="12" w16cid:durableId="2050297542">
    <w:abstractNumId w:val="6"/>
  </w:num>
  <w:num w:numId="13" w16cid:durableId="119300605">
    <w:abstractNumId w:val="9"/>
  </w:num>
  <w:num w:numId="14" w16cid:durableId="735863781">
    <w:abstractNumId w:val="12"/>
  </w:num>
  <w:num w:numId="15" w16cid:durableId="1323772572">
    <w:abstractNumId w:val="7"/>
  </w:num>
  <w:num w:numId="16" w16cid:durableId="1607342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2F"/>
    <w:rsid w:val="00000B0F"/>
    <w:rsid w:val="00002A14"/>
    <w:rsid w:val="000077BC"/>
    <w:rsid w:val="0001099A"/>
    <w:rsid w:val="00015615"/>
    <w:rsid w:val="00020C9A"/>
    <w:rsid w:val="00021A74"/>
    <w:rsid w:val="00027211"/>
    <w:rsid w:val="0003021B"/>
    <w:rsid w:val="00042232"/>
    <w:rsid w:val="000426A0"/>
    <w:rsid w:val="0004594A"/>
    <w:rsid w:val="000473C6"/>
    <w:rsid w:val="00053BA2"/>
    <w:rsid w:val="00063B18"/>
    <w:rsid w:val="000669FC"/>
    <w:rsid w:val="00074EC3"/>
    <w:rsid w:val="000855EA"/>
    <w:rsid w:val="00091080"/>
    <w:rsid w:val="00093863"/>
    <w:rsid w:val="00097676"/>
    <w:rsid w:val="000A119D"/>
    <w:rsid w:val="000A5944"/>
    <w:rsid w:val="000B59F2"/>
    <w:rsid w:val="000B706D"/>
    <w:rsid w:val="000C09E3"/>
    <w:rsid w:val="000D0589"/>
    <w:rsid w:val="000D53D3"/>
    <w:rsid w:val="000D60E6"/>
    <w:rsid w:val="000D6D14"/>
    <w:rsid w:val="000E24DA"/>
    <w:rsid w:val="000E3069"/>
    <w:rsid w:val="000E317D"/>
    <w:rsid w:val="000F06AB"/>
    <w:rsid w:val="000F321A"/>
    <w:rsid w:val="000F3623"/>
    <w:rsid w:val="000F671B"/>
    <w:rsid w:val="000F6D40"/>
    <w:rsid w:val="001018FF"/>
    <w:rsid w:val="0010295A"/>
    <w:rsid w:val="00110842"/>
    <w:rsid w:val="0011084F"/>
    <w:rsid w:val="00115710"/>
    <w:rsid w:val="001171EA"/>
    <w:rsid w:val="00117987"/>
    <w:rsid w:val="00121749"/>
    <w:rsid w:val="00125C28"/>
    <w:rsid w:val="00126378"/>
    <w:rsid w:val="00143C66"/>
    <w:rsid w:val="00144A7B"/>
    <w:rsid w:val="001459CA"/>
    <w:rsid w:val="00146069"/>
    <w:rsid w:val="00155253"/>
    <w:rsid w:val="00155CF2"/>
    <w:rsid w:val="00164046"/>
    <w:rsid w:val="00170319"/>
    <w:rsid w:val="00170CD9"/>
    <w:rsid w:val="001740BE"/>
    <w:rsid w:val="00177F75"/>
    <w:rsid w:val="001828A6"/>
    <w:rsid w:val="00183B50"/>
    <w:rsid w:val="0018444C"/>
    <w:rsid w:val="00191B20"/>
    <w:rsid w:val="001A3B4F"/>
    <w:rsid w:val="001A6AE0"/>
    <w:rsid w:val="001A74EB"/>
    <w:rsid w:val="001B0493"/>
    <w:rsid w:val="001B5670"/>
    <w:rsid w:val="001C148F"/>
    <w:rsid w:val="001C1F83"/>
    <w:rsid w:val="001C5E54"/>
    <w:rsid w:val="001D0EFF"/>
    <w:rsid w:val="001D115B"/>
    <w:rsid w:val="001D3381"/>
    <w:rsid w:val="001D35C1"/>
    <w:rsid w:val="001D38BD"/>
    <w:rsid w:val="001E34E3"/>
    <w:rsid w:val="001E7610"/>
    <w:rsid w:val="001F099B"/>
    <w:rsid w:val="00203008"/>
    <w:rsid w:val="00205700"/>
    <w:rsid w:val="0020599A"/>
    <w:rsid w:val="002078AF"/>
    <w:rsid w:val="002129C3"/>
    <w:rsid w:val="00217C2A"/>
    <w:rsid w:val="00222F2A"/>
    <w:rsid w:val="00224F14"/>
    <w:rsid w:val="00233C02"/>
    <w:rsid w:val="0024090C"/>
    <w:rsid w:val="00242C57"/>
    <w:rsid w:val="00256D11"/>
    <w:rsid w:val="0025706D"/>
    <w:rsid w:val="00263E54"/>
    <w:rsid w:val="00270DDF"/>
    <w:rsid w:val="00270EA9"/>
    <w:rsid w:val="0027126B"/>
    <w:rsid w:val="00271FD5"/>
    <w:rsid w:val="00276417"/>
    <w:rsid w:val="00283C86"/>
    <w:rsid w:val="00284714"/>
    <w:rsid w:val="00284F7F"/>
    <w:rsid w:val="00290974"/>
    <w:rsid w:val="002917AB"/>
    <w:rsid w:val="002940B4"/>
    <w:rsid w:val="002A04D4"/>
    <w:rsid w:val="002A280F"/>
    <w:rsid w:val="002A3BC3"/>
    <w:rsid w:val="002A45E3"/>
    <w:rsid w:val="002B232F"/>
    <w:rsid w:val="002B26E1"/>
    <w:rsid w:val="002B68D4"/>
    <w:rsid w:val="002B6FCC"/>
    <w:rsid w:val="002C7250"/>
    <w:rsid w:val="002D0123"/>
    <w:rsid w:val="002D03D7"/>
    <w:rsid w:val="002D18EC"/>
    <w:rsid w:val="002D2322"/>
    <w:rsid w:val="002D5EA8"/>
    <w:rsid w:val="002D5FC9"/>
    <w:rsid w:val="002E034C"/>
    <w:rsid w:val="002E3605"/>
    <w:rsid w:val="002E55B8"/>
    <w:rsid w:val="002F204E"/>
    <w:rsid w:val="002F705F"/>
    <w:rsid w:val="00300933"/>
    <w:rsid w:val="00304C48"/>
    <w:rsid w:val="00310CB1"/>
    <w:rsid w:val="0031167B"/>
    <w:rsid w:val="00314744"/>
    <w:rsid w:val="00314849"/>
    <w:rsid w:val="00314B58"/>
    <w:rsid w:val="0032364F"/>
    <w:rsid w:val="00324306"/>
    <w:rsid w:val="003264D5"/>
    <w:rsid w:val="003472B7"/>
    <w:rsid w:val="0035133C"/>
    <w:rsid w:val="00351558"/>
    <w:rsid w:val="00352993"/>
    <w:rsid w:val="003537C8"/>
    <w:rsid w:val="003542E1"/>
    <w:rsid w:val="00355190"/>
    <w:rsid w:val="003630F2"/>
    <w:rsid w:val="00364549"/>
    <w:rsid w:val="003668D9"/>
    <w:rsid w:val="00371EB4"/>
    <w:rsid w:val="0037701D"/>
    <w:rsid w:val="00380C97"/>
    <w:rsid w:val="003852E9"/>
    <w:rsid w:val="0038537A"/>
    <w:rsid w:val="00386589"/>
    <w:rsid w:val="00391328"/>
    <w:rsid w:val="0039468B"/>
    <w:rsid w:val="003959B0"/>
    <w:rsid w:val="003973BC"/>
    <w:rsid w:val="003A2C15"/>
    <w:rsid w:val="003A31E3"/>
    <w:rsid w:val="003A4B2F"/>
    <w:rsid w:val="003A627F"/>
    <w:rsid w:val="003A67A5"/>
    <w:rsid w:val="003B3192"/>
    <w:rsid w:val="003B6489"/>
    <w:rsid w:val="003C070F"/>
    <w:rsid w:val="003C64F7"/>
    <w:rsid w:val="003C73DD"/>
    <w:rsid w:val="003D00D5"/>
    <w:rsid w:val="003D71E3"/>
    <w:rsid w:val="003D7975"/>
    <w:rsid w:val="003E178B"/>
    <w:rsid w:val="003E71A2"/>
    <w:rsid w:val="003F4EE5"/>
    <w:rsid w:val="003F4F31"/>
    <w:rsid w:val="00403279"/>
    <w:rsid w:val="00407F81"/>
    <w:rsid w:val="00414490"/>
    <w:rsid w:val="00426083"/>
    <w:rsid w:val="0043465A"/>
    <w:rsid w:val="00434D46"/>
    <w:rsid w:val="004377C8"/>
    <w:rsid w:val="00437B3E"/>
    <w:rsid w:val="004417BE"/>
    <w:rsid w:val="00453DC4"/>
    <w:rsid w:val="00467DA1"/>
    <w:rsid w:val="004737CF"/>
    <w:rsid w:val="00477BD2"/>
    <w:rsid w:val="004819D2"/>
    <w:rsid w:val="004A29D6"/>
    <w:rsid w:val="004A2F6F"/>
    <w:rsid w:val="004B0186"/>
    <w:rsid w:val="004B211F"/>
    <w:rsid w:val="004B3E9B"/>
    <w:rsid w:val="004B42AA"/>
    <w:rsid w:val="004B44CD"/>
    <w:rsid w:val="004B56C5"/>
    <w:rsid w:val="004C16AB"/>
    <w:rsid w:val="004C5EF6"/>
    <w:rsid w:val="004C73B0"/>
    <w:rsid w:val="004C79B6"/>
    <w:rsid w:val="004C7BFA"/>
    <w:rsid w:val="004D0E66"/>
    <w:rsid w:val="004D3D1A"/>
    <w:rsid w:val="004D6052"/>
    <w:rsid w:val="004D69BF"/>
    <w:rsid w:val="004D784E"/>
    <w:rsid w:val="004D7E09"/>
    <w:rsid w:val="004E422D"/>
    <w:rsid w:val="004E43F9"/>
    <w:rsid w:val="004E52CA"/>
    <w:rsid w:val="004F0813"/>
    <w:rsid w:val="004F14AE"/>
    <w:rsid w:val="004F5367"/>
    <w:rsid w:val="005015C4"/>
    <w:rsid w:val="00505EC7"/>
    <w:rsid w:val="005076D1"/>
    <w:rsid w:val="00510B2B"/>
    <w:rsid w:val="00513AAD"/>
    <w:rsid w:val="005140F2"/>
    <w:rsid w:val="0051461A"/>
    <w:rsid w:val="005179C0"/>
    <w:rsid w:val="005215EC"/>
    <w:rsid w:val="00530179"/>
    <w:rsid w:val="00551C52"/>
    <w:rsid w:val="00552989"/>
    <w:rsid w:val="00552F2A"/>
    <w:rsid w:val="00556EC6"/>
    <w:rsid w:val="0056004B"/>
    <w:rsid w:val="00565F17"/>
    <w:rsid w:val="00566213"/>
    <w:rsid w:val="00567EB3"/>
    <w:rsid w:val="0057380A"/>
    <w:rsid w:val="00574B63"/>
    <w:rsid w:val="00576F12"/>
    <w:rsid w:val="00581404"/>
    <w:rsid w:val="0058421B"/>
    <w:rsid w:val="00591391"/>
    <w:rsid w:val="00591E56"/>
    <w:rsid w:val="00594048"/>
    <w:rsid w:val="0059440C"/>
    <w:rsid w:val="005965C4"/>
    <w:rsid w:val="005A1E63"/>
    <w:rsid w:val="005A34E7"/>
    <w:rsid w:val="005A38B2"/>
    <w:rsid w:val="005A55D8"/>
    <w:rsid w:val="005B1AF8"/>
    <w:rsid w:val="005B4FF5"/>
    <w:rsid w:val="005B629E"/>
    <w:rsid w:val="005C1EE4"/>
    <w:rsid w:val="005C7156"/>
    <w:rsid w:val="005D103F"/>
    <w:rsid w:val="005D2BAF"/>
    <w:rsid w:val="005E26B0"/>
    <w:rsid w:val="005E632F"/>
    <w:rsid w:val="005E659D"/>
    <w:rsid w:val="0060326E"/>
    <w:rsid w:val="006049A0"/>
    <w:rsid w:val="00604D4B"/>
    <w:rsid w:val="00620A9C"/>
    <w:rsid w:val="006431AF"/>
    <w:rsid w:val="00644CAF"/>
    <w:rsid w:val="00645D7F"/>
    <w:rsid w:val="00653146"/>
    <w:rsid w:val="006545E7"/>
    <w:rsid w:val="006734BA"/>
    <w:rsid w:val="00675370"/>
    <w:rsid w:val="006801C4"/>
    <w:rsid w:val="00685BAC"/>
    <w:rsid w:val="0069627B"/>
    <w:rsid w:val="006A7E39"/>
    <w:rsid w:val="006B1550"/>
    <w:rsid w:val="006B494A"/>
    <w:rsid w:val="006C5010"/>
    <w:rsid w:val="006C66EF"/>
    <w:rsid w:val="006D2246"/>
    <w:rsid w:val="006D345B"/>
    <w:rsid w:val="006D63AA"/>
    <w:rsid w:val="006E2AB8"/>
    <w:rsid w:val="006F6D16"/>
    <w:rsid w:val="0070398F"/>
    <w:rsid w:val="00703CC7"/>
    <w:rsid w:val="0070475E"/>
    <w:rsid w:val="00710C9F"/>
    <w:rsid w:val="00713ACB"/>
    <w:rsid w:val="00713C1D"/>
    <w:rsid w:val="00714291"/>
    <w:rsid w:val="00724694"/>
    <w:rsid w:val="007249C5"/>
    <w:rsid w:val="0072505F"/>
    <w:rsid w:val="00730D4D"/>
    <w:rsid w:val="00731551"/>
    <w:rsid w:val="00736C4B"/>
    <w:rsid w:val="00742E52"/>
    <w:rsid w:val="0074644E"/>
    <w:rsid w:val="00746783"/>
    <w:rsid w:val="00750837"/>
    <w:rsid w:val="007535EC"/>
    <w:rsid w:val="007537CC"/>
    <w:rsid w:val="00762270"/>
    <w:rsid w:val="007637B1"/>
    <w:rsid w:val="00764843"/>
    <w:rsid w:val="0076663B"/>
    <w:rsid w:val="0077425F"/>
    <w:rsid w:val="00784602"/>
    <w:rsid w:val="00785C08"/>
    <w:rsid w:val="00790015"/>
    <w:rsid w:val="00791B96"/>
    <w:rsid w:val="00796487"/>
    <w:rsid w:val="007B1208"/>
    <w:rsid w:val="007B175B"/>
    <w:rsid w:val="007B2E6C"/>
    <w:rsid w:val="007C03DF"/>
    <w:rsid w:val="007C3B39"/>
    <w:rsid w:val="007C423B"/>
    <w:rsid w:val="007D5988"/>
    <w:rsid w:val="007E2807"/>
    <w:rsid w:val="007E6222"/>
    <w:rsid w:val="007E7986"/>
    <w:rsid w:val="007F62DC"/>
    <w:rsid w:val="007F6F7E"/>
    <w:rsid w:val="007F796E"/>
    <w:rsid w:val="00802F21"/>
    <w:rsid w:val="00803E41"/>
    <w:rsid w:val="00804DB5"/>
    <w:rsid w:val="008055A2"/>
    <w:rsid w:val="00805E3F"/>
    <w:rsid w:val="00807414"/>
    <w:rsid w:val="00813682"/>
    <w:rsid w:val="008163C5"/>
    <w:rsid w:val="008261B8"/>
    <w:rsid w:val="00844F53"/>
    <w:rsid w:val="0084582C"/>
    <w:rsid w:val="00852B67"/>
    <w:rsid w:val="00854ABD"/>
    <w:rsid w:val="00860E09"/>
    <w:rsid w:val="00862310"/>
    <w:rsid w:val="00862852"/>
    <w:rsid w:val="00865741"/>
    <w:rsid w:val="00865AD9"/>
    <w:rsid w:val="00871468"/>
    <w:rsid w:val="00872BD0"/>
    <w:rsid w:val="008752D8"/>
    <w:rsid w:val="00876241"/>
    <w:rsid w:val="008802E2"/>
    <w:rsid w:val="0088152B"/>
    <w:rsid w:val="00881FF8"/>
    <w:rsid w:val="00883855"/>
    <w:rsid w:val="00883B12"/>
    <w:rsid w:val="0088416F"/>
    <w:rsid w:val="00887F7F"/>
    <w:rsid w:val="008A1DF4"/>
    <w:rsid w:val="008A5B8A"/>
    <w:rsid w:val="008B2145"/>
    <w:rsid w:val="008B796F"/>
    <w:rsid w:val="008C33B4"/>
    <w:rsid w:val="008E4ABB"/>
    <w:rsid w:val="008E6011"/>
    <w:rsid w:val="008E7168"/>
    <w:rsid w:val="008F04B0"/>
    <w:rsid w:val="008F2E8E"/>
    <w:rsid w:val="008F4832"/>
    <w:rsid w:val="008F7D62"/>
    <w:rsid w:val="00911007"/>
    <w:rsid w:val="0091237E"/>
    <w:rsid w:val="0091788F"/>
    <w:rsid w:val="00924131"/>
    <w:rsid w:val="00925E11"/>
    <w:rsid w:val="00927E0A"/>
    <w:rsid w:val="00936D6B"/>
    <w:rsid w:val="009441C3"/>
    <w:rsid w:val="0094452C"/>
    <w:rsid w:val="00944EB5"/>
    <w:rsid w:val="00953D37"/>
    <w:rsid w:val="00961FC3"/>
    <w:rsid w:val="00967201"/>
    <w:rsid w:val="009756A7"/>
    <w:rsid w:val="00987AAE"/>
    <w:rsid w:val="009909F4"/>
    <w:rsid w:val="00997A6C"/>
    <w:rsid w:val="009A44E9"/>
    <w:rsid w:val="009A573B"/>
    <w:rsid w:val="009B3FCB"/>
    <w:rsid w:val="009C2127"/>
    <w:rsid w:val="009C4D5A"/>
    <w:rsid w:val="009D4904"/>
    <w:rsid w:val="009D5392"/>
    <w:rsid w:val="009E20E7"/>
    <w:rsid w:val="009E49F5"/>
    <w:rsid w:val="009E7A20"/>
    <w:rsid w:val="009F5854"/>
    <w:rsid w:val="00A0003A"/>
    <w:rsid w:val="00A06B87"/>
    <w:rsid w:val="00A13C7C"/>
    <w:rsid w:val="00A13F71"/>
    <w:rsid w:val="00A15EB6"/>
    <w:rsid w:val="00A16098"/>
    <w:rsid w:val="00A23022"/>
    <w:rsid w:val="00A268EA"/>
    <w:rsid w:val="00A273DD"/>
    <w:rsid w:val="00A36585"/>
    <w:rsid w:val="00A561D4"/>
    <w:rsid w:val="00A56E5B"/>
    <w:rsid w:val="00A57291"/>
    <w:rsid w:val="00A63545"/>
    <w:rsid w:val="00A63B81"/>
    <w:rsid w:val="00A65625"/>
    <w:rsid w:val="00A65E66"/>
    <w:rsid w:val="00A73101"/>
    <w:rsid w:val="00A7358A"/>
    <w:rsid w:val="00A74A10"/>
    <w:rsid w:val="00A966BB"/>
    <w:rsid w:val="00AA17A1"/>
    <w:rsid w:val="00AB0171"/>
    <w:rsid w:val="00AB3110"/>
    <w:rsid w:val="00AB6056"/>
    <w:rsid w:val="00AC6B23"/>
    <w:rsid w:val="00AD071B"/>
    <w:rsid w:val="00AD7352"/>
    <w:rsid w:val="00AD7BE4"/>
    <w:rsid w:val="00AE4176"/>
    <w:rsid w:val="00AE6AD1"/>
    <w:rsid w:val="00AF03C2"/>
    <w:rsid w:val="00AF0A12"/>
    <w:rsid w:val="00B02FB0"/>
    <w:rsid w:val="00B05CAE"/>
    <w:rsid w:val="00B10709"/>
    <w:rsid w:val="00B12E67"/>
    <w:rsid w:val="00B1391A"/>
    <w:rsid w:val="00B230F4"/>
    <w:rsid w:val="00B23612"/>
    <w:rsid w:val="00B25199"/>
    <w:rsid w:val="00B31900"/>
    <w:rsid w:val="00B321FA"/>
    <w:rsid w:val="00B333B7"/>
    <w:rsid w:val="00B33838"/>
    <w:rsid w:val="00B34565"/>
    <w:rsid w:val="00B40295"/>
    <w:rsid w:val="00B56E40"/>
    <w:rsid w:val="00B5726F"/>
    <w:rsid w:val="00B62B18"/>
    <w:rsid w:val="00B710F2"/>
    <w:rsid w:val="00B725A9"/>
    <w:rsid w:val="00B802BB"/>
    <w:rsid w:val="00B83A83"/>
    <w:rsid w:val="00B8716D"/>
    <w:rsid w:val="00B87310"/>
    <w:rsid w:val="00B9559A"/>
    <w:rsid w:val="00B9784B"/>
    <w:rsid w:val="00B97888"/>
    <w:rsid w:val="00BA3E7C"/>
    <w:rsid w:val="00BA6621"/>
    <w:rsid w:val="00BA6B96"/>
    <w:rsid w:val="00BB23E4"/>
    <w:rsid w:val="00BB24E6"/>
    <w:rsid w:val="00BC3C10"/>
    <w:rsid w:val="00BD1D9A"/>
    <w:rsid w:val="00BD1E8C"/>
    <w:rsid w:val="00BD2CB3"/>
    <w:rsid w:val="00BD7727"/>
    <w:rsid w:val="00BE1262"/>
    <w:rsid w:val="00BE541D"/>
    <w:rsid w:val="00BF1904"/>
    <w:rsid w:val="00BF30FF"/>
    <w:rsid w:val="00BF6058"/>
    <w:rsid w:val="00C04281"/>
    <w:rsid w:val="00C252E9"/>
    <w:rsid w:val="00C27851"/>
    <w:rsid w:val="00C311BE"/>
    <w:rsid w:val="00C3121A"/>
    <w:rsid w:val="00C43008"/>
    <w:rsid w:val="00C457EC"/>
    <w:rsid w:val="00C46152"/>
    <w:rsid w:val="00C500F1"/>
    <w:rsid w:val="00C5692E"/>
    <w:rsid w:val="00C57535"/>
    <w:rsid w:val="00C57E9C"/>
    <w:rsid w:val="00C70ED3"/>
    <w:rsid w:val="00C71622"/>
    <w:rsid w:val="00C738C3"/>
    <w:rsid w:val="00C8171D"/>
    <w:rsid w:val="00C8398C"/>
    <w:rsid w:val="00C851FA"/>
    <w:rsid w:val="00C87404"/>
    <w:rsid w:val="00C9025A"/>
    <w:rsid w:val="00C94333"/>
    <w:rsid w:val="00C9539C"/>
    <w:rsid w:val="00CA04BF"/>
    <w:rsid w:val="00CA6951"/>
    <w:rsid w:val="00CB1701"/>
    <w:rsid w:val="00CB4B15"/>
    <w:rsid w:val="00CC1868"/>
    <w:rsid w:val="00CD2FA5"/>
    <w:rsid w:val="00CD7757"/>
    <w:rsid w:val="00CE1573"/>
    <w:rsid w:val="00CE295F"/>
    <w:rsid w:val="00CE5894"/>
    <w:rsid w:val="00CE61EA"/>
    <w:rsid w:val="00CE6C9E"/>
    <w:rsid w:val="00CF0C87"/>
    <w:rsid w:val="00CF2085"/>
    <w:rsid w:val="00CF41CE"/>
    <w:rsid w:val="00D02D63"/>
    <w:rsid w:val="00D133F2"/>
    <w:rsid w:val="00D14A2B"/>
    <w:rsid w:val="00D20853"/>
    <w:rsid w:val="00D21C4B"/>
    <w:rsid w:val="00D42157"/>
    <w:rsid w:val="00D428D8"/>
    <w:rsid w:val="00D46098"/>
    <w:rsid w:val="00D50848"/>
    <w:rsid w:val="00D52922"/>
    <w:rsid w:val="00D55F80"/>
    <w:rsid w:val="00D55FD3"/>
    <w:rsid w:val="00D56ECB"/>
    <w:rsid w:val="00D577C2"/>
    <w:rsid w:val="00D57E3A"/>
    <w:rsid w:val="00D60D98"/>
    <w:rsid w:val="00D61861"/>
    <w:rsid w:val="00D76F0D"/>
    <w:rsid w:val="00D80686"/>
    <w:rsid w:val="00D8523D"/>
    <w:rsid w:val="00D86B71"/>
    <w:rsid w:val="00D956DA"/>
    <w:rsid w:val="00DB68A3"/>
    <w:rsid w:val="00DB729D"/>
    <w:rsid w:val="00DB78B4"/>
    <w:rsid w:val="00DC6AE8"/>
    <w:rsid w:val="00DC77C8"/>
    <w:rsid w:val="00DD1C3A"/>
    <w:rsid w:val="00DD436F"/>
    <w:rsid w:val="00DD5ADD"/>
    <w:rsid w:val="00DD6A86"/>
    <w:rsid w:val="00DD755F"/>
    <w:rsid w:val="00DD7651"/>
    <w:rsid w:val="00DE4C84"/>
    <w:rsid w:val="00DE702E"/>
    <w:rsid w:val="00DE74BD"/>
    <w:rsid w:val="00DE7636"/>
    <w:rsid w:val="00DF1FD4"/>
    <w:rsid w:val="00DF32AB"/>
    <w:rsid w:val="00DF46DE"/>
    <w:rsid w:val="00DF4DA6"/>
    <w:rsid w:val="00DF501D"/>
    <w:rsid w:val="00DF619F"/>
    <w:rsid w:val="00E001E4"/>
    <w:rsid w:val="00E00CED"/>
    <w:rsid w:val="00E12A74"/>
    <w:rsid w:val="00E16A98"/>
    <w:rsid w:val="00E27B70"/>
    <w:rsid w:val="00E31B6E"/>
    <w:rsid w:val="00E33411"/>
    <w:rsid w:val="00E33D2E"/>
    <w:rsid w:val="00E35AC9"/>
    <w:rsid w:val="00E57367"/>
    <w:rsid w:val="00E6049F"/>
    <w:rsid w:val="00E60A40"/>
    <w:rsid w:val="00E650A8"/>
    <w:rsid w:val="00E82B04"/>
    <w:rsid w:val="00E847C5"/>
    <w:rsid w:val="00E85A3F"/>
    <w:rsid w:val="00E871D6"/>
    <w:rsid w:val="00E9096C"/>
    <w:rsid w:val="00EA1089"/>
    <w:rsid w:val="00ED628E"/>
    <w:rsid w:val="00EE013D"/>
    <w:rsid w:val="00EE77F3"/>
    <w:rsid w:val="00EF1788"/>
    <w:rsid w:val="00EF3C02"/>
    <w:rsid w:val="00EF5678"/>
    <w:rsid w:val="00EF7AB9"/>
    <w:rsid w:val="00F03CFF"/>
    <w:rsid w:val="00F10CB8"/>
    <w:rsid w:val="00F143F1"/>
    <w:rsid w:val="00F17CA0"/>
    <w:rsid w:val="00F21286"/>
    <w:rsid w:val="00F26AF0"/>
    <w:rsid w:val="00F31D06"/>
    <w:rsid w:val="00F4068C"/>
    <w:rsid w:val="00F4707A"/>
    <w:rsid w:val="00F53C26"/>
    <w:rsid w:val="00F53E37"/>
    <w:rsid w:val="00F540FA"/>
    <w:rsid w:val="00F61F7A"/>
    <w:rsid w:val="00F66F2C"/>
    <w:rsid w:val="00F67DFF"/>
    <w:rsid w:val="00F743ED"/>
    <w:rsid w:val="00F768ED"/>
    <w:rsid w:val="00F8297D"/>
    <w:rsid w:val="00F83FB5"/>
    <w:rsid w:val="00F855FD"/>
    <w:rsid w:val="00F91861"/>
    <w:rsid w:val="00FA023C"/>
    <w:rsid w:val="00FA12A1"/>
    <w:rsid w:val="00FA7DD7"/>
    <w:rsid w:val="00FB2E9C"/>
    <w:rsid w:val="00FB76A8"/>
    <w:rsid w:val="00FC1A1D"/>
    <w:rsid w:val="00FC4B3C"/>
    <w:rsid w:val="00FC4E5D"/>
    <w:rsid w:val="00FC5F32"/>
    <w:rsid w:val="00FE172F"/>
    <w:rsid w:val="00FE65D7"/>
    <w:rsid w:val="00FF0695"/>
    <w:rsid w:val="00FF29CE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32CA9"/>
  <w15:docId w15:val="{88B54BAF-7AF4-4880-9BC7-C3DD9616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Bullet" w:uiPriority="0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98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6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80" w:after="48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 Mäori" w:eastAsiaTheme="majorEastAsia" w:hAnsi="Arial Mäo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 Mäori" w:eastAsiaTheme="majorEastAsia" w:hAnsi="Arial Mäo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 Mäori" w:eastAsiaTheme="majorEastAsia" w:hAnsi="Arial Mäor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Theme="majorEastAsia" w:hAnsi="Arial" w:cstheme="majorBidi"/>
      <w:bCs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5">
    <w:name w:val="List 5"/>
    <w:basedOn w:val="Normal"/>
    <w:uiPriority w:val="99"/>
    <w:semiHidden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pPr>
      <w:numPr>
        <w:numId w:val="9"/>
      </w:numPr>
      <w:tabs>
        <w:tab w:val="clear" w:pos="360"/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cs="Arial"/>
    </w:rPr>
  </w:style>
  <w:style w:type="paragraph" w:customStyle="1" w:styleId="Bullet2">
    <w:name w:val="Bullet2"/>
    <w:pPr>
      <w:numPr>
        <w:numId w:val="10"/>
      </w:numPr>
      <w:tabs>
        <w:tab w:val="clear" w:pos="797"/>
        <w:tab w:val="left" w:pos="907"/>
      </w:tabs>
      <w:spacing w:before="120" w:after="0" w:line="240" w:lineRule="auto"/>
      <w:ind w:left="908" w:hanging="454"/>
    </w:pPr>
    <w:rPr>
      <w:rFonts w:ascii="Arial Mäori" w:eastAsia="Times New Roman" w:hAnsi="Arial Mäori" w:cs="Times New Roman"/>
      <w:szCs w:val="20"/>
    </w:rPr>
  </w:style>
  <w:style w:type="paragraph" w:styleId="TOC1">
    <w:name w:val="toc 1"/>
    <w:basedOn w:val="Normal"/>
    <w:next w:val="Normal"/>
    <w:uiPriority w:val="39"/>
    <w:pPr>
      <w:ind w:left="567" w:hanging="567"/>
      <w:jc w:val="both"/>
    </w:pPr>
    <w:rPr>
      <w:sz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before="40" w:after="40"/>
    </w:pPr>
    <w:rPr>
      <w:b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before="40" w:after="40"/>
    </w:pPr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</w:style>
  <w:style w:type="paragraph" w:styleId="ListBullet">
    <w:name w:val="List Bullet"/>
    <w:aliases w:val="List Bullet Char1,List Bullet Char Char"/>
    <w:basedOn w:val="Normal"/>
    <w:link w:val="ListBulletChar"/>
    <w:autoRedefine/>
    <w:pPr>
      <w:tabs>
        <w:tab w:val="num" w:pos="360"/>
      </w:tabs>
      <w:ind w:left="360" w:hanging="360"/>
    </w:pPr>
  </w:style>
  <w:style w:type="character" w:customStyle="1" w:styleId="ListBulletChar">
    <w:name w:val="List Bullet Char"/>
    <w:aliases w:val="List Bullet Char1 Char,List Bullet Char Char Char"/>
    <w:link w:val="ListBullet"/>
    <w:rPr>
      <w:rFonts w:ascii="Times New Roman" w:eastAsia="Times New Roman" w:hAnsi="Times New Roman" w:cs="Times New Roman"/>
      <w:sz w:val="23"/>
      <w:szCs w:val="20"/>
    </w:rPr>
  </w:style>
  <w:style w:type="paragraph" w:customStyle="1" w:styleId="StyleHeading1JustifiedAfter2pt">
    <w:name w:val="Style Heading 1 + Justified After:  2 pt"/>
    <w:basedOn w:val="Heading1"/>
    <w:pPr>
      <w:keepLines w:val="0"/>
      <w:tabs>
        <w:tab w:val="num" w:pos="567"/>
      </w:tabs>
      <w:spacing w:before="240" w:after="40"/>
      <w:ind w:left="567" w:hanging="567"/>
    </w:pPr>
    <w:rPr>
      <w:rFonts w:ascii="Times New Roman Bold" w:eastAsia="Times New Roman" w:hAnsi="Times New Roman Bold" w:cs="Times New Roman"/>
      <w:kern w:val="28"/>
      <w:sz w:val="23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3"/>
      <w:szCs w:val="20"/>
    </w:rPr>
  </w:style>
  <w:style w:type="character" w:customStyle="1" w:styleId="label">
    <w:name w:val="label"/>
    <w:basedOn w:val="DefaultParagraphFont"/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sz w:val="24"/>
      <w:szCs w:val="24"/>
      <w:lang w:eastAsia="en-NZ"/>
    </w:rPr>
  </w:style>
  <w:style w:type="character" w:customStyle="1" w:styleId="insertwords">
    <w:name w:val="insertwords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CharChar">
    <w:name w:val="Char Char"/>
    <w:basedOn w:val="Normal"/>
    <w:rsid w:val="001E34E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yle1">
    <w:name w:val="Style1"/>
    <w:basedOn w:val="Normal"/>
    <w:rsid w:val="001E34E3"/>
    <w:pPr>
      <w:spacing w:after="120"/>
    </w:pPr>
    <w:rPr>
      <w:b/>
    </w:rPr>
  </w:style>
  <w:style w:type="paragraph" w:styleId="Revision">
    <w:name w:val="Revision"/>
    <w:hidden/>
    <w:uiPriority w:val="99"/>
    <w:semiHidden/>
    <w:rsid w:val="004D7E09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8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1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403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423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c5ebbc-b945-4be9-bef8-f47c7ce506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100F5D6C9EE45A3F6B10E25CF9AFA" ma:contentTypeVersion="6" ma:contentTypeDescription="Create a new document." ma:contentTypeScope="" ma:versionID="2eff3a785198534d8038dfbe0b6ee5cb">
  <xsd:schema xmlns:xsd="http://www.w3.org/2001/XMLSchema" xmlns:xs="http://www.w3.org/2001/XMLSchema" xmlns:p="http://schemas.microsoft.com/office/2006/metadata/properties" xmlns:ns3="bdc5ebbc-b945-4be9-bef8-f47c7ce5068f" targetNamespace="http://schemas.microsoft.com/office/2006/metadata/properties" ma:root="true" ma:fieldsID="1195648e2994aba39c5eaad002a70d73" ns3:_="">
    <xsd:import namespace="bdc5ebbc-b945-4be9-bef8-f47c7ce506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5ebbc-b945-4be9-bef8-f47c7ce506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ED072-D270-480D-86AB-B6EACD38478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c5ebbc-b945-4be9-bef8-f47c7ce506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A4D8F6-E3EE-440D-8158-F63769AE4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3A5C1-A2F4-4006-BF41-0DD9B7418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CEA0A-A0F8-4279-89F2-3A313A098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5ebbc-b945-4be9-bef8-f47c7ce5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9946</CharactersWithSpaces>
  <SharedDoc>false</SharedDoc>
  <HLinks>
    <vt:vector size="36" baseType="variant"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_Toc126755568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_Toc126755566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_Toc126755565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_Toc126755564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_Toc126755563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_Toc126755562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Meera Patel</dc:creator>
  <cp:keywords/>
  <cp:lastModifiedBy>Grace Rich</cp:lastModifiedBy>
  <cp:revision>2</cp:revision>
  <cp:lastPrinted>2023-02-12T20:30:00Z</cp:lastPrinted>
  <dcterms:created xsi:type="dcterms:W3CDTF">2026-03-05T02:07:00Z</dcterms:created>
  <dcterms:modified xsi:type="dcterms:W3CDTF">2026-03-05T02:07:00Z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A12339022</vt:lpwstr>
  </property>
  <property fmtid="{D5CDD505-2E9C-101B-9397-08002B2CF9AE}" pid="4" name="Objective-Title">
    <vt:lpwstr>20202102 draft Instrument amending Ministerial Direction and Welfare programme</vt:lpwstr>
  </property>
  <property fmtid="{D5CDD505-2E9C-101B-9397-08002B2CF9AE}" pid="5" name="Objective-Comment">
    <vt:lpwstr/>
  </property>
  <property fmtid="{D5CDD505-2E9C-101B-9397-08002B2CF9AE}" pid="6" name="Objective-CreationStamp">
    <vt:filetime>2020-02-20T22:59:40Z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2020-02-21T01:40:39Z</vt:filetime>
  </property>
  <property fmtid="{D5CDD505-2E9C-101B-9397-08002B2CF9AE}" pid="10" name="Objective-ModificationStamp">
    <vt:filetime>2020-02-21T01:40:39Z</vt:filetime>
  </property>
  <property fmtid="{D5CDD505-2E9C-101B-9397-08002B2CF9AE}" pid="11" name="Objective-Owner">
    <vt:lpwstr>Ella Bryant</vt:lpwstr>
  </property>
  <property fmtid="{D5CDD505-2E9C-101B-9397-08002B2CF9AE}" pid="12" name="Objective-Path">
    <vt:lpwstr>Global Folder:MSD INFORMATION REPOSITORY:Governance:Legal:Advice - Legislative Management:AGA:2020 AGA (Annual General Adjustment):Amendments to Ministerial Direction and Welfare Programmes:</vt:lpwstr>
  </property>
  <property fmtid="{D5CDD505-2E9C-101B-9397-08002B2CF9AE}" pid="13" name="Objective-Parent">
    <vt:lpwstr>Amendments to Ministerial Direction and Welfare Programmes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GO/LE/07/09/19-30299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  <property fmtid="{D5CDD505-2E9C-101B-9397-08002B2CF9AE}" pid="23" name="Objective-Client Number [system]">
    <vt:lpwstr>000-000-000</vt:lpwstr>
  </property>
  <property fmtid="{D5CDD505-2E9C-101B-9397-08002B2CF9AE}" pid="24" name="Objective-Client Name [system]">
    <vt:lpwstr>No Client Name</vt:lpwstr>
  </property>
  <property fmtid="{D5CDD505-2E9C-101B-9397-08002B2CF9AE}" pid="25" name="MSIP_Label_f43e46a9-9901-46e9-bfae-bb6189d4cb66_Enabled">
    <vt:lpwstr>true</vt:lpwstr>
  </property>
  <property fmtid="{D5CDD505-2E9C-101B-9397-08002B2CF9AE}" pid="26" name="MSIP_Label_f43e46a9-9901-46e9-bfae-bb6189d4cb66_SetDate">
    <vt:lpwstr>2024-02-14T03:35:15Z</vt:lpwstr>
  </property>
  <property fmtid="{D5CDD505-2E9C-101B-9397-08002B2CF9AE}" pid="27" name="MSIP_Label_f43e46a9-9901-46e9-bfae-bb6189d4cb66_Method">
    <vt:lpwstr>Standard</vt:lpwstr>
  </property>
  <property fmtid="{D5CDD505-2E9C-101B-9397-08002B2CF9AE}" pid="28" name="MSIP_Label_f43e46a9-9901-46e9-bfae-bb6189d4cb66_Name">
    <vt:lpwstr>In-confidence</vt:lpwstr>
  </property>
  <property fmtid="{D5CDD505-2E9C-101B-9397-08002B2CF9AE}" pid="29" name="MSIP_Label_f43e46a9-9901-46e9-bfae-bb6189d4cb66_SiteId">
    <vt:lpwstr>e40c4f52-99bd-4d4f-bf7e-d001a2ca6556</vt:lpwstr>
  </property>
  <property fmtid="{D5CDD505-2E9C-101B-9397-08002B2CF9AE}" pid="30" name="MSIP_Label_f43e46a9-9901-46e9-bfae-bb6189d4cb66_ActionId">
    <vt:lpwstr>6ea77708-63b8-4f4d-a2c0-1a4d74244e1b</vt:lpwstr>
  </property>
  <property fmtid="{D5CDD505-2E9C-101B-9397-08002B2CF9AE}" pid="31" name="MSIP_Label_f43e46a9-9901-46e9-bfae-bb6189d4cb66_ContentBits">
    <vt:lpwstr>1</vt:lpwstr>
  </property>
  <property fmtid="{D5CDD505-2E9C-101B-9397-08002B2CF9AE}" pid="32" name="ContentTypeId">
    <vt:lpwstr>0x0101008C9100F5D6C9EE45A3F6B10E25CF9AFA</vt:lpwstr>
  </property>
</Properties>
</file>