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EEA29" w14:textId="33FED7AF" w:rsidR="004168CA" w:rsidRDefault="00321DE0">
      <w:pPr>
        <w:spacing w:after="80"/>
        <w:jc w:val="center"/>
        <w:rPr>
          <w:rFonts w:ascii="Times New Roman" w:hAnsi="Times New Roman" w:cs="Times New Roman"/>
          <w:b/>
          <w:bCs/>
          <w:sz w:val="36"/>
          <w:szCs w:val="36"/>
        </w:rPr>
      </w:pPr>
      <w:r>
        <w:rPr>
          <w:rFonts w:ascii="Times New Roman" w:hAnsi="Times New Roman" w:cs="Times New Roman"/>
          <w:b/>
          <w:bCs/>
          <w:sz w:val="36"/>
          <w:szCs w:val="36"/>
        </w:rPr>
        <w:t>Employment and Work Readiness Assistance (Incentive Payments) Amendment 2025</w:t>
      </w:r>
    </w:p>
    <w:p w14:paraId="75146E48" w14:textId="77777777" w:rsidR="004168CA" w:rsidRDefault="004168CA">
      <w:pPr>
        <w:spacing w:after="80"/>
        <w:jc w:val="center"/>
        <w:rPr>
          <w:rFonts w:ascii="Times New Roman" w:hAnsi="Times New Roman" w:cs="Times New Roman"/>
          <w:b/>
          <w:bCs/>
          <w:sz w:val="36"/>
          <w:szCs w:val="36"/>
        </w:rPr>
      </w:pPr>
    </w:p>
    <w:p w14:paraId="7BAAEEC6" w14:textId="77777777" w:rsidR="004168CA" w:rsidRDefault="004168CA" w:rsidP="00ED138E">
      <w:pPr>
        <w:spacing w:after="80"/>
        <w:jc w:val="center"/>
        <w:rPr>
          <w:rFonts w:ascii="Times New Roman" w:hAnsi="Times New Roman" w:cs="Times New Roman"/>
          <w:b/>
          <w:bCs/>
          <w:sz w:val="36"/>
          <w:szCs w:val="36"/>
        </w:rPr>
      </w:pPr>
    </w:p>
    <w:p w14:paraId="1A3F1C7C" w14:textId="77777777" w:rsidR="004A47AB" w:rsidRPr="00D27924" w:rsidRDefault="004A47AB" w:rsidP="00ED138E">
      <w:pPr>
        <w:spacing w:after="80"/>
        <w:jc w:val="both"/>
        <w:rPr>
          <w:rFonts w:ascii="Times New Roman" w:hAnsi="Times New Roman" w:cs="Times New Roman"/>
          <w:b/>
          <w:bCs/>
          <w:sz w:val="28"/>
          <w:szCs w:val="28"/>
        </w:rPr>
      </w:pPr>
      <w:r w:rsidRPr="00D27924">
        <w:rPr>
          <w:rFonts w:ascii="Times New Roman" w:hAnsi="Times New Roman" w:cs="Times New Roman"/>
        </w:rPr>
        <w:t xml:space="preserve">This instrument is made under section 101(1) of the Social Security Act 2018 by the Minister for Social Development and Employment. </w:t>
      </w:r>
    </w:p>
    <w:p w14:paraId="02348071" w14:textId="77777777" w:rsidR="004A47AB" w:rsidRPr="00D27924" w:rsidRDefault="004A47AB" w:rsidP="004A47AB">
      <w:pPr>
        <w:jc w:val="center"/>
        <w:rPr>
          <w:rFonts w:ascii="Times New Roman" w:hAnsi="Times New Roman" w:cs="Times New Roman"/>
          <w:b/>
          <w:sz w:val="26"/>
          <w:szCs w:val="26"/>
        </w:rPr>
      </w:pPr>
      <w:r w:rsidRPr="00D27924">
        <w:rPr>
          <w:rFonts w:ascii="Times New Roman" w:hAnsi="Times New Roman" w:cs="Times New Roman"/>
          <w:b/>
          <w:sz w:val="26"/>
          <w:szCs w:val="26"/>
        </w:rPr>
        <w:t>Contents</w:t>
      </w:r>
    </w:p>
    <w:p w14:paraId="0FAA7346" w14:textId="38A2FD36" w:rsidR="003E2416" w:rsidRPr="009C6190" w:rsidRDefault="004A47AB" w:rsidP="00FF4394">
      <w:pPr>
        <w:pStyle w:val="TOC1"/>
        <w:rPr>
          <w:rFonts w:asciiTheme="minorHAnsi" w:eastAsiaTheme="minorEastAsia" w:hAnsiTheme="minorHAnsi" w:cstheme="minorBidi"/>
          <w:noProof/>
          <w:sz w:val="22"/>
          <w:lang w:eastAsia="en-NZ"/>
        </w:rPr>
      </w:pPr>
      <w:r>
        <w:rPr>
          <w:b/>
          <w:sz w:val="22"/>
        </w:rPr>
        <w:fldChar w:fldCharType="begin"/>
      </w:r>
      <w:r>
        <w:rPr>
          <w:b/>
          <w:sz w:val="22"/>
        </w:rPr>
        <w:instrText xml:space="preserve"> TOC \o "1-1" \h \z \u </w:instrText>
      </w:r>
      <w:r>
        <w:rPr>
          <w:b/>
          <w:sz w:val="22"/>
        </w:rPr>
        <w:fldChar w:fldCharType="separate"/>
      </w:r>
      <w:hyperlink w:anchor="_Toc105490137" w:history="1">
        <w:r w:rsidR="003E2416" w:rsidRPr="0052164C">
          <w:rPr>
            <w:rStyle w:val="Hyperlink"/>
            <w:noProof/>
          </w:rPr>
          <w:t>1</w:t>
        </w:r>
        <w:r w:rsidR="003E2416">
          <w:rPr>
            <w:rFonts w:asciiTheme="minorHAnsi" w:eastAsiaTheme="minorEastAsia" w:hAnsiTheme="minorHAnsi" w:cstheme="minorBidi"/>
            <w:noProof/>
            <w:sz w:val="22"/>
            <w:lang w:eastAsia="en-NZ"/>
          </w:rPr>
          <w:tab/>
        </w:r>
        <w:r w:rsidR="003E2416" w:rsidRPr="00E25966">
          <w:rPr>
            <w:rStyle w:val="Hyperlink"/>
            <w:rFonts w:ascii="Times New Roman" w:hAnsi="Times New Roman"/>
            <w:noProof/>
          </w:rPr>
          <w:t>Title</w:t>
        </w:r>
        <w:r w:rsidR="003E2416">
          <w:rPr>
            <w:noProof/>
            <w:webHidden/>
          </w:rPr>
          <w:tab/>
        </w:r>
        <w:r w:rsidR="003E2416" w:rsidRPr="009C6190">
          <w:rPr>
            <w:noProof/>
            <w:webHidden/>
          </w:rPr>
          <w:fldChar w:fldCharType="begin"/>
        </w:r>
        <w:r w:rsidR="003E2416" w:rsidRPr="009C6190">
          <w:rPr>
            <w:noProof/>
            <w:webHidden/>
          </w:rPr>
          <w:instrText xml:space="preserve"> PAGEREF _Toc105490137 \h </w:instrText>
        </w:r>
        <w:r w:rsidR="003E2416" w:rsidRPr="009C6190">
          <w:rPr>
            <w:noProof/>
            <w:webHidden/>
          </w:rPr>
        </w:r>
        <w:r w:rsidR="003E2416" w:rsidRPr="009C6190">
          <w:rPr>
            <w:noProof/>
            <w:webHidden/>
          </w:rPr>
          <w:fldChar w:fldCharType="separate"/>
        </w:r>
        <w:r w:rsidR="007E3787">
          <w:rPr>
            <w:noProof/>
            <w:webHidden/>
          </w:rPr>
          <w:t>1</w:t>
        </w:r>
        <w:r w:rsidR="003E2416" w:rsidRPr="009C6190">
          <w:rPr>
            <w:noProof/>
            <w:webHidden/>
          </w:rPr>
          <w:fldChar w:fldCharType="end"/>
        </w:r>
      </w:hyperlink>
    </w:p>
    <w:p w14:paraId="1914EB78" w14:textId="50D73A81" w:rsidR="003E2416" w:rsidRPr="009C6190" w:rsidRDefault="000E5FEA" w:rsidP="00FF4394">
      <w:pPr>
        <w:pStyle w:val="TOC1"/>
        <w:rPr>
          <w:rFonts w:eastAsiaTheme="minorEastAsia"/>
          <w:noProof/>
          <w:sz w:val="22"/>
          <w:lang w:eastAsia="en-NZ"/>
        </w:rPr>
      </w:pPr>
      <w:hyperlink w:anchor="_Toc105490138" w:history="1">
        <w:r w:rsidR="003E2416" w:rsidRPr="009C6190">
          <w:rPr>
            <w:rStyle w:val="Hyperlink"/>
            <w:rFonts w:ascii="Times New Roman" w:hAnsi="Times New Roman"/>
            <w:noProof/>
          </w:rPr>
          <w:t>2</w:t>
        </w:r>
        <w:r w:rsidR="003E2416" w:rsidRPr="009C6190">
          <w:rPr>
            <w:rFonts w:eastAsiaTheme="minorEastAsia"/>
            <w:noProof/>
            <w:sz w:val="22"/>
            <w:lang w:eastAsia="en-NZ"/>
          </w:rPr>
          <w:tab/>
        </w:r>
        <w:r w:rsidR="003E2416" w:rsidRPr="009C6190">
          <w:rPr>
            <w:rStyle w:val="Hyperlink"/>
            <w:rFonts w:ascii="Times New Roman" w:hAnsi="Times New Roman"/>
            <w:noProof/>
          </w:rPr>
          <w:t>Commencement</w:t>
        </w:r>
        <w:r w:rsidR="003E2416" w:rsidRPr="009C6190">
          <w:rPr>
            <w:noProof/>
            <w:webHidden/>
          </w:rPr>
          <w:tab/>
        </w:r>
        <w:r w:rsidR="003E2416" w:rsidRPr="009C6190">
          <w:rPr>
            <w:noProof/>
            <w:webHidden/>
          </w:rPr>
          <w:fldChar w:fldCharType="begin"/>
        </w:r>
        <w:r w:rsidR="003E2416" w:rsidRPr="009C6190">
          <w:rPr>
            <w:noProof/>
            <w:webHidden/>
          </w:rPr>
          <w:instrText xml:space="preserve"> PAGEREF _Toc105490138 \h </w:instrText>
        </w:r>
        <w:r w:rsidR="003E2416" w:rsidRPr="009C6190">
          <w:rPr>
            <w:noProof/>
            <w:webHidden/>
          </w:rPr>
        </w:r>
        <w:r w:rsidR="003E2416" w:rsidRPr="009C6190">
          <w:rPr>
            <w:noProof/>
            <w:webHidden/>
          </w:rPr>
          <w:fldChar w:fldCharType="separate"/>
        </w:r>
        <w:r w:rsidR="007E3787">
          <w:rPr>
            <w:noProof/>
            <w:webHidden/>
          </w:rPr>
          <w:t>1</w:t>
        </w:r>
        <w:r w:rsidR="003E2416" w:rsidRPr="009C6190">
          <w:rPr>
            <w:noProof/>
            <w:webHidden/>
          </w:rPr>
          <w:fldChar w:fldCharType="end"/>
        </w:r>
      </w:hyperlink>
    </w:p>
    <w:p w14:paraId="529A266C" w14:textId="4540A380" w:rsidR="003E2416" w:rsidRPr="009C6190" w:rsidRDefault="000E5FEA" w:rsidP="00FF4394">
      <w:pPr>
        <w:pStyle w:val="TOC1"/>
        <w:tabs>
          <w:tab w:val="clear" w:pos="6560"/>
        </w:tabs>
        <w:rPr>
          <w:rFonts w:eastAsiaTheme="minorEastAsia"/>
          <w:noProof/>
          <w:sz w:val="22"/>
          <w:lang w:eastAsia="en-NZ"/>
        </w:rPr>
      </w:pPr>
      <w:hyperlink w:anchor="_Toc105490139" w:history="1">
        <w:r w:rsidR="003E2416" w:rsidRPr="009C6190">
          <w:rPr>
            <w:rStyle w:val="Hyperlink"/>
            <w:rFonts w:ascii="Times New Roman" w:hAnsi="Times New Roman"/>
            <w:noProof/>
          </w:rPr>
          <w:t>3</w:t>
        </w:r>
        <w:r w:rsidR="003E2416" w:rsidRPr="009C6190">
          <w:rPr>
            <w:rFonts w:eastAsiaTheme="minorEastAsia"/>
            <w:noProof/>
            <w:sz w:val="22"/>
            <w:lang w:eastAsia="en-NZ"/>
          </w:rPr>
          <w:tab/>
        </w:r>
        <w:r w:rsidR="00AC65E0" w:rsidRPr="009C6190">
          <w:rPr>
            <w:rStyle w:val="Hyperlink"/>
            <w:rFonts w:ascii="Times New Roman" w:hAnsi="Times New Roman"/>
            <w:noProof/>
          </w:rPr>
          <w:t>P</w:t>
        </w:r>
        <w:r w:rsidR="003E2416" w:rsidRPr="009C6190">
          <w:rPr>
            <w:rStyle w:val="Hyperlink"/>
            <w:rFonts w:ascii="Times New Roman" w:hAnsi="Times New Roman"/>
            <w:noProof/>
          </w:rPr>
          <w:t>rogramme</w:t>
        </w:r>
        <w:r w:rsidR="00574805" w:rsidRPr="009C6190">
          <w:rPr>
            <w:rStyle w:val="Hyperlink"/>
            <w:rFonts w:ascii="Times New Roman" w:hAnsi="Times New Roman"/>
            <w:noProof/>
          </w:rPr>
          <w:t xml:space="preserve"> amended</w:t>
        </w:r>
        <w:r w:rsidR="00321DE0" w:rsidRPr="009C6190">
          <w:rPr>
            <w:rStyle w:val="Hyperlink"/>
            <w:rFonts w:ascii="Times New Roman" w:hAnsi="Times New Roman"/>
            <w:noProof/>
          </w:rPr>
          <w:t xml:space="preserve">                                                                                    1 </w:t>
        </w:r>
      </w:hyperlink>
    </w:p>
    <w:p w14:paraId="7EC0D02D" w14:textId="672424D8" w:rsidR="003E2416" w:rsidRPr="009C6190" w:rsidRDefault="000E5FEA" w:rsidP="00FF4394">
      <w:pPr>
        <w:pStyle w:val="TOC1"/>
        <w:rPr>
          <w:rFonts w:asciiTheme="minorHAnsi" w:eastAsiaTheme="minorEastAsia" w:hAnsiTheme="minorHAnsi" w:cstheme="minorBidi"/>
          <w:noProof/>
          <w:sz w:val="22"/>
          <w:lang w:eastAsia="en-NZ"/>
        </w:rPr>
      </w:pPr>
      <w:hyperlink w:anchor="_Toc105490140" w:history="1">
        <w:r w:rsidR="003E2416" w:rsidRPr="009C6190">
          <w:rPr>
            <w:rStyle w:val="Hyperlink"/>
            <w:noProof/>
          </w:rPr>
          <w:t>4</w:t>
        </w:r>
        <w:r w:rsidR="003E2416" w:rsidRPr="009C6190">
          <w:rPr>
            <w:rFonts w:asciiTheme="minorHAnsi" w:eastAsiaTheme="minorEastAsia" w:hAnsiTheme="minorHAnsi" w:cstheme="minorBidi"/>
            <w:noProof/>
            <w:sz w:val="22"/>
            <w:lang w:eastAsia="en-NZ"/>
          </w:rPr>
          <w:tab/>
        </w:r>
        <w:r w:rsidR="00E25966" w:rsidRPr="009C6190">
          <w:rPr>
            <w:rFonts w:ascii="Times New Roman" w:eastAsiaTheme="minorEastAsia" w:hAnsi="Times New Roman"/>
            <w:noProof/>
            <w:szCs w:val="20"/>
            <w:lang w:eastAsia="en-NZ"/>
          </w:rPr>
          <w:t>Amend clause 13</w:t>
        </w:r>
        <w:r w:rsidR="003E2416" w:rsidRPr="009C6190">
          <w:rPr>
            <w:noProof/>
            <w:webHidden/>
          </w:rPr>
          <w:tab/>
        </w:r>
        <w:r w:rsidR="009C6190" w:rsidRPr="009C6190">
          <w:rPr>
            <w:noProof/>
            <w:webHidden/>
          </w:rPr>
          <w:t>1</w:t>
        </w:r>
      </w:hyperlink>
    </w:p>
    <w:p w14:paraId="45FF5179" w14:textId="2DB32F7F" w:rsidR="003E2416" w:rsidRDefault="000E5FEA" w:rsidP="00FF4394">
      <w:pPr>
        <w:pStyle w:val="TOC1"/>
        <w:rPr>
          <w:rFonts w:asciiTheme="minorHAnsi" w:eastAsiaTheme="minorEastAsia" w:hAnsiTheme="minorHAnsi" w:cstheme="minorBidi"/>
          <w:noProof/>
          <w:sz w:val="22"/>
          <w:lang w:eastAsia="en-NZ"/>
        </w:rPr>
      </w:pPr>
      <w:hyperlink w:anchor="_Toc105490141" w:history="1">
        <w:r w:rsidR="003E2416" w:rsidRPr="009C6190">
          <w:rPr>
            <w:rStyle w:val="Hyperlink"/>
            <w:noProof/>
          </w:rPr>
          <w:t>5</w:t>
        </w:r>
        <w:r w:rsidR="003E2416" w:rsidRPr="009C6190">
          <w:rPr>
            <w:rFonts w:asciiTheme="minorHAnsi" w:eastAsiaTheme="minorEastAsia" w:hAnsiTheme="minorHAnsi" w:cstheme="minorBidi"/>
            <w:noProof/>
            <w:sz w:val="22"/>
            <w:lang w:eastAsia="en-NZ"/>
          </w:rPr>
          <w:tab/>
        </w:r>
        <w:r w:rsidR="00AA355A" w:rsidRPr="009C6190">
          <w:rPr>
            <w:rFonts w:eastAsiaTheme="minorEastAsia"/>
            <w:noProof/>
            <w:lang w:eastAsia="en-NZ"/>
          </w:rPr>
          <w:t>Schedule amended</w:t>
        </w:r>
        <w:r w:rsidR="00574805" w:rsidRPr="009C6190">
          <w:rPr>
            <w:rFonts w:eastAsiaTheme="minorEastAsia"/>
            <w:noProof/>
            <w:lang w:eastAsia="en-NZ"/>
          </w:rPr>
          <w:t xml:space="preserve"> </w:t>
        </w:r>
        <w:r w:rsidR="00321DE0" w:rsidRPr="009C6190">
          <w:rPr>
            <w:rFonts w:eastAsiaTheme="minorEastAsia"/>
            <w:noProof/>
            <w:lang w:eastAsia="en-NZ"/>
          </w:rPr>
          <w:t xml:space="preserve">                                                                                       2</w:t>
        </w:r>
        <w:r w:rsidR="003E2416" w:rsidRPr="009C6190">
          <w:rPr>
            <w:noProof/>
            <w:webHidden/>
          </w:rPr>
          <w:tab/>
        </w:r>
      </w:hyperlink>
    </w:p>
    <w:p w14:paraId="56E841AD" w14:textId="6EE56400" w:rsidR="004A47AB" w:rsidRDefault="004A47AB" w:rsidP="004A47AB">
      <w:pPr>
        <w:jc w:val="center"/>
      </w:pPr>
      <w:r>
        <w:rPr>
          <w:rFonts w:cs="Times New Roman"/>
          <w:b/>
          <w:bCs/>
          <w:sz w:val="22"/>
          <w:szCs w:val="22"/>
        </w:rPr>
        <w:fldChar w:fldCharType="end"/>
      </w:r>
      <w:r>
        <w:rPr>
          <w:b/>
        </w:rPr>
        <w:t>______</w:t>
      </w:r>
    </w:p>
    <w:p w14:paraId="6D60A3F3" w14:textId="77777777" w:rsidR="004A47AB" w:rsidRPr="00D27924" w:rsidRDefault="004A47AB" w:rsidP="004A47AB">
      <w:pPr>
        <w:jc w:val="center"/>
        <w:rPr>
          <w:rFonts w:ascii="Times New Roman" w:hAnsi="Times New Roman" w:cs="Times New Roman"/>
          <w:b/>
          <w:bCs/>
          <w:sz w:val="26"/>
          <w:szCs w:val="26"/>
        </w:rPr>
      </w:pPr>
      <w:bookmarkStart w:id="0" w:name="_Toc189471317"/>
      <w:r w:rsidRPr="00D27924">
        <w:rPr>
          <w:rFonts w:ascii="Times New Roman" w:hAnsi="Times New Roman" w:cs="Times New Roman"/>
          <w:b/>
          <w:bCs/>
          <w:sz w:val="26"/>
          <w:szCs w:val="26"/>
        </w:rPr>
        <w:t>Instrument</w:t>
      </w:r>
    </w:p>
    <w:p w14:paraId="2F7EA620" w14:textId="77777777" w:rsidR="004A47AB" w:rsidRPr="00CC2A85" w:rsidRDefault="004A47AB" w:rsidP="00CC2A85">
      <w:pPr>
        <w:pStyle w:val="Heading1"/>
      </w:pPr>
      <w:bookmarkStart w:id="1" w:name="_Toc105490137"/>
      <w:r w:rsidRPr="00CC2A85">
        <w:t>Title</w:t>
      </w:r>
      <w:bookmarkEnd w:id="0"/>
      <w:bookmarkEnd w:id="1"/>
    </w:p>
    <w:p w14:paraId="28B7F56A" w14:textId="0B544EC3" w:rsidR="004A47AB" w:rsidRPr="00D27924" w:rsidRDefault="004A47AB" w:rsidP="00D27924">
      <w:pPr>
        <w:tabs>
          <w:tab w:val="num" w:pos="720"/>
        </w:tabs>
        <w:spacing w:after="40"/>
        <w:ind w:left="720" w:hanging="720"/>
        <w:jc w:val="both"/>
        <w:rPr>
          <w:rFonts w:ascii="Times New Roman" w:hAnsi="Times New Roman" w:cs="Times New Roman"/>
        </w:rPr>
      </w:pPr>
      <w:r>
        <w:tab/>
      </w:r>
      <w:r w:rsidRPr="00D27924">
        <w:rPr>
          <w:rFonts w:ascii="Times New Roman" w:hAnsi="Times New Roman" w:cs="Times New Roman"/>
        </w:rPr>
        <w:t>This instrument is the</w:t>
      </w:r>
      <w:r w:rsidR="0060060A" w:rsidRPr="00D27924">
        <w:rPr>
          <w:rFonts w:ascii="Times New Roman" w:hAnsi="Times New Roman" w:cs="Times New Roman"/>
        </w:rPr>
        <w:t xml:space="preserve"> Emp</w:t>
      </w:r>
      <w:r w:rsidR="005A53A8" w:rsidRPr="00D27924">
        <w:rPr>
          <w:rFonts w:ascii="Times New Roman" w:hAnsi="Times New Roman" w:cs="Times New Roman"/>
        </w:rPr>
        <w:t xml:space="preserve">loyment and Work Readiness </w:t>
      </w:r>
      <w:r w:rsidR="00DE4E2D">
        <w:rPr>
          <w:rFonts w:ascii="Times New Roman" w:hAnsi="Times New Roman" w:cs="Times New Roman"/>
        </w:rPr>
        <w:t xml:space="preserve">Assistance </w:t>
      </w:r>
      <w:r w:rsidR="005A53A8" w:rsidRPr="00D27924">
        <w:rPr>
          <w:rFonts w:ascii="Times New Roman" w:hAnsi="Times New Roman" w:cs="Times New Roman"/>
        </w:rPr>
        <w:t>(</w:t>
      </w:r>
      <w:r w:rsidR="007A492E" w:rsidRPr="00D27924">
        <w:rPr>
          <w:rFonts w:ascii="Times New Roman" w:hAnsi="Times New Roman" w:cs="Times New Roman"/>
        </w:rPr>
        <w:t>Incentive Payments</w:t>
      </w:r>
      <w:r w:rsidR="005A53A8" w:rsidRPr="00D27924">
        <w:rPr>
          <w:rFonts w:ascii="Times New Roman" w:hAnsi="Times New Roman" w:cs="Times New Roman"/>
        </w:rPr>
        <w:t>)</w:t>
      </w:r>
      <w:r w:rsidR="001576AB" w:rsidRPr="00D27924">
        <w:rPr>
          <w:rFonts w:ascii="Times New Roman" w:hAnsi="Times New Roman" w:cs="Times New Roman"/>
        </w:rPr>
        <w:t xml:space="preserve"> Amendment 202</w:t>
      </w:r>
      <w:r w:rsidR="00A94F61" w:rsidRPr="00D27924">
        <w:rPr>
          <w:rFonts w:ascii="Times New Roman" w:hAnsi="Times New Roman" w:cs="Times New Roman"/>
        </w:rPr>
        <w:t>5</w:t>
      </w:r>
      <w:r w:rsidRPr="00D27924">
        <w:rPr>
          <w:rFonts w:ascii="Times New Roman" w:hAnsi="Times New Roman" w:cs="Times New Roman"/>
        </w:rPr>
        <w:t>.</w:t>
      </w:r>
    </w:p>
    <w:p w14:paraId="344EAA8A" w14:textId="72BB8E92" w:rsidR="004A47AB" w:rsidRDefault="004A47AB" w:rsidP="00CC2A85">
      <w:pPr>
        <w:pStyle w:val="Heading1"/>
      </w:pPr>
      <w:bookmarkStart w:id="2" w:name="_Toc105490138"/>
      <w:r>
        <w:t>Commencement</w:t>
      </w:r>
      <w:bookmarkEnd w:id="2"/>
    </w:p>
    <w:p w14:paraId="48F15177" w14:textId="5EFF2061" w:rsidR="004A47AB" w:rsidRPr="00D27924" w:rsidRDefault="004A47AB" w:rsidP="004A47AB">
      <w:pPr>
        <w:tabs>
          <w:tab w:val="num" w:pos="720"/>
        </w:tabs>
        <w:ind w:left="720" w:hanging="720"/>
        <w:jc w:val="both"/>
        <w:rPr>
          <w:rFonts w:ascii="Times New Roman" w:hAnsi="Times New Roman" w:cs="Times New Roman"/>
        </w:rPr>
      </w:pPr>
      <w:r>
        <w:tab/>
      </w:r>
      <w:r w:rsidRPr="00D27924">
        <w:rPr>
          <w:rFonts w:ascii="Times New Roman" w:hAnsi="Times New Roman" w:cs="Times New Roman"/>
        </w:rPr>
        <w:t xml:space="preserve">This instrument comes into </w:t>
      </w:r>
      <w:r w:rsidR="0090724F" w:rsidRPr="00D27924">
        <w:rPr>
          <w:rFonts w:ascii="Times New Roman" w:hAnsi="Times New Roman" w:cs="Times New Roman"/>
        </w:rPr>
        <w:t>force</w:t>
      </w:r>
      <w:r w:rsidRPr="00D27924">
        <w:rPr>
          <w:rFonts w:ascii="Times New Roman" w:hAnsi="Times New Roman" w:cs="Times New Roman"/>
        </w:rPr>
        <w:t xml:space="preserve"> </w:t>
      </w:r>
      <w:r w:rsidR="00F220B7" w:rsidRPr="00D27924">
        <w:rPr>
          <w:rFonts w:ascii="Times New Roman" w:hAnsi="Times New Roman" w:cs="Times New Roman"/>
        </w:rPr>
        <w:t>on 31 March 2025.</w:t>
      </w:r>
    </w:p>
    <w:p w14:paraId="6CCF1A32" w14:textId="3D9F5988" w:rsidR="004A47AB" w:rsidRDefault="0076066B" w:rsidP="00CC2A85">
      <w:pPr>
        <w:pStyle w:val="Heading1"/>
      </w:pPr>
      <w:r>
        <w:t>Programme</w:t>
      </w:r>
      <w:r w:rsidR="004A47AB">
        <w:t xml:space="preserve"> </w:t>
      </w:r>
      <w:proofErr w:type="gramStart"/>
      <w:r w:rsidR="00741A84">
        <w:t>amended</w:t>
      </w:r>
      <w:proofErr w:type="gramEnd"/>
    </w:p>
    <w:p w14:paraId="602CD371" w14:textId="225CE427" w:rsidR="004A47AB" w:rsidRDefault="004A47AB" w:rsidP="00D27924">
      <w:pPr>
        <w:tabs>
          <w:tab w:val="num" w:pos="720"/>
        </w:tabs>
        <w:spacing w:after="40"/>
        <w:ind w:left="720" w:hanging="720"/>
        <w:jc w:val="both"/>
        <w:rPr>
          <w:rFonts w:ascii="Times New Roman" w:hAnsi="Times New Roman" w:cs="Times New Roman"/>
        </w:rPr>
      </w:pPr>
      <w:r>
        <w:tab/>
      </w:r>
      <w:r w:rsidRPr="00D27924">
        <w:rPr>
          <w:rFonts w:ascii="Times New Roman" w:hAnsi="Times New Roman" w:cs="Times New Roman"/>
        </w:rPr>
        <w:t>This instrument amends the</w:t>
      </w:r>
      <w:r w:rsidR="001576AB" w:rsidRPr="00D27924">
        <w:rPr>
          <w:rFonts w:ascii="Times New Roman" w:hAnsi="Times New Roman" w:cs="Times New Roman"/>
        </w:rPr>
        <w:t xml:space="preserve"> Employment and Work Readiness Assistance Programme established and approved on 6 March 2014</w:t>
      </w:r>
      <w:r w:rsidR="00C47739" w:rsidRPr="00D27924">
        <w:rPr>
          <w:rFonts w:ascii="Times New Roman" w:hAnsi="Times New Roman" w:cs="Times New Roman"/>
        </w:rPr>
        <w:t xml:space="preserve"> (the </w:t>
      </w:r>
      <w:r w:rsidR="00C47739" w:rsidRPr="00D27924">
        <w:rPr>
          <w:rFonts w:ascii="Times New Roman" w:hAnsi="Times New Roman" w:cs="Times New Roman"/>
          <w:b/>
          <w:bCs/>
        </w:rPr>
        <w:t>principal programme</w:t>
      </w:r>
      <w:r w:rsidR="00C47739" w:rsidRPr="00D27924">
        <w:rPr>
          <w:rFonts w:ascii="Times New Roman" w:hAnsi="Times New Roman" w:cs="Times New Roman"/>
        </w:rPr>
        <w:t>)</w:t>
      </w:r>
      <w:r w:rsidRPr="00D27924">
        <w:rPr>
          <w:rFonts w:ascii="Times New Roman" w:hAnsi="Times New Roman" w:cs="Times New Roman"/>
        </w:rPr>
        <w:t>.</w:t>
      </w:r>
    </w:p>
    <w:p w14:paraId="3199E9D0" w14:textId="77777777" w:rsidR="00F55E63" w:rsidRPr="00D27924" w:rsidRDefault="00F55E63" w:rsidP="00D27924">
      <w:pPr>
        <w:tabs>
          <w:tab w:val="num" w:pos="720"/>
        </w:tabs>
        <w:spacing w:after="40"/>
        <w:ind w:left="720" w:hanging="720"/>
        <w:jc w:val="both"/>
        <w:rPr>
          <w:rFonts w:ascii="Times New Roman" w:hAnsi="Times New Roman" w:cs="Times New Roman"/>
        </w:rPr>
      </w:pPr>
    </w:p>
    <w:p w14:paraId="3BA62C24" w14:textId="7C9053BB" w:rsidR="00711B28" w:rsidRDefault="00A35667" w:rsidP="149CC69E">
      <w:pPr>
        <w:pStyle w:val="Heading1"/>
      </w:pPr>
      <w:r>
        <w:t>Clause</w:t>
      </w:r>
      <w:r w:rsidR="6A9027A7">
        <w:t xml:space="preserve"> 13 </w:t>
      </w:r>
      <w:r>
        <w:t>amended (</w:t>
      </w:r>
      <w:r w:rsidR="6A9027A7">
        <w:t>Savings and transitional provisions</w:t>
      </w:r>
      <w:r>
        <w:t>)</w:t>
      </w:r>
    </w:p>
    <w:p w14:paraId="6291C2FF" w14:textId="54F02FA8" w:rsidR="00F56C66" w:rsidRDefault="6A9027A7" w:rsidP="149CC69E">
      <w:pPr>
        <w:spacing w:afterLines="40" w:after="96"/>
        <w:ind w:left="709"/>
        <w:jc w:val="both"/>
        <w:rPr>
          <w:rFonts w:ascii="Times New Roman" w:hAnsi="Times New Roman" w:cs="Times New Roman"/>
        </w:rPr>
      </w:pPr>
      <w:r w:rsidRPr="149CC69E">
        <w:rPr>
          <w:rFonts w:ascii="Times New Roman" w:hAnsi="Times New Roman" w:cs="Times New Roman"/>
        </w:rPr>
        <w:t xml:space="preserve">Replace clause 13 with:  </w:t>
      </w:r>
    </w:p>
    <w:p w14:paraId="0C612712" w14:textId="0F82D05A" w:rsidR="6A9027A7" w:rsidRPr="00947FC9" w:rsidRDefault="6A9027A7" w:rsidP="00947FC9">
      <w:pPr>
        <w:pStyle w:val="ListParagraph"/>
        <w:numPr>
          <w:ilvl w:val="0"/>
          <w:numId w:val="5"/>
        </w:numPr>
        <w:shd w:val="clear" w:color="auto" w:fill="D9D9D9" w:themeFill="background1" w:themeFillShade="D9"/>
        <w:spacing w:after="40"/>
        <w:ind w:left="1418"/>
        <w:jc w:val="both"/>
        <w:rPr>
          <w:rFonts w:ascii="Times New Roman" w:hAnsi="Times New Roman" w:cs="Times New Roman"/>
          <w:color w:val="000000" w:themeColor="text1"/>
        </w:rPr>
      </w:pPr>
      <w:r w:rsidRPr="00947FC9">
        <w:rPr>
          <w:rFonts w:ascii="Times New Roman" w:hAnsi="Times New Roman" w:cs="Times New Roman"/>
          <w:color w:val="000000" w:themeColor="text1"/>
        </w:rPr>
        <w:t>Subclause (2) applies to applicants who have been granted Flexible Childcare Assistance under clause 9(1) of the Schedule before 1 April 2024 (an </w:t>
      </w:r>
      <w:r w:rsidRPr="00947FC9">
        <w:rPr>
          <w:rStyle w:val="Strong"/>
          <w:rFonts w:ascii="Times New Roman" w:hAnsi="Times New Roman" w:cs="Times New Roman"/>
          <w:color w:val="000000" w:themeColor="text1"/>
        </w:rPr>
        <w:t>eligible Flexible Childcare Assistance applicant</w:t>
      </w:r>
      <w:r w:rsidRPr="00947FC9">
        <w:rPr>
          <w:rFonts w:ascii="Times New Roman" w:hAnsi="Times New Roman" w:cs="Times New Roman"/>
          <w:color w:val="000000" w:themeColor="text1"/>
        </w:rPr>
        <w:t>).</w:t>
      </w:r>
    </w:p>
    <w:p w14:paraId="6053FF9C" w14:textId="1CB68F75" w:rsidR="6A9027A7" w:rsidRPr="00947FC9" w:rsidRDefault="6A9027A7" w:rsidP="00947FC9">
      <w:pPr>
        <w:pStyle w:val="ListParagraph"/>
        <w:numPr>
          <w:ilvl w:val="0"/>
          <w:numId w:val="5"/>
        </w:numPr>
        <w:shd w:val="clear" w:color="auto" w:fill="D9D9D9" w:themeFill="background1" w:themeFillShade="D9"/>
        <w:spacing w:after="40"/>
        <w:ind w:left="1418"/>
        <w:rPr>
          <w:rFonts w:ascii="Times New Roman" w:hAnsi="Times New Roman" w:cs="Times New Roman"/>
          <w:color w:val="000000" w:themeColor="text1"/>
        </w:rPr>
      </w:pPr>
      <w:r w:rsidRPr="00947FC9">
        <w:rPr>
          <w:rFonts w:ascii="Times New Roman" w:hAnsi="Times New Roman" w:cs="Times New Roman"/>
          <w:color w:val="000000" w:themeColor="text1"/>
        </w:rPr>
        <w:t xml:space="preserve">An </w:t>
      </w:r>
      <w:r w:rsidRPr="00A35667">
        <w:rPr>
          <w:rFonts w:ascii="Times New Roman" w:hAnsi="Times New Roman" w:cs="Times New Roman"/>
          <w:color w:val="000000" w:themeColor="text1"/>
        </w:rPr>
        <w:t>eligible Flexible Childcare Assistance applicant</w:t>
      </w:r>
      <w:r w:rsidR="00947FC9" w:rsidRPr="00947FC9">
        <w:t>—</w:t>
      </w:r>
    </w:p>
    <w:p w14:paraId="00CF2873" w14:textId="2A12EA46" w:rsidR="6A9027A7" w:rsidRPr="00947FC9" w:rsidRDefault="6A9027A7" w:rsidP="00947FC9">
      <w:pPr>
        <w:pStyle w:val="ListParagraph"/>
        <w:numPr>
          <w:ilvl w:val="0"/>
          <w:numId w:val="6"/>
        </w:numPr>
        <w:shd w:val="clear" w:color="auto" w:fill="D9D9D9" w:themeFill="background1" w:themeFillShade="D9"/>
        <w:spacing w:after="40"/>
        <w:jc w:val="both"/>
        <w:rPr>
          <w:rFonts w:ascii="Times New Roman" w:hAnsi="Times New Roman" w:cs="Times New Roman"/>
          <w:color w:val="000000" w:themeColor="text1"/>
        </w:rPr>
      </w:pPr>
      <w:r w:rsidRPr="00947FC9">
        <w:rPr>
          <w:rFonts w:ascii="Times New Roman" w:hAnsi="Times New Roman" w:cs="Times New Roman"/>
          <w:color w:val="000000" w:themeColor="text1"/>
        </w:rPr>
        <w:t>for whom Flexible Childcare Assistance was granted prior to 1 April 2024 but is not receiving it on 1 April 2024 may be granted an additional grant, however MSD must reduce the applicant’s 52</w:t>
      </w:r>
      <w:r w:rsidR="00391D57" w:rsidRPr="00947FC9">
        <w:rPr>
          <w:rFonts w:ascii="Times New Roman" w:hAnsi="Times New Roman" w:cs="Times New Roman"/>
          <w:color w:val="000000" w:themeColor="text1"/>
        </w:rPr>
        <w:t>-</w:t>
      </w:r>
      <w:r w:rsidRPr="00947FC9">
        <w:rPr>
          <w:rFonts w:ascii="Times New Roman" w:hAnsi="Times New Roman" w:cs="Times New Roman"/>
          <w:color w:val="000000" w:themeColor="text1"/>
        </w:rPr>
        <w:t>week maximum entitlement by the number of weeks they have previously received Flexible Childcare Assistance in respect of; or</w:t>
      </w:r>
    </w:p>
    <w:p w14:paraId="60396AAD" w14:textId="6D619F6D" w:rsidR="6A9027A7" w:rsidRPr="00947FC9" w:rsidRDefault="6A9027A7" w:rsidP="00947FC9">
      <w:pPr>
        <w:pStyle w:val="ListParagraph"/>
        <w:numPr>
          <w:ilvl w:val="0"/>
          <w:numId w:val="6"/>
        </w:numPr>
        <w:shd w:val="clear" w:color="auto" w:fill="D9D9D9" w:themeFill="background1" w:themeFillShade="D9"/>
        <w:spacing w:after="40"/>
        <w:jc w:val="both"/>
        <w:rPr>
          <w:rFonts w:ascii="Times New Roman" w:hAnsi="Times New Roman" w:cs="Times New Roman"/>
          <w:color w:val="000000" w:themeColor="text1"/>
        </w:rPr>
      </w:pPr>
      <w:r w:rsidRPr="00947FC9">
        <w:rPr>
          <w:rFonts w:ascii="Times New Roman" w:hAnsi="Times New Roman" w:cs="Times New Roman"/>
          <w:color w:val="000000" w:themeColor="text1"/>
        </w:rPr>
        <w:t xml:space="preserve">who is receiving Flexible Childcare Assistance on 1 April 2024, will continue to receive the assistance </w:t>
      </w:r>
      <w:r w:rsidRPr="00947FC9">
        <w:rPr>
          <w:rFonts w:ascii="Times New Roman" w:hAnsi="Times New Roman" w:cs="Times New Roman"/>
          <w:color w:val="000000" w:themeColor="text1"/>
        </w:rPr>
        <w:lastRenderedPageBreak/>
        <w:t>and their total entitlement increases to 52 weeks, however MSD must reduce the applicant’s 52</w:t>
      </w:r>
      <w:r w:rsidR="00391D57" w:rsidRPr="00947FC9">
        <w:rPr>
          <w:rFonts w:ascii="Times New Roman" w:hAnsi="Times New Roman" w:cs="Times New Roman"/>
          <w:color w:val="000000" w:themeColor="text1"/>
        </w:rPr>
        <w:t>-</w:t>
      </w:r>
      <w:r w:rsidRPr="00947FC9">
        <w:rPr>
          <w:rFonts w:ascii="Times New Roman" w:hAnsi="Times New Roman" w:cs="Times New Roman"/>
          <w:color w:val="000000" w:themeColor="text1"/>
        </w:rPr>
        <w:t>week maximum entitlement by the number of weeks they have already received Flexible Childcare Assistance in respect of.</w:t>
      </w:r>
    </w:p>
    <w:p w14:paraId="2366C436" w14:textId="7578C893" w:rsidR="6A9027A7" w:rsidRPr="00947FC9" w:rsidRDefault="6A9027A7" w:rsidP="00947FC9">
      <w:pPr>
        <w:pStyle w:val="ListParagraph"/>
        <w:numPr>
          <w:ilvl w:val="0"/>
          <w:numId w:val="5"/>
        </w:numPr>
        <w:shd w:val="clear" w:color="auto" w:fill="D9D9D9" w:themeFill="background1" w:themeFillShade="D9"/>
        <w:spacing w:after="40"/>
        <w:ind w:left="1560"/>
        <w:jc w:val="both"/>
        <w:rPr>
          <w:rFonts w:ascii="Times New Roman" w:hAnsi="Times New Roman" w:cs="Times New Roman"/>
          <w:color w:val="000000" w:themeColor="text1"/>
        </w:rPr>
      </w:pPr>
      <w:r w:rsidRPr="00947FC9">
        <w:rPr>
          <w:rFonts w:ascii="Times New Roman" w:hAnsi="Times New Roman" w:cs="Times New Roman"/>
          <w:color w:val="000000" w:themeColor="text1"/>
        </w:rPr>
        <w:t>For the avoidance of doubt, MSD must assess any applications for Flexible Childcare Assistance under clause 9(1) of the Schedule of this programme which were received but had not yet been granted before 1 April 2024 in accordance with the terms under clause 9A of the Schedule.</w:t>
      </w:r>
    </w:p>
    <w:p w14:paraId="191B8635" w14:textId="65B7F229" w:rsidR="6A9027A7" w:rsidRPr="00947FC9" w:rsidRDefault="6A9027A7" w:rsidP="00947FC9">
      <w:pPr>
        <w:pStyle w:val="ListParagraph"/>
        <w:numPr>
          <w:ilvl w:val="0"/>
          <w:numId w:val="5"/>
        </w:numPr>
        <w:shd w:val="clear" w:color="auto" w:fill="D9D9D9" w:themeFill="background1" w:themeFillShade="D9"/>
        <w:spacing w:after="40"/>
        <w:ind w:left="1560"/>
        <w:jc w:val="both"/>
        <w:rPr>
          <w:rFonts w:ascii="Times New Roman" w:hAnsi="Times New Roman" w:cs="Times New Roman"/>
          <w:color w:val="000000" w:themeColor="text1"/>
        </w:rPr>
      </w:pPr>
      <w:r w:rsidRPr="00947FC9">
        <w:rPr>
          <w:rFonts w:ascii="Times New Roman" w:hAnsi="Times New Roman" w:cs="Times New Roman"/>
          <w:color w:val="000000" w:themeColor="text1"/>
        </w:rPr>
        <w:t>MSD must assess any applications for an incentive payment under the now revoked clauses 6A(a)(iii) or (iv) of the Schedule of this programme which were received but not yet granted before 31 March 2025 in accordance with the terms under those clauses as they existed before 31 March 2025, however MSD may only grant assistance under th</w:t>
      </w:r>
      <w:r w:rsidR="007E3787" w:rsidRPr="00947FC9">
        <w:rPr>
          <w:rFonts w:ascii="Times New Roman" w:hAnsi="Times New Roman" w:cs="Times New Roman"/>
          <w:color w:val="000000" w:themeColor="text1"/>
        </w:rPr>
        <w:t>ose clauses</w:t>
      </w:r>
      <w:r w:rsidRPr="00947FC9">
        <w:rPr>
          <w:rFonts w:ascii="Times New Roman" w:hAnsi="Times New Roman" w:cs="Times New Roman"/>
          <w:color w:val="000000" w:themeColor="text1"/>
        </w:rPr>
        <w:t xml:space="preserve"> until </w:t>
      </w:r>
      <w:r w:rsidR="00AC1F6A" w:rsidRPr="007C2025">
        <w:rPr>
          <w:rFonts w:ascii="Times New Roman" w:hAnsi="Times New Roman" w:cs="Times New Roman"/>
          <w:color w:val="000000" w:themeColor="text1"/>
        </w:rPr>
        <w:t>close of</w:t>
      </w:r>
      <w:r w:rsidRPr="00947FC9">
        <w:rPr>
          <w:rFonts w:ascii="Times New Roman" w:hAnsi="Times New Roman" w:cs="Times New Roman"/>
          <w:color w:val="000000" w:themeColor="text1"/>
        </w:rPr>
        <w:t xml:space="preserve"> 30 April 2025. </w:t>
      </w:r>
    </w:p>
    <w:p w14:paraId="742F4BEB" w14:textId="31E780F7" w:rsidR="00CF257F" w:rsidRPr="00947FC9" w:rsidRDefault="00CF257F" w:rsidP="00947FC9">
      <w:pPr>
        <w:pStyle w:val="ListParagraph"/>
        <w:numPr>
          <w:ilvl w:val="0"/>
          <w:numId w:val="5"/>
        </w:numPr>
        <w:shd w:val="clear" w:color="auto" w:fill="D9D9D9" w:themeFill="background1" w:themeFillShade="D9"/>
        <w:spacing w:after="40"/>
        <w:ind w:left="1560"/>
        <w:jc w:val="both"/>
        <w:rPr>
          <w:rFonts w:ascii="Times New Roman" w:hAnsi="Times New Roman" w:cs="Times New Roman"/>
          <w:color w:val="000000" w:themeColor="text1"/>
        </w:rPr>
      </w:pPr>
      <w:r w:rsidRPr="00947FC9">
        <w:rPr>
          <w:rFonts w:ascii="Times New Roman" w:hAnsi="Times New Roman" w:cs="Times New Roman"/>
          <w:color w:val="000000" w:themeColor="text1"/>
        </w:rPr>
        <w:t>Despite subclause (4)</w:t>
      </w:r>
      <w:r w:rsidR="00612720" w:rsidRPr="00947FC9">
        <w:rPr>
          <w:rFonts w:ascii="Times New Roman" w:hAnsi="Times New Roman" w:cs="Times New Roman"/>
          <w:color w:val="000000" w:themeColor="text1"/>
        </w:rPr>
        <w:t xml:space="preserve">, </w:t>
      </w:r>
      <w:r w:rsidRPr="00947FC9">
        <w:rPr>
          <w:rFonts w:ascii="Times New Roman" w:hAnsi="Times New Roman" w:cs="Times New Roman"/>
          <w:color w:val="000000" w:themeColor="text1"/>
        </w:rPr>
        <w:t xml:space="preserve">MSD may grant assistance after </w:t>
      </w:r>
      <w:r w:rsidR="00AC1F6A" w:rsidRPr="007C2025">
        <w:rPr>
          <w:rFonts w:ascii="Times New Roman" w:hAnsi="Times New Roman" w:cs="Times New Roman"/>
          <w:color w:val="000000" w:themeColor="text1"/>
        </w:rPr>
        <w:t>close of</w:t>
      </w:r>
      <w:r w:rsidR="00A57517" w:rsidRPr="00947FC9">
        <w:rPr>
          <w:rFonts w:ascii="Times New Roman" w:hAnsi="Times New Roman" w:cs="Times New Roman"/>
          <w:color w:val="000000" w:themeColor="text1"/>
        </w:rPr>
        <w:t xml:space="preserve"> </w:t>
      </w:r>
      <w:r w:rsidRPr="00947FC9">
        <w:rPr>
          <w:rFonts w:ascii="Times New Roman" w:hAnsi="Times New Roman" w:cs="Times New Roman"/>
          <w:color w:val="000000" w:themeColor="text1"/>
        </w:rPr>
        <w:t>30 April 2025, if the assistance would have been granted but for a delay caused by MSD.</w:t>
      </w:r>
    </w:p>
    <w:p w14:paraId="083ABAB7" w14:textId="7EAB92AB" w:rsidR="149CC69E" w:rsidRDefault="149CC69E" w:rsidP="00947FC9">
      <w:pPr>
        <w:pStyle w:val="ListParagraph"/>
        <w:shd w:val="clear" w:color="auto" w:fill="D9D9D9" w:themeFill="background1" w:themeFillShade="D9"/>
        <w:rPr>
          <w:rFonts w:ascii="Times New Roman" w:hAnsi="Times New Roman" w:cs="Times New Roman"/>
          <w:color w:val="000000" w:themeColor="text1"/>
        </w:rPr>
      </w:pPr>
    </w:p>
    <w:p w14:paraId="6C8BE2C0" w14:textId="6BBB4032" w:rsidR="004A47AB" w:rsidRPr="00DC408A" w:rsidRDefault="001576AB" w:rsidP="00CC2A85">
      <w:pPr>
        <w:pStyle w:val="Heading1"/>
      </w:pPr>
      <w:bookmarkStart w:id="3" w:name="_Toc105490140"/>
      <w:r w:rsidRPr="00DC408A">
        <w:t>Schedule</w:t>
      </w:r>
      <w:r w:rsidR="004A47AB" w:rsidRPr="00DC408A">
        <w:t xml:space="preserve"> </w:t>
      </w:r>
      <w:proofErr w:type="gramStart"/>
      <w:r w:rsidR="004A47AB" w:rsidRPr="00DC408A">
        <w:t>amended</w:t>
      </w:r>
      <w:bookmarkEnd w:id="3"/>
      <w:proofErr w:type="gramEnd"/>
    </w:p>
    <w:p w14:paraId="73E3C96D" w14:textId="39E18A27" w:rsidR="00B26F67" w:rsidRPr="009B4311" w:rsidRDefault="00681E82" w:rsidP="00F179D0">
      <w:pPr>
        <w:pStyle w:val="ListParagraph"/>
        <w:numPr>
          <w:ilvl w:val="0"/>
          <w:numId w:val="12"/>
        </w:numPr>
        <w:spacing w:after="40"/>
        <w:ind w:left="1077" w:hanging="357"/>
        <w:jc w:val="both"/>
        <w:rPr>
          <w:rFonts w:ascii="Times New Roman" w:hAnsi="Times New Roman" w:cs="Times New Roman"/>
        </w:rPr>
      </w:pPr>
      <w:r w:rsidRPr="009B4311">
        <w:rPr>
          <w:rFonts w:ascii="Times New Roman" w:hAnsi="Times New Roman" w:cs="Times New Roman"/>
        </w:rPr>
        <w:t xml:space="preserve">In </w:t>
      </w:r>
      <w:r w:rsidR="0032163E" w:rsidRPr="009B4311">
        <w:rPr>
          <w:rFonts w:ascii="Times New Roman" w:hAnsi="Times New Roman" w:cs="Times New Roman"/>
        </w:rPr>
        <w:t>c</w:t>
      </w:r>
      <w:r w:rsidRPr="009B4311">
        <w:rPr>
          <w:rFonts w:ascii="Times New Roman" w:hAnsi="Times New Roman" w:cs="Times New Roman"/>
        </w:rPr>
        <w:t>lause 3</w:t>
      </w:r>
      <w:r w:rsidR="00014427" w:rsidRPr="009B4311">
        <w:rPr>
          <w:rFonts w:ascii="Times New Roman" w:hAnsi="Times New Roman" w:cs="Times New Roman"/>
        </w:rPr>
        <w:t>(a)</w:t>
      </w:r>
      <w:r w:rsidRPr="009B4311">
        <w:rPr>
          <w:rFonts w:ascii="Times New Roman" w:hAnsi="Times New Roman" w:cs="Times New Roman"/>
        </w:rPr>
        <w:t xml:space="preserve"> </w:t>
      </w:r>
      <w:r w:rsidR="000B67F9" w:rsidRPr="009B4311">
        <w:rPr>
          <w:rFonts w:ascii="Times New Roman" w:hAnsi="Times New Roman" w:cs="Times New Roman"/>
        </w:rPr>
        <w:t>of</w:t>
      </w:r>
      <w:r w:rsidRPr="009B4311">
        <w:rPr>
          <w:rFonts w:ascii="Times New Roman" w:hAnsi="Times New Roman" w:cs="Times New Roman"/>
        </w:rPr>
        <w:t xml:space="preserve"> the Schedule, replace </w:t>
      </w:r>
      <w:r w:rsidR="00754BA2" w:rsidRPr="009B4311">
        <w:rPr>
          <w:rFonts w:ascii="Times New Roman" w:hAnsi="Times New Roman" w:cs="Times New Roman"/>
        </w:rPr>
        <w:t>“</w:t>
      </w:r>
      <w:r w:rsidR="00014427" w:rsidRPr="009B4311">
        <w:rPr>
          <w:rFonts w:ascii="Times New Roman" w:hAnsi="Times New Roman" w:cs="Times New Roman"/>
        </w:rPr>
        <w:t>$1,000.00</w:t>
      </w:r>
      <w:r w:rsidR="00754BA2" w:rsidRPr="009B4311">
        <w:rPr>
          <w:rFonts w:ascii="Times New Roman" w:hAnsi="Times New Roman" w:cs="Times New Roman"/>
        </w:rPr>
        <w:t>”</w:t>
      </w:r>
      <w:r w:rsidR="00014427" w:rsidRPr="009B4311">
        <w:rPr>
          <w:rFonts w:ascii="Times New Roman" w:hAnsi="Times New Roman" w:cs="Times New Roman"/>
        </w:rPr>
        <w:t xml:space="preserve"> </w:t>
      </w:r>
      <w:r w:rsidR="00833CFC" w:rsidRPr="009B4311">
        <w:rPr>
          <w:rFonts w:ascii="Times New Roman" w:hAnsi="Times New Roman" w:cs="Times New Roman"/>
        </w:rPr>
        <w:t xml:space="preserve">in the </w:t>
      </w:r>
      <w:r w:rsidR="005857CF" w:rsidRPr="009B4311">
        <w:rPr>
          <w:rFonts w:ascii="Times New Roman" w:hAnsi="Times New Roman" w:cs="Times New Roman"/>
        </w:rPr>
        <w:t>“A</w:t>
      </w:r>
      <w:r w:rsidR="00833CFC" w:rsidRPr="009B4311">
        <w:rPr>
          <w:rFonts w:ascii="Times New Roman" w:hAnsi="Times New Roman" w:cs="Times New Roman"/>
        </w:rPr>
        <w:t>moun</w:t>
      </w:r>
      <w:r w:rsidR="005857CF" w:rsidRPr="009B4311">
        <w:rPr>
          <w:rFonts w:ascii="Times New Roman" w:hAnsi="Times New Roman" w:cs="Times New Roman"/>
        </w:rPr>
        <w:t>t” column</w:t>
      </w:r>
      <w:r w:rsidR="00833CFC" w:rsidRPr="009B4311">
        <w:rPr>
          <w:rFonts w:ascii="Times New Roman" w:hAnsi="Times New Roman" w:cs="Times New Roman"/>
        </w:rPr>
        <w:t xml:space="preserve"> </w:t>
      </w:r>
      <w:r w:rsidR="00B26F67" w:rsidRPr="009B4311">
        <w:rPr>
          <w:rFonts w:ascii="Times New Roman" w:hAnsi="Times New Roman" w:cs="Times New Roman"/>
        </w:rPr>
        <w:t>with</w:t>
      </w:r>
      <w:r w:rsidR="00014427" w:rsidRPr="009B4311">
        <w:rPr>
          <w:rFonts w:ascii="Times New Roman" w:hAnsi="Times New Roman" w:cs="Times New Roman"/>
        </w:rPr>
        <w:t xml:space="preserve"> </w:t>
      </w:r>
      <w:r w:rsidR="00754BA2" w:rsidRPr="009B4311">
        <w:rPr>
          <w:rFonts w:ascii="Times New Roman" w:hAnsi="Times New Roman" w:cs="Times New Roman"/>
        </w:rPr>
        <w:t>“</w:t>
      </w:r>
      <w:r w:rsidR="00014427" w:rsidRPr="009B4311">
        <w:rPr>
          <w:rFonts w:ascii="Times New Roman" w:hAnsi="Times New Roman" w:cs="Times New Roman"/>
        </w:rPr>
        <w:t>$1,000</w:t>
      </w:r>
      <w:r w:rsidR="00754BA2" w:rsidRPr="009B4311">
        <w:rPr>
          <w:rFonts w:ascii="Times New Roman" w:hAnsi="Times New Roman" w:cs="Times New Roman"/>
        </w:rPr>
        <w:t>”</w:t>
      </w:r>
      <w:r w:rsidR="00014427" w:rsidRPr="009B4311">
        <w:rPr>
          <w:rFonts w:ascii="Times New Roman" w:hAnsi="Times New Roman" w:cs="Times New Roman"/>
        </w:rPr>
        <w:t>.</w:t>
      </w:r>
    </w:p>
    <w:p w14:paraId="4F205BAD" w14:textId="43A8C986" w:rsidR="00014427" w:rsidRPr="009B4311" w:rsidRDefault="00014427" w:rsidP="00F179D0">
      <w:pPr>
        <w:pStyle w:val="ListParagraph"/>
        <w:numPr>
          <w:ilvl w:val="0"/>
          <w:numId w:val="12"/>
        </w:numPr>
        <w:spacing w:after="40"/>
        <w:ind w:left="1077" w:hanging="357"/>
        <w:jc w:val="both"/>
        <w:rPr>
          <w:rFonts w:ascii="Times New Roman" w:hAnsi="Times New Roman" w:cs="Times New Roman"/>
        </w:rPr>
      </w:pPr>
      <w:r w:rsidRPr="009B4311">
        <w:rPr>
          <w:rFonts w:ascii="Times New Roman" w:hAnsi="Times New Roman" w:cs="Times New Roman"/>
        </w:rPr>
        <w:t xml:space="preserve">In clause 3(b) </w:t>
      </w:r>
      <w:r w:rsidR="000B67F9" w:rsidRPr="009B4311">
        <w:rPr>
          <w:rFonts w:ascii="Times New Roman" w:hAnsi="Times New Roman" w:cs="Times New Roman"/>
        </w:rPr>
        <w:t>of</w:t>
      </w:r>
      <w:r w:rsidRPr="009B4311">
        <w:rPr>
          <w:rFonts w:ascii="Times New Roman" w:hAnsi="Times New Roman" w:cs="Times New Roman"/>
        </w:rPr>
        <w:t xml:space="preserve"> the Schedule, replace </w:t>
      </w:r>
      <w:r w:rsidR="00754BA2" w:rsidRPr="009B4311">
        <w:rPr>
          <w:rFonts w:ascii="Times New Roman" w:hAnsi="Times New Roman" w:cs="Times New Roman"/>
        </w:rPr>
        <w:t>“</w:t>
      </w:r>
      <w:r w:rsidRPr="009B4311">
        <w:rPr>
          <w:rFonts w:ascii="Times New Roman" w:hAnsi="Times New Roman" w:cs="Times New Roman"/>
        </w:rPr>
        <w:t>$5,000.00</w:t>
      </w:r>
      <w:r w:rsidR="00754BA2" w:rsidRPr="009B4311">
        <w:rPr>
          <w:rFonts w:ascii="Times New Roman" w:hAnsi="Times New Roman" w:cs="Times New Roman"/>
        </w:rPr>
        <w:t>”</w:t>
      </w:r>
      <w:r w:rsidRPr="009B4311">
        <w:rPr>
          <w:rFonts w:ascii="Times New Roman" w:hAnsi="Times New Roman" w:cs="Times New Roman"/>
        </w:rPr>
        <w:t xml:space="preserve"> </w:t>
      </w:r>
      <w:r w:rsidR="000B67F9" w:rsidRPr="009B4311">
        <w:rPr>
          <w:rFonts w:ascii="Times New Roman" w:hAnsi="Times New Roman" w:cs="Times New Roman"/>
        </w:rPr>
        <w:t xml:space="preserve">in the “Amount” column </w:t>
      </w:r>
      <w:r w:rsidRPr="009B4311">
        <w:rPr>
          <w:rFonts w:ascii="Times New Roman" w:hAnsi="Times New Roman" w:cs="Times New Roman"/>
        </w:rPr>
        <w:t xml:space="preserve">with </w:t>
      </w:r>
      <w:r w:rsidR="00754BA2" w:rsidRPr="009B4311">
        <w:rPr>
          <w:rFonts w:ascii="Times New Roman" w:hAnsi="Times New Roman" w:cs="Times New Roman"/>
        </w:rPr>
        <w:t>“</w:t>
      </w:r>
      <w:r w:rsidRPr="009B4311">
        <w:rPr>
          <w:rFonts w:ascii="Times New Roman" w:hAnsi="Times New Roman" w:cs="Times New Roman"/>
        </w:rPr>
        <w:t>$5,000</w:t>
      </w:r>
      <w:r w:rsidR="00754BA2" w:rsidRPr="009B4311">
        <w:rPr>
          <w:rFonts w:ascii="Times New Roman" w:hAnsi="Times New Roman" w:cs="Times New Roman"/>
        </w:rPr>
        <w:t>”</w:t>
      </w:r>
      <w:r w:rsidR="00947FC9">
        <w:rPr>
          <w:rFonts w:ascii="Times New Roman" w:hAnsi="Times New Roman" w:cs="Times New Roman"/>
        </w:rPr>
        <w:t>.</w:t>
      </w:r>
    </w:p>
    <w:p w14:paraId="4ADC894B" w14:textId="3AED9DCD" w:rsidR="00014427" w:rsidRPr="009B4311" w:rsidRDefault="00014427" w:rsidP="00296516">
      <w:pPr>
        <w:pStyle w:val="ListParagraph"/>
        <w:numPr>
          <w:ilvl w:val="0"/>
          <w:numId w:val="12"/>
        </w:numPr>
        <w:spacing w:after="40"/>
        <w:jc w:val="both"/>
        <w:rPr>
          <w:rFonts w:ascii="Times New Roman" w:hAnsi="Times New Roman" w:cs="Times New Roman"/>
        </w:rPr>
      </w:pPr>
      <w:r w:rsidRPr="009B4311">
        <w:rPr>
          <w:rFonts w:ascii="Times New Roman" w:hAnsi="Times New Roman" w:cs="Times New Roman"/>
        </w:rPr>
        <w:t xml:space="preserve">In clause 6(1) </w:t>
      </w:r>
      <w:r w:rsidR="00E73D1D" w:rsidRPr="009B4311">
        <w:rPr>
          <w:rFonts w:ascii="Times New Roman" w:hAnsi="Times New Roman" w:cs="Times New Roman"/>
        </w:rPr>
        <w:t>of the Schedule</w:t>
      </w:r>
      <w:r w:rsidR="003A4111" w:rsidRPr="009B4311">
        <w:rPr>
          <w:rFonts w:ascii="Times New Roman" w:hAnsi="Times New Roman" w:cs="Times New Roman"/>
        </w:rPr>
        <w:t>,</w:t>
      </w:r>
      <w:r w:rsidR="00E73D1D" w:rsidRPr="009B4311">
        <w:rPr>
          <w:rFonts w:ascii="Times New Roman" w:hAnsi="Times New Roman" w:cs="Times New Roman"/>
        </w:rPr>
        <w:t xml:space="preserve"> </w:t>
      </w:r>
      <w:r w:rsidRPr="009B4311">
        <w:rPr>
          <w:rFonts w:ascii="Times New Roman" w:hAnsi="Times New Roman" w:cs="Times New Roman"/>
        </w:rPr>
        <w:t xml:space="preserve">replace </w:t>
      </w:r>
      <w:r w:rsidR="00754BA2" w:rsidRPr="009B4311">
        <w:rPr>
          <w:rFonts w:ascii="Times New Roman" w:hAnsi="Times New Roman" w:cs="Times New Roman"/>
        </w:rPr>
        <w:t>“</w:t>
      </w:r>
      <w:r w:rsidRPr="009B4311">
        <w:rPr>
          <w:rFonts w:ascii="Times New Roman" w:hAnsi="Times New Roman" w:cs="Times New Roman"/>
        </w:rPr>
        <w:t>$1,500.00</w:t>
      </w:r>
      <w:r w:rsidR="00754BA2" w:rsidRPr="009B4311">
        <w:rPr>
          <w:rFonts w:ascii="Times New Roman" w:hAnsi="Times New Roman" w:cs="Times New Roman"/>
        </w:rPr>
        <w:t>”</w:t>
      </w:r>
      <w:r w:rsidR="00E73D1D" w:rsidRPr="009B4311">
        <w:rPr>
          <w:rFonts w:ascii="Times New Roman" w:hAnsi="Times New Roman" w:cs="Times New Roman"/>
        </w:rPr>
        <w:t xml:space="preserve"> in the </w:t>
      </w:r>
      <w:r w:rsidR="003A4111" w:rsidRPr="009B4311">
        <w:rPr>
          <w:rFonts w:ascii="Times New Roman" w:hAnsi="Times New Roman" w:cs="Times New Roman"/>
        </w:rPr>
        <w:t>“</w:t>
      </w:r>
      <w:r w:rsidR="003019F7" w:rsidRPr="009B4311">
        <w:rPr>
          <w:rFonts w:ascii="Times New Roman" w:hAnsi="Times New Roman" w:cs="Times New Roman"/>
        </w:rPr>
        <w:t>A</w:t>
      </w:r>
      <w:r w:rsidR="00E73D1D" w:rsidRPr="009B4311">
        <w:rPr>
          <w:rFonts w:ascii="Times New Roman" w:hAnsi="Times New Roman" w:cs="Times New Roman"/>
        </w:rPr>
        <w:t>mount</w:t>
      </w:r>
      <w:r w:rsidR="003A4111" w:rsidRPr="009B4311">
        <w:rPr>
          <w:rFonts w:ascii="Times New Roman" w:hAnsi="Times New Roman" w:cs="Times New Roman"/>
        </w:rPr>
        <w:t>”</w:t>
      </w:r>
      <w:r w:rsidR="00E73D1D" w:rsidRPr="009B4311">
        <w:rPr>
          <w:rFonts w:ascii="Times New Roman" w:hAnsi="Times New Roman" w:cs="Times New Roman"/>
        </w:rPr>
        <w:t xml:space="preserve"> column with </w:t>
      </w:r>
      <w:r w:rsidR="00754BA2" w:rsidRPr="009B4311">
        <w:rPr>
          <w:rFonts w:ascii="Times New Roman" w:hAnsi="Times New Roman" w:cs="Times New Roman"/>
        </w:rPr>
        <w:t>“</w:t>
      </w:r>
      <w:r w:rsidRPr="009B4311">
        <w:rPr>
          <w:rFonts w:ascii="Times New Roman" w:hAnsi="Times New Roman" w:cs="Times New Roman"/>
        </w:rPr>
        <w:t>$1,500</w:t>
      </w:r>
      <w:r w:rsidR="00754BA2" w:rsidRPr="009B4311">
        <w:rPr>
          <w:rFonts w:ascii="Times New Roman" w:hAnsi="Times New Roman" w:cs="Times New Roman"/>
        </w:rPr>
        <w:t>”</w:t>
      </w:r>
      <w:r w:rsidR="00F6135A" w:rsidRPr="009B4311">
        <w:rPr>
          <w:rFonts w:ascii="Times New Roman" w:hAnsi="Times New Roman" w:cs="Times New Roman"/>
        </w:rPr>
        <w:t>.</w:t>
      </w:r>
      <w:r w:rsidRPr="009B4311">
        <w:rPr>
          <w:rFonts w:ascii="Times New Roman" w:hAnsi="Times New Roman" w:cs="Times New Roman"/>
        </w:rPr>
        <w:t xml:space="preserve"> </w:t>
      </w:r>
    </w:p>
    <w:p w14:paraId="55C5EF7E" w14:textId="17646547" w:rsidR="00711B28" w:rsidRPr="009B4311" w:rsidRDefault="00711B28" w:rsidP="00296516">
      <w:pPr>
        <w:pStyle w:val="ListParagraph"/>
        <w:numPr>
          <w:ilvl w:val="0"/>
          <w:numId w:val="12"/>
        </w:numPr>
        <w:spacing w:after="40"/>
        <w:jc w:val="both"/>
        <w:rPr>
          <w:rFonts w:ascii="Times New Roman" w:hAnsi="Times New Roman" w:cs="Times New Roman"/>
        </w:rPr>
      </w:pPr>
      <w:r w:rsidRPr="009B4311">
        <w:rPr>
          <w:rFonts w:ascii="Times New Roman" w:hAnsi="Times New Roman" w:cs="Times New Roman"/>
        </w:rPr>
        <w:t xml:space="preserve">In clause 6(1)(f) </w:t>
      </w:r>
      <w:r w:rsidR="003A4111" w:rsidRPr="009B4311">
        <w:rPr>
          <w:rFonts w:ascii="Times New Roman" w:hAnsi="Times New Roman" w:cs="Times New Roman"/>
        </w:rPr>
        <w:t xml:space="preserve">of the Schedule, </w:t>
      </w:r>
      <w:r w:rsidRPr="009B4311">
        <w:rPr>
          <w:rFonts w:ascii="Times New Roman" w:hAnsi="Times New Roman" w:cs="Times New Roman"/>
        </w:rPr>
        <w:t>replace “his or her” with “their”</w:t>
      </w:r>
      <w:r w:rsidR="00754BA2" w:rsidRPr="009B4311">
        <w:rPr>
          <w:rFonts w:ascii="Times New Roman" w:hAnsi="Times New Roman" w:cs="Times New Roman"/>
        </w:rPr>
        <w:t>.</w:t>
      </w:r>
    </w:p>
    <w:p w14:paraId="3932DB7F" w14:textId="48D0797A" w:rsidR="00014427" w:rsidRPr="009B4311" w:rsidRDefault="00014427" w:rsidP="00296516">
      <w:pPr>
        <w:pStyle w:val="ListParagraph"/>
        <w:numPr>
          <w:ilvl w:val="0"/>
          <w:numId w:val="12"/>
        </w:numPr>
        <w:spacing w:after="40"/>
        <w:jc w:val="both"/>
        <w:rPr>
          <w:rFonts w:ascii="Times New Roman" w:hAnsi="Times New Roman" w:cs="Times New Roman"/>
        </w:rPr>
      </w:pPr>
      <w:r w:rsidRPr="009B4311">
        <w:rPr>
          <w:rFonts w:ascii="Times New Roman" w:hAnsi="Times New Roman" w:cs="Times New Roman"/>
        </w:rPr>
        <w:t xml:space="preserve">In clause 6(2)(a) </w:t>
      </w:r>
      <w:r w:rsidR="003A4111" w:rsidRPr="009B4311">
        <w:rPr>
          <w:rFonts w:ascii="Times New Roman" w:hAnsi="Times New Roman" w:cs="Times New Roman"/>
        </w:rPr>
        <w:t xml:space="preserve">of the Schedule, </w:t>
      </w:r>
      <w:r w:rsidRPr="009B4311">
        <w:rPr>
          <w:rFonts w:ascii="Times New Roman" w:hAnsi="Times New Roman" w:cs="Times New Roman"/>
        </w:rPr>
        <w:t xml:space="preserve">replace </w:t>
      </w:r>
      <w:r w:rsidR="00754BA2" w:rsidRPr="009B4311">
        <w:rPr>
          <w:rFonts w:ascii="Times New Roman" w:hAnsi="Times New Roman" w:cs="Times New Roman"/>
        </w:rPr>
        <w:t>“</w:t>
      </w:r>
      <w:r w:rsidRPr="009B4311">
        <w:rPr>
          <w:rFonts w:ascii="Times New Roman" w:hAnsi="Times New Roman" w:cs="Times New Roman"/>
        </w:rPr>
        <w:t>$500.00</w:t>
      </w:r>
      <w:r w:rsidR="00754BA2" w:rsidRPr="009B4311">
        <w:rPr>
          <w:rFonts w:ascii="Times New Roman" w:hAnsi="Times New Roman" w:cs="Times New Roman"/>
        </w:rPr>
        <w:t>”</w:t>
      </w:r>
      <w:r w:rsidRPr="009B4311">
        <w:rPr>
          <w:rFonts w:ascii="Times New Roman" w:hAnsi="Times New Roman" w:cs="Times New Roman"/>
        </w:rPr>
        <w:t xml:space="preserve"> with </w:t>
      </w:r>
      <w:r w:rsidR="00754BA2" w:rsidRPr="009B4311">
        <w:rPr>
          <w:rFonts w:ascii="Times New Roman" w:hAnsi="Times New Roman" w:cs="Times New Roman"/>
        </w:rPr>
        <w:t>“</w:t>
      </w:r>
      <w:r w:rsidRPr="009B4311">
        <w:rPr>
          <w:rFonts w:ascii="Times New Roman" w:hAnsi="Times New Roman" w:cs="Times New Roman"/>
        </w:rPr>
        <w:t>$500</w:t>
      </w:r>
      <w:r w:rsidR="00754BA2" w:rsidRPr="009B4311">
        <w:rPr>
          <w:rFonts w:ascii="Times New Roman" w:hAnsi="Times New Roman" w:cs="Times New Roman"/>
        </w:rPr>
        <w:t>”.</w:t>
      </w:r>
    </w:p>
    <w:p w14:paraId="29760456" w14:textId="1CBDD558" w:rsidR="00DC408A" w:rsidRPr="00655E22" w:rsidRDefault="00DC408A" w:rsidP="00F179D0">
      <w:pPr>
        <w:pStyle w:val="ListParagraph"/>
        <w:numPr>
          <w:ilvl w:val="0"/>
          <w:numId w:val="12"/>
        </w:numPr>
        <w:jc w:val="both"/>
        <w:rPr>
          <w:rFonts w:ascii="Times New Roman" w:hAnsi="Times New Roman" w:cs="Times New Roman"/>
        </w:rPr>
      </w:pPr>
      <w:r w:rsidRPr="00655E22">
        <w:rPr>
          <w:rFonts w:ascii="Times New Roman" w:hAnsi="Times New Roman" w:cs="Times New Roman"/>
        </w:rPr>
        <w:t>Replace clause 6A(a) with:</w:t>
      </w:r>
    </w:p>
    <w:tbl>
      <w:tblPr>
        <w:tblStyle w:val="GridTable1Light"/>
        <w:tblW w:w="5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4773"/>
        <w:gridCol w:w="399"/>
      </w:tblGrid>
      <w:tr w:rsidR="00DC408A" w14:paraId="1E4C278C" w14:textId="77777777" w:rsidTr="00BE1584">
        <w:trPr>
          <w:trHeight w:val="378"/>
        </w:trPr>
        <w:tc>
          <w:tcPr>
            <w:cnfStyle w:val="001000000000" w:firstRow="0" w:lastRow="0" w:firstColumn="1" w:lastColumn="0" w:oddVBand="0" w:evenVBand="0" w:oddHBand="0" w:evenHBand="0" w:firstRowFirstColumn="0" w:firstRowLastColumn="0" w:lastRowFirstColumn="0" w:lastRowLastColumn="0"/>
            <w:tcW w:w="4773" w:type="dxa"/>
          </w:tcPr>
          <w:p w14:paraId="6E48D8FE" w14:textId="63DDE796" w:rsidR="00DC408A" w:rsidRPr="00ED138E" w:rsidRDefault="00DC408A" w:rsidP="007E3787">
            <w:pPr>
              <w:pStyle w:val="BodyText1"/>
              <w:shd w:val="clear" w:color="auto" w:fill="D9D9D9" w:themeFill="background1" w:themeFillShade="D9"/>
              <w:ind w:left="1134" w:right="-427" w:hanging="351"/>
              <w:rPr>
                <w:b w:val="0"/>
                <w:bCs w:val="0"/>
              </w:rPr>
            </w:pPr>
            <w:r w:rsidRPr="00ED138E">
              <w:rPr>
                <w:b w:val="0"/>
                <w:bCs w:val="0"/>
              </w:rPr>
              <w:t>(a)</w:t>
            </w:r>
            <w:r w:rsidRPr="00ED138E">
              <w:rPr>
                <w:b w:val="0"/>
                <w:bCs w:val="0"/>
              </w:rPr>
              <w:tab/>
              <w:t>Incentive payments</w:t>
            </w:r>
          </w:p>
          <w:p w14:paraId="7BB968DA" w14:textId="77777777" w:rsidR="00DC408A" w:rsidRPr="00ED138E" w:rsidRDefault="00DC408A" w:rsidP="007E3787">
            <w:pPr>
              <w:pStyle w:val="BodyText1"/>
              <w:shd w:val="clear" w:color="auto" w:fill="D9D9D9" w:themeFill="background1" w:themeFillShade="D9"/>
              <w:ind w:left="924"/>
              <w:rPr>
                <w:b w:val="0"/>
                <w:bCs w:val="0"/>
              </w:rPr>
            </w:pPr>
            <w:r w:rsidRPr="00ED138E">
              <w:rPr>
                <w:b w:val="0"/>
                <w:bCs w:val="0"/>
              </w:rPr>
              <w:t>A payment to an eligible person as an incentive for that person to do one or more of the following activities:</w:t>
            </w:r>
          </w:p>
          <w:p w14:paraId="12F878A5" w14:textId="393C3456" w:rsidR="00DC408A" w:rsidRPr="00ED138E" w:rsidRDefault="00DC408A" w:rsidP="007E3787">
            <w:pPr>
              <w:pStyle w:val="BodyText1"/>
              <w:numPr>
                <w:ilvl w:val="0"/>
                <w:numId w:val="2"/>
              </w:numPr>
              <w:shd w:val="clear" w:color="auto" w:fill="D9D9D9" w:themeFill="background1" w:themeFillShade="D9"/>
              <w:ind w:left="1306" w:hanging="382"/>
              <w:rPr>
                <w:b w:val="0"/>
                <w:bCs w:val="0"/>
              </w:rPr>
            </w:pPr>
            <w:r w:rsidRPr="00ED138E">
              <w:rPr>
                <w:b w:val="0"/>
                <w:bCs w:val="0"/>
              </w:rPr>
              <w:t>enter or retain employment:</w:t>
            </w:r>
          </w:p>
          <w:p w14:paraId="613918BF" w14:textId="55B086C8" w:rsidR="00DC408A" w:rsidRPr="00ED138E" w:rsidRDefault="00DC408A" w:rsidP="007E3787">
            <w:pPr>
              <w:pStyle w:val="BodyText1"/>
              <w:numPr>
                <w:ilvl w:val="0"/>
                <w:numId w:val="2"/>
              </w:numPr>
              <w:shd w:val="clear" w:color="auto" w:fill="D9D9D9" w:themeFill="background1" w:themeFillShade="D9"/>
              <w:ind w:left="1306" w:hanging="382"/>
              <w:rPr>
                <w:b w:val="0"/>
                <w:bCs w:val="0"/>
              </w:rPr>
            </w:pPr>
            <w:r w:rsidRPr="00ED138E">
              <w:rPr>
                <w:b w:val="0"/>
                <w:bCs w:val="0"/>
              </w:rPr>
              <w:t>take up an offer of suitable employment:</w:t>
            </w:r>
          </w:p>
          <w:p w14:paraId="169FC302" w14:textId="20F4420C" w:rsidR="00DC408A" w:rsidRPr="00ED138E" w:rsidRDefault="00DC408A" w:rsidP="007E3787">
            <w:pPr>
              <w:pStyle w:val="BodyText1"/>
              <w:numPr>
                <w:ilvl w:val="0"/>
                <w:numId w:val="2"/>
              </w:numPr>
              <w:shd w:val="clear" w:color="auto" w:fill="D9D9D9" w:themeFill="background1" w:themeFillShade="D9"/>
              <w:ind w:left="1306" w:hanging="382"/>
              <w:rPr>
                <w:b w:val="0"/>
                <w:bCs w:val="0"/>
              </w:rPr>
            </w:pPr>
            <w:r w:rsidRPr="00ED138E">
              <w:rPr>
                <w:b w:val="0"/>
                <w:bCs w:val="0"/>
              </w:rPr>
              <w:t>gain employment skills:</w:t>
            </w:r>
          </w:p>
          <w:p w14:paraId="648E387B" w14:textId="1E9A6595" w:rsidR="00DC408A" w:rsidRPr="00ED138E" w:rsidRDefault="00DC408A" w:rsidP="007E3787">
            <w:pPr>
              <w:pStyle w:val="BodyText1"/>
              <w:numPr>
                <w:ilvl w:val="0"/>
                <w:numId w:val="2"/>
              </w:numPr>
              <w:shd w:val="clear" w:color="auto" w:fill="D9D9D9" w:themeFill="background1" w:themeFillShade="D9"/>
              <w:ind w:left="1306" w:hanging="382"/>
              <w:rPr>
                <w:b w:val="0"/>
                <w:bCs w:val="0"/>
              </w:rPr>
            </w:pPr>
            <w:r w:rsidRPr="00ED138E">
              <w:rPr>
                <w:b w:val="0"/>
                <w:bCs w:val="0"/>
              </w:rPr>
              <w:t xml:space="preserve">enter into study or employment- related </w:t>
            </w:r>
            <w:proofErr w:type="gramStart"/>
            <w:r w:rsidRPr="00ED138E">
              <w:rPr>
                <w:b w:val="0"/>
                <w:bCs w:val="0"/>
              </w:rPr>
              <w:t>training</w:t>
            </w:r>
            <w:proofErr w:type="gramEnd"/>
          </w:p>
          <w:p w14:paraId="0A08D542" w14:textId="31804D6A" w:rsidR="00014427" w:rsidRPr="00BD0ADF" w:rsidRDefault="00014427" w:rsidP="00F179D0">
            <w:pPr>
              <w:spacing w:afterLines="40" w:after="96"/>
              <w:ind w:left="720"/>
              <w:jc w:val="both"/>
              <w:rPr>
                <w:b w:val="0"/>
                <w:bCs w:val="0"/>
              </w:rPr>
            </w:pPr>
          </w:p>
        </w:tc>
        <w:tc>
          <w:tcPr>
            <w:tcW w:w="399" w:type="dxa"/>
          </w:tcPr>
          <w:p w14:paraId="0FE9FAEE" w14:textId="586FCA76" w:rsidR="00DC408A" w:rsidRPr="00BD0ADF" w:rsidRDefault="00DC408A" w:rsidP="00F179D0">
            <w:pPr>
              <w:pStyle w:val="BodyText1"/>
              <w:ind w:left="0"/>
              <w:cnfStyle w:val="000000000000" w:firstRow="0" w:lastRow="0" w:firstColumn="0" w:lastColumn="0" w:oddVBand="0" w:evenVBand="0" w:oddHBand="0" w:evenHBand="0" w:firstRowFirstColumn="0" w:firstRowLastColumn="0" w:lastRowFirstColumn="0" w:lastRowLastColumn="0"/>
            </w:pPr>
          </w:p>
        </w:tc>
      </w:tr>
    </w:tbl>
    <w:p w14:paraId="13B22911" w14:textId="629A37BD" w:rsidR="00C61B52" w:rsidRPr="009B4311" w:rsidRDefault="00F179D0" w:rsidP="00296516">
      <w:pPr>
        <w:pStyle w:val="ListParagraph"/>
        <w:numPr>
          <w:ilvl w:val="0"/>
          <w:numId w:val="12"/>
        </w:numPr>
        <w:spacing w:after="40"/>
        <w:jc w:val="both"/>
        <w:rPr>
          <w:rFonts w:ascii="Times New Roman" w:hAnsi="Times New Roman" w:cs="Times New Roman"/>
        </w:rPr>
      </w:pPr>
      <w:r>
        <w:rPr>
          <w:rFonts w:ascii="Times New Roman" w:hAnsi="Times New Roman" w:cs="Times New Roman"/>
        </w:rPr>
        <w:lastRenderedPageBreak/>
        <w:t xml:space="preserve"> </w:t>
      </w:r>
      <w:r w:rsidR="00CB3AB5" w:rsidRPr="009B4311">
        <w:rPr>
          <w:rFonts w:ascii="Times New Roman" w:hAnsi="Times New Roman" w:cs="Times New Roman"/>
        </w:rPr>
        <w:t xml:space="preserve">In clause </w:t>
      </w:r>
      <w:r w:rsidR="00DD1DD1" w:rsidRPr="009B4311">
        <w:rPr>
          <w:rFonts w:ascii="Times New Roman" w:hAnsi="Times New Roman" w:cs="Times New Roman"/>
        </w:rPr>
        <w:t>6A</w:t>
      </w:r>
      <w:r w:rsidR="00BE7DD7" w:rsidRPr="009B4311">
        <w:rPr>
          <w:rFonts w:ascii="Times New Roman" w:hAnsi="Times New Roman" w:cs="Times New Roman"/>
        </w:rPr>
        <w:t xml:space="preserve">(a) </w:t>
      </w:r>
      <w:r w:rsidR="000D5404" w:rsidRPr="009B4311">
        <w:rPr>
          <w:rFonts w:ascii="Times New Roman" w:hAnsi="Times New Roman" w:cs="Times New Roman"/>
        </w:rPr>
        <w:t>of the Schedule</w:t>
      </w:r>
      <w:r w:rsidR="000E0888" w:rsidRPr="009B4311">
        <w:rPr>
          <w:rFonts w:ascii="Times New Roman" w:hAnsi="Times New Roman" w:cs="Times New Roman"/>
        </w:rPr>
        <w:t>, replace</w:t>
      </w:r>
      <w:r w:rsidR="008A3CF9" w:rsidRPr="009B4311">
        <w:rPr>
          <w:rFonts w:ascii="Times New Roman" w:hAnsi="Times New Roman" w:cs="Times New Roman"/>
        </w:rPr>
        <w:t xml:space="preserve"> “</w:t>
      </w:r>
      <w:r w:rsidR="001A0C50" w:rsidRPr="009B4311">
        <w:rPr>
          <w:rFonts w:ascii="Times New Roman" w:hAnsi="Times New Roman" w:cs="Times New Roman"/>
        </w:rPr>
        <w:t xml:space="preserve">$5,000” in the </w:t>
      </w:r>
      <w:r w:rsidR="00AC4722" w:rsidRPr="009B4311">
        <w:rPr>
          <w:rFonts w:ascii="Times New Roman" w:hAnsi="Times New Roman" w:cs="Times New Roman"/>
        </w:rPr>
        <w:t>“Amount” column with “$3</w:t>
      </w:r>
      <w:r w:rsidR="00391D57">
        <w:rPr>
          <w:rFonts w:ascii="Times New Roman" w:hAnsi="Times New Roman" w:cs="Times New Roman"/>
        </w:rPr>
        <w:t>,</w:t>
      </w:r>
      <w:r w:rsidR="00AC4722" w:rsidRPr="009B4311">
        <w:rPr>
          <w:rFonts w:ascii="Times New Roman" w:hAnsi="Times New Roman" w:cs="Times New Roman"/>
        </w:rPr>
        <w:t>000”.</w:t>
      </w:r>
    </w:p>
    <w:p w14:paraId="6A45CDAB" w14:textId="6E6CCFC1" w:rsidR="00711B28" w:rsidRPr="009B4311" w:rsidRDefault="00711B28" w:rsidP="00296516">
      <w:pPr>
        <w:pStyle w:val="ListParagraph"/>
        <w:numPr>
          <w:ilvl w:val="0"/>
          <w:numId w:val="12"/>
        </w:numPr>
        <w:spacing w:after="40"/>
        <w:jc w:val="both"/>
        <w:rPr>
          <w:rFonts w:ascii="Times New Roman" w:hAnsi="Times New Roman" w:cs="Times New Roman"/>
        </w:rPr>
      </w:pPr>
      <w:r w:rsidRPr="009B4311">
        <w:rPr>
          <w:rFonts w:ascii="Times New Roman" w:hAnsi="Times New Roman" w:cs="Times New Roman"/>
        </w:rPr>
        <w:t xml:space="preserve">In clause 8(a) </w:t>
      </w:r>
      <w:r w:rsidR="00035D86" w:rsidRPr="009B4311">
        <w:rPr>
          <w:rFonts w:ascii="Times New Roman" w:hAnsi="Times New Roman" w:cs="Times New Roman"/>
        </w:rPr>
        <w:t>of the Schedule</w:t>
      </w:r>
      <w:r w:rsidR="001D1010" w:rsidRPr="009B4311">
        <w:rPr>
          <w:rFonts w:ascii="Times New Roman" w:hAnsi="Times New Roman" w:cs="Times New Roman"/>
        </w:rPr>
        <w:t xml:space="preserve">, </w:t>
      </w:r>
      <w:r w:rsidRPr="009B4311">
        <w:rPr>
          <w:rFonts w:ascii="Times New Roman" w:hAnsi="Times New Roman" w:cs="Times New Roman"/>
        </w:rPr>
        <w:t>replace “preparatory</w:t>
      </w:r>
      <w:r w:rsidR="00F55E63">
        <w:rPr>
          <w:rFonts w:ascii="Times New Roman" w:hAnsi="Times New Roman" w:cs="Times New Roman"/>
        </w:rPr>
        <w:t xml:space="preserve"> to entering</w:t>
      </w:r>
      <w:r w:rsidRPr="009B4311">
        <w:rPr>
          <w:rFonts w:ascii="Times New Roman" w:hAnsi="Times New Roman" w:cs="Times New Roman"/>
        </w:rPr>
        <w:t>” with “for preparing</w:t>
      </w:r>
      <w:r w:rsidR="00F55E63">
        <w:rPr>
          <w:rFonts w:ascii="Times New Roman" w:hAnsi="Times New Roman" w:cs="Times New Roman"/>
        </w:rPr>
        <w:t xml:space="preserve"> to enter</w:t>
      </w:r>
      <w:r w:rsidRPr="009B4311">
        <w:rPr>
          <w:rFonts w:ascii="Times New Roman" w:hAnsi="Times New Roman" w:cs="Times New Roman"/>
        </w:rPr>
        <w:t>”</w:t>
      </w:r>
      <w:r w:rsidR="00F6135A" w:rsidRPr="009B4311">
        <w:rPr>
          <w:rFonts w:ascii="Times New Roman" w:hAnsi="Times New Roman" w:cs="Times New Roman"/>
        </w:rPr>
        <w:t>.</w:t>
      </w:r>
    </w:p>
    <w:p w14:paraId="4EFC1EAD" w14:textId="00D11FA1" w:rsidR="00014427" w:rsidRPr="009B4311" w:rsidRDefault="00014427" w:rsidP="00296516">
      <w:pPr>
        <w:pStyle w:val="ListParagraph"/>
        <w:numPr>
          <w:ilvl w:val="0"/>
          <w:numId w:val="12"/>
        </w:numPr>
        <w:spacing w:after="40"/>
        <w:jc w:val="both"/>
        <w:rPr>
          <w:rFonts w:ascii="Times New Roman" w:hAnsi="Times New Roman" w:cs="Times New Roman"/>
        </w:rPr>
      </w:pPr>
      <w:r w:rsidRPr="009B4311">
        <w:rPr>
          <w:rFonts w:ascii="Times New Roman" w:hAnsi="Times New Roman" w:cs="Times New Roman"/>
        </w:rPr>
        <w:t>In clause 8(b)</w:t>
      </w:r>
      <w:r w:rsidR="00DA329B" w:rsidRPr="009B4311">
        <w:rPr>
          <w:rFonts w:ascii="Times New Roman" w:hAnsi="Times New Roman" w:cs="Times New Roman"/>
        </w:rPr>
        <w:t xml:space="preserve"> </w:t>
      </w:r>
      <w:r w:rsidR="00C14834" w:rsidRPr="009B4311">
        <w:rPr>
          <w:rFonts w:ascii="Times New Roman" w:hAnsi="Times New Roman" w:cs="Times New Roman"/>
        </w:rPr>
        <w:t xml:space="preserve">of the Schedule, </w:t>
      </w:r>
      <w:r w:rsidR="00DA329B" w:rsidRPr="009B4311">
        <w:rPr>
          <w:rFonts w:ascii="Times New Roman" w:hAnsi="Times New Roman" w:cs="Times New Roman"/>
        </w:rPr>
        <w:t xml:space="preserve">replace </w:t>
      </w:r>
      <w:r w:rsidR="00754BA2" w:rsidRPr="009B4311">
        <w:rPr>
          <w:rFonts w:ascii="Times New Roman" w:hAnsi="Times New Roman" w:cs="Times New Roman"/>
        </w:rPr>
        <w:t>“</w:t>
      </w:r>
      <w:r w:rsidR="00DA329B" w:rsidRPr="009B4311">
        <w:rPr>
          <w:rFonts w:ascii="Times New Roman" w:hAnsi="Times New Roman" w:cs="Times New Roman"/>
        </w:rPr>
        <w:t>$10,000.00</w:t>
      </w:r>
      <w:r w:rsidR="00754BA2" w:rsidRPr="009B4311">
        <w:rPr>
          <w:rFonts w:ascii="Times New Roman" w:hAnsi="Times New Roman" w:cs="Times New Roman"/>
        </w:rPr>
        <w:t>”</w:t>
      </w:r>
      <w:r w:rsidR="00C14834" w:rsidRPr="009B4311">
        <w:rPr>
          <w:rFonts w:ascii="Times New Roman" w:hAnsi="Times New Roman" w:cs="Times New Roman"/>
        </w:rPr>
        <w:t xml:space="preserve"> in the “Amount” column</w:t>
      </w:r>
      <w:r w:rsidR="00DA329B" w:rsidRPr="009B4311">
        <w:rPr>
          <w:rFonts w:ascii="Times New Roman" w:hAnsi="Times New Roman" w:cs="Times New Roman"/>
        </w:rPr>
        <w:t xml:space="preserve"> with </w:t>
      </w:r>
      <w:r w:rsidR="00754BA2" w:rsidRPr="009B4311">
        <w:rPr>
          <w:rFonts w:ascii="Times New Roman" w:hAnsi="Times New Roman" w:cs="Times New Roman"/>
        </w:rPr>
        <w:t>“</w:t>
      </w:r>
      <w:r w:rsidR="00DA329B" w:rsidRPr="009B4311">
        <w:rPr>
          <w:rFonts w:ascii="Times New Roman" w:hAnsi="Times New Roman" w:cs="Times New Roman"/>
        </w:rPr>
        <w:t>$10,000</w:t>
      </w:r>
      <w:r w:rsidR="00754BA2" w:rsidRPr="009B4311">
        <w:rPr>
          <w:rFonts w:ascii="Times New Roman" w:hAnsi="Times New Roman" w:cs="Times New Roman"/>
        </w:rPr>
        <w:t>”</w:t>
      </w:r>
      <w:r w:rsidR="00F6135A" w:rsidRPr="009B4311">
        <w:rPr>
          <w:rFonts w:ascii="Times New Roman" w:hAnsi="Times New Roman" w:cs="Times New Roman"/>
        </w:rPr>
        <w:t>.</w:t>
      </w:r>
    </w:p>
    <w:p w14:paraId="2D5AE10B" w14:textId="11715E7A" w:rsidR="00711B28" w:rsidRDefault="00711B28" w:rsidP="149CC69E">
      <w:pPr>
        <w:spacing w:afterLines="40" w:after="96"/>
        <w:ind w:left="1069"/>
        <w:jc w:val="both"/>
        <w:rPr>
          <w:b/>
          <w:bCs/>
        </w:rPr>
      </w:pPr>
    </w:p>
    <w:p w14:paraId="04CE4156" w14:textId="77777777" w:rsidR="00A41AC7" w:rsidRDefault="00A41AC7" w:rsidP="004A47AB">
      <w:pPr>
        <w:jc w:val="center"/>
      </w:pPr>
    </w:p>
    <w:p w14:paraId="4187847B" w14:textId="6DFC5824" w:rsidR="004A47AB" w:rsidRDefault="004A47AB" w:rsidP="00655E22">
      <w:pPr>
        <w:jc w:val="right"/>
      </w:pPr>
      <w:r>
        <w:t>___________________</w:t>
      </w:r>
    </w:p>
    <w:p w14:paraId="06F23436" w14:textId="77777777" w:rsidR="004A47AB" w:rsidRDefault="004A47AB" w:rsidP="44AB1444">
      <w:pPr>
        <w:jc w:val="right"/>
      </w:pPr>
      <w:r>
        <w:t>Minister for Social Development and Employment</w:t>
      </w:r>
    </w:p>
    <w:p w14:paraId="14C9A0B6" w14:textId="77777777" w:rsidR="004A47AB" w:rsidRDefault="004A47AB" w:rsidP="004A47AB">
      <w:pPr>
        <w:jc w:val="center"/>
      </w:pPr>
    </w:p>
    <w:p w14:paraId="16271639" w14:textId="7788D31E" w:rsidR="004A47AB" w:rsidRDefault="004A47AB" w:rsidP="44AB1444">
      <w:pPr>
        <w:jc w:val="right"/>
      </w:pPr>
      <w:r>
        <w:t xml:space="preserve">At </w:t>
      </w:r>
      <w:r>
        <w:tab/>
      </w:r>
      <w:r>
        <w:tab/>
      </w:r>
      <w:r>
        <w:tab/>
        <w:t>this</w:t>
      </w:r>
      <w:r>
        <w:tab/>
      </w:r>
      <w:r>
        <w:tab/>
        <w:t>day of</w:t>
      </w:r>
      <w:r>
        <w:tab/>
      </w:r>
      <w:r>
        <w:tab/>
      </w:r>
      <w:r>
        <w:tab/>
        <w:t>20</w:t>
      </w:r>
      <w:r w:rsidR="00FB6289">
        <w:t>2</w:t>
      </w:r>
      <w:r w:rsidR="00863E37">
        <w:t>5</w:t>
      </w:r>
    </w:p>
    <w:p w14:paraId="14B06041" w14:textId="77777777" w:rsidR="006938CE" w:rsidRDefault="006938CE" w:rsidP="004A47AB">
      <w:pPr>
        <w:pStyle w:val="Style1"/>
        <w:jc w:val="center"/>
        <w:rPr>
          <w:b w:val="0"/>
        </w:rPr>
      </w:pPr>
    </w:p>
    <w:p w14:paraId="46744023" w14:textId="6849AE8A" w:rsidR="004A47AB" w:rsidRDefault="004A47AB" w:rsidP="004A47AB">
      <w:pPr>
        <w:pStyle w:val="Style1"/>
        <w:jc w:val="center"/>
        <w:rPr>
          <w:b w:val="0"/>
        </w:rPr>
      </w:pPr>
      <w:r>
        <w:rPr>
          <w:b w:val="0"/>
        </w:rPr>
        <w:t>______</w:t>
      </w:r>
    </w:p>
    <w:p w14:paraId="74CD6271" w14:textId="273B2A41" w:rsidR="004A47AB" w:rsidRPr="00296516" w:rsidRDefault="004A47AB" w:rsidP="004A47AB">
      <w:pPr>
        <w:pStyle w:val="Style1"/>
        <w:jc w:val="center"/>
        <w:rPr>
          <w:b w:val="0"/>
          <w:sz w:val="24"/>
          <w:szCs w:val="24"/>
        </w:rPr>
      </w:pPr>
      <w:r w:rsidRPr="00296516">
        <w:rPr>
          <w:sz w:val="24"/>
          <w:szCs w:val="24"/>
        </w:rPr>
        <w:t>Explanatory Note</w:t>
      </w:r>
    </w:p>
    <w:p w14:paraId="59B08415" w14:textId="3BFAFD8C" w:rsidR="004A47AB" w:rsidRPr="005357EE" w:rsidRDefault="004A47AB" w:rsidP="004A47AB">
      <w:pPr>
        <w:pStyle w:val="Style1"/>
        <w:jc w:val="both"/>
        <w:rPr>
          <w:b w:val="0"/>
          <w:i/>
        </w:rPr>
      </w:pPr>
      <w:r w:rsidRPr="005357EE">
        <w:rPr>
          <w:b w:val="0"/>
          <w:i/>
        </w:rPr>
        <w:t xml:space="preserve">This note is not part of the </w:t>
      </w:r>
      <w:r>
        <w:rPr>
          <w:b w:val="0"/>
          <w:i/>
        </w:rPr>
        <w:t>instrument</w:t>
      </w:r>
      <w:r w:rsidRPr="005357EE">
        <w:rPr>
          <w:b w:val="0"/>
          <w:i/>
        </w:rPr>
        <w:t xml:space="preserve"> but is intended to </w:t>
      </w:r>
      <w:r>
        <w:rPr>
          <w:b w:val="0"/>
          <w:i/>
        </w:rPr>
        <w:t>indicate</w:t>
      </w:r>
      <w:r w:rsidRPr="005357EE">
        <w:rPr>
          <w:b w:val="0"/>
          <w:i/>
        </w:rPr>
        <w:t xml:space="preserve"> its general effect.</w:t>
      </w:r>
    </w:p>
    <w:p w14:paraId="35CEFA27" w14:textId="31EF33D8" w:rsidR="003D124D" w:rsidRDefault="004A47AB" w:rsidP="003E2416">
      <w:pPr>
        <w:pStyle w:val="Style1"/>
        <w:jc w:val="both"/>
        <w:rPr>
          <w:b w:val="0"/>
        </w:rPr>
      </w:pPr>
      <w:r>
        <w:rPr>
          <w:b w:val="0"/>
        </w:rPr>
        <w:t xml:space="preserve">This instrument, which comes into </w:t>
      </w:r>
      <w:r w:rsidR="003D666B">
        <w:rPr>
          <w:b w:val="0"/>
        </w:rPr>
        <w:t xml:space="preserve">force </w:t>
      </w:r>
      <w:r w:rsidR="3A6B463B">
        <w:rPr>
          <w:b w:val="0"/>
        </w:rPr>
        <w:t>on 31 March 2025</w:t>
      </w:r>
      <w:r w:rsidR="003E2416">
        <w:rPr>
          <w:b w:val="0"/>
        </w:rPr>
        <w:t>,</w:t>
      </w:r>
      <w:r w:rsidR="00FB6289">
        <w:rPr>
          <w:b w:val="0"/>
        </w:rPr>
        <w:t xml:space="preserve"> a</w:t>
      </w:r>
      <w:r>
        <w:rPr>
          <w:b w:val="0"/>
        </w:rPr>
        <w:t xml:space="preserve">mends the </w:t>
      </w:r>
      <w:r w:rsidR="00FB6289">
        <w:rPr>
          <w:b w:val="0"/>
        </w:rPr>
        <w:t>Employment and Work Readiness Assistance Programme</w:t>
      </w:r>
      <w:r w:rsidR="00E33729">
        <w:rPr>
          <w:b w:val="0"/>
        </w:rPr>
        <w:t>. The amendment</w:t>
      </w:r>
      <w:r w:rsidR="007603A2">
        <w:rPr>
          <w:b w:val="0"/>
        </w:rPr>
        <w:softHyphen/>
      </w:r>
      <w:r w:rsidR="007603A2">
        <w:rPr>
          <w:b w:val="0"/>
        </w:rPr>
        <w:softHyphen/>
      </w:r>
      <w:r w:rsidR="00AB24F9">
        <w:rPr>
          <w:b w:val="0"/>
        </w:rPr>
        <w:t>—</w:t>
      </w:r>
    </w:p>
    <w:p w14:paraId="6C787029" w14:textId="30D571FE" w:rsidR="003D124D" w:rsidRPr="00296516" w:rsidRDefault="00863E37" w:rsidP="003D124D">
      <w:pPr>
        <w:pStyle w:val="Style1"/>
        <w:numPr>
          <w:ilvl w:val="0"/>
          <w:numId w:val="16"/>
        </w:numPr>
        <w:jc w:val="both"/>
      </w:pPr>
      <w:r>
        <w:rPr>
          <w:b w:val="0"/>
        </w:rPr>
        <w:t>revokes</w:t>
      </w:r>
      <w:r w:rsidR="00A15AE4">
        <w:rPr>
          <w:b w:val="0"/>
        </w:rPr>
        <w:t xml:space="preserve"> </w:t>
      </w:r>
      <w:r w:rsidR="00BE0618">
        <w:rPr>
          <w:b w:val="0"/>
        </w:rPr>
        <w:t xml:space="preserve">the clauses in </w:t>
      </w:r>
      <w:r>
        <w:rPr>
          <w:b w:val="0"/>
        </w:rPr>
        <w:t xml:space="preserve">6A(a) of the </w:t>
      </w:r>
      <w:r w:rsidR="000C15AB">
        <w:rPr>
          <w:b w:val="0"/>
        </w:rPr>
        <w:t>S</w:t>
      </w:r>
      <w:r>
        <w:rPr>
          <w:b w:val="0"/>
        </w:rPr>
        <w:t>chedule</w:t>
      </w:r>
      <w:r w:rsidR="003D666B">
        <w:rPr>
          <w:b w:val="0"/>
        </w:rPr>
        <w:t xml:space="preserve"> </w:t>
      </w:r>
      <w:r>
        <w:rPr>
          <w:b w:val="0"/>
        </w:rPr>
        <w:t xml:space="preserve">that </w:t>
      </w:r>
      <w:r w:rsidR="00BE0618">
        <w:rPr>
          <w:b w:val="0"/>
        </w:rPr>
        <w:t xml:space="preserve">relate to </w:t>
      </w:r>
      <w:r>
        <w:rPr>
          <w:b w:val="0"/>
        </w:rPr>
        <w:t>assist</w:t>
      </w:r>
      <w:r w:rsidR="00BE0618">
        <w:rPr>
          <w:b w:val="0"/>
        </w:rPr>
        <w:t>ing</w:t>
      </w:r>
      <w:r>
        <w:rPr>
          <w:b w:val="0"/>
        </w:rPr>
        <w:t xml:space="preserve"> </w:t>
      </w:r>
      <w:r w:rsidR="0077770E">
        <w:rPr>
          <w:b w:val="0"/>
        </w:rPr>
        <w:t>applicants</w:t>
      </w:r>
      <w:r>
        <w:rPr>
          <w:b w:val="0"/>
        </w:rPr>
        <w:t xml:space="preserve"> </w:t>
      </w:r>
      <w:r w:rsidR="003475B8">
        <w:rPr>
          <w:b w:val="0"/>
        </w:rPr>
        <w:t>to relocate</w:t>
      </w:r>
      <w:r w:rsidR="007E3787">
        <w:rPr>
          <w:b w:val="0"/>
        </w:rPr>
        <w:t xml:space="preserve"> for</w:t>
      </w:r>
      <w:r w:rsidR="00E82926">
        <w:rPr>
          <w:b w:val="0"/>
        </w:rPr>
        <w:t xml:space="preserve"> employment</w:t>
      </w:r>
      <w:r w:rsidR="00AB24F9">
        <w:rPr>
          <w:b w:val="0"/>
        </w:rPr>
        <w:t>; and</w:t>
      </w:r>
    </w:p>
    <w:p w14:paraId="6828A247" w14:textId="39E17F02" w:rsidR="008329D1" w:rsidRPr="00296516" w:rsidRDefault="00A15AE4" w:rsidP="003D124D">
      <w:pPr>
        <w:pStyle w:val="Style1"/>
        <w:numPr>
          <w:ilvl w:val="0"/>
          <w:numId w:val="16"/>
        </w:numPr>
        <w:jc w:val="both"/>
      </w:pPr>
      <w:r>
        <w:rPr>
          <w:b w:val="0"/>
        </w:rPr>
        <w:t xml:space="preserve">reduces </w:t>
      </w:r>
      <w:r w:rsidR="00BE0618">
        <w:rPr>
          <w:b w:val="0"/>
        </w:rPr>
        <w:t>the amount available for</w:t>
      </w:r>
      <w:r w:rsidR="003D666B">
        <w:rPr>
          <w:b w:val="0"/>
        </w:rPr>
        <w:t xml:space="preserve"> incentive payments</w:t>
      </w:r>
      <w:r w:rsidR="00863E37">
        <w:rPr>
          <w:b w:val="0"/>
        </w:rPr>
        <w:t xml:space="preserve"> </w:t>
      </w:r>
      <w:r w:rsidR="00BE41D3">
        <w:rPr>
          <w:b w:val="0"/>
        </w:rPr>
        <w:t xml:space="preserve">in a 52-week period </w:t>
      </w:r>
      <w:r w:rsidR="00863E37">
        <w:rPr>
          <w:b w:val="0"/>
        </w:rPr>
        <w:t xml:space="preserve">in clause 6A(a) of the schedule </w:t>
      </w:r>
      <w:r w:rsidR="00BE41D3">
        <w:rPr>
          <w:b w:val="0"/>
        </w:rPr>
        <w:t xml:space="preserve">from $5,000 </w:t>
      </w:r>
      <w:r w:rsidR="003D666B">
        <w:rPr>
          <w:b w:val="0"/>
        </w:rPr>
        <w:t xml:space="preserve">to </w:t>
      </w:r>
      <w:r w:rsidR="003475B8">
        <w:rPr>
          <w:b w:val="0"/>
        </w:rPr>
        <w:t>$</w:t>
      </w:r>
      <w:r w:rsidR="0034218F">
        <w:rPr>
          <w:b w:val="0"/>
        </w:rPr>
        <w:t>3</w:t>
      </w:r>
      <w:r w:rsidR="003475B8">
        <w:rPr>
          <w:b w:val="0"/>
        </w:rPr>
        <w:t>,000</w:t>
      </w:r>
      <w:r w:rsidR="00AB24F9">
        <w:rPr>
          <w:b w:val="0"/>
        </w:rPr>
        <w:t>; and</w:t>
      </w:r>
    </w:p>
    <w:p w14:paraId="2B623A0D" w14:textId="2BD529DB" w:rsidR="0009795A" w:rsidRPr="00296516" w:rsidRDefault="008329D1" w:rsidP="003D124D">
      <w:pPr>
        <w:pStyle w:val="Style1"/>
        <w:numPr>
          <w:ilvl w:val="0"/>
          <w:numId w:val="16"/>
        </w:numPr>
        <w:jc w:val="both"/>
      </w:pPr>
      <w:r>
        <w:rPr>
          <w:b w:val="0"/>
        </w:rPr>
        <w:t xml:space="preserve">inserts </w:t>
      </w:r>
      <w:r w:rsidR="00A25466">
        <w:rPr>
          <w:b w:val="0"/>
        </w:rPr>
        <w:t>trans</w:t>
      </w:r>
      <w:r w:rsidR="00604E71">
        <w:rPr>
          <w:b w:val="0"/>
        </w:rPr>
        <w:t>itional arr</w:t>
      </w:r>
      <w:r w:rsidR="0069477C">
        <w:rPr>
          <w:b w:val="0"/>
        </w:rPr>
        <w:t xml:space="preserve">angements for </w:t>
      </w:r>
      <w:r w:rsidR="0009795A">
        <w:rPr>
          <w:b w:val="0"/>
        </w:rPr>
        <w:t xml:space="preserve">applications made for </w:t>
      </w:r>
      <w:r w:rsidR="00CD28CF">
        <w:rPr>
          <w:b w:val="0"/>
        </w:rPr>
        <w:t>i</w:t>
      </w:r>
      <w:r w:rsidR="00887029">
        <w:rPr>
          <w:b w:val="0"/>
        </w:rPr>
        <w:t xml:space="preserve">ncentive payment </w:t>
      </w:r>
      <w:r w:rsidR="002613F2">
        <w:rPr>
          <w:b w:val="0"/>
        </w:rPr>
        <w:t>applications</w:t>
      </w:r>
      <w:r w:rsidR="00863212">
        <w:rPr>
          <w:b w:val="0"/>
        </w:rPr>
        <w:t xml:space="preserve"> under clauses 6A(a)</w:t>
      </w:r>
      <w:r w:rsidR="00C80094">
        <w:rPr>
          <w:b w:val="0"/>
        </w:rPr>
        <w:t>(iii) and 6A(a)(iv)</w:t>
      </w:r>
      <w:r w:rsidR="75A1ABD7">
        <w:rPr>
          <w:b w:val="0"/>
        </w:rPr>
        <w:t xml:space="preserve"> </w:t>
      </w:r>
      <w:r w:rsidR="00C80094">
        <w:rPr>
          <w:b w:val="0"/>
        </w:rPr>
        <w:t xml:space="preserve">of the Schedule </w:t>
      </w:r>
      <w:r w:rsidR="0009795A">
        <w:rPr>
          <w:b w:val="0"/>
        </w:rPr>
        <w:t>before 3</w:t>
      </w:r>
      <w:r w:rsidR="00EB3321">
        <w:rPr>
          <w:b w:val="0"/>
        </w:rPr>
        <w:t>1</w:t>
      </w:r>
      <w:r w:rsidR="0009795A">
        <w:rPr>
          <w:b w:val="0"/>
        </w:rPr>
        <w:t xml:space="preserve"> March 2025; and </w:t>
      </w:r>
    </w:p>
    <w:p w14:paraId="7FC95DE0" w14:textId="5D4074D6" w:rsidR="00224684" w:rsidRDefault="00593834" w:rsidP="00296516">
      <w:pPr>
        <w:pStyle w:val="Style1"/>
        <w:numPr>
          <w:ilvl w:val="0"/>
          <w:numId w:val="16"/>
        </w:numPr>
        <w:jc w:val="both"/>
      </w:pPr>
      <w:r>
        <w:rPr>
          <w:b w:val="0"/>
        </w:rPr>
        <w:t xml:space="preserve">makes minor and technical changes to the Schedule.  </w:t>
      </w:r>
      <w:r w:rsidR="004910B2">
        <w:rPr>
          <w:b w:val="0"/>
        </w:rPr>
        <w:t xml:space="preserve"> </w:t>
      </w:r>
      <w:r w:rsidR="00877C81">
        <w:rPr>
          <w:b w:val="0"/>
        </w:rPr>
        <w:t xml:space="preserve"> </w:t>
      </w:r>
      <w:r w:rsidR="0014632C">
        <w:rPr>
          <w:b w:val="0"/>
        </w:rPr>
        <w:t xml:space="preserve"> </w:t>
      </w:r>
    </w:p>
    <w:sectPr w:rsidR="00224684">
      <w:footerReference w:type="even" r:id="rId11"/>
      <w:footerReference w:type="default" r:id="rId12"/>
      <w:pgSz w:w="12240" w:h="15840"/>
      <w:pgMar w:top="1440" w:right="2835" w:bottom="1440" w:left="283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98163" w14:textId="77777777" w:rsidR="002309EF" w:rsidRDefault="002309EF" w:rsidP="00377823">
      <w:pPr>
        <w:spacing w:after="0"/>
      </w:pPr>
      <w:r>
        <w:separator/>
      </w:r>
    </w:p>
  </w:endnote>
  <w:endnote w:type="continuationSeparator" w:id="0">
    <w:p w14:paraId="3B6F4A11" w14:textId="77777777" w:rsidR="002309EF" w:rsidRDefault="002309EF" w:rsidP="00377823">
      <w:pPr>
        <w:spacing w:after="0"/>
      </w:pPr>
      <w:r>
        <w:continuationSeparator/>
      </w:r>
    </w:p>
  </w:endnote>
  <w:endnote w:type="continuationNotice" w:id="1">
    <w:p w14:paraId="437ECB1B" w14:textId="77777777" w:rsidR="002309EF" w:rsidRDefault="002309E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69D1F" w14:textId="77777777" w:rsidR="0034218F" w:rsidRDefault="00E410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6565885" w14:textId="77777777" w:rsidR="0034218F" w:rsidRDefault="003421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DF2B8" w14:textId="77777777" w:rsidR="0034218F" w:rsidRDefault="00E410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2755435A" w14:textId="77777777" w:rsidR="0034218F" w:rsidRDefault="003421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40DE5" w14:textId="77777777" w:rsidR="002309EF" w:rsidRDefault="002309EF" w:rsidP="00377823">
      <w:pPr>
        <w:spacing w:after="0"/>
      </w:pPr>
      <w:r>
        <w:separator/>
      </w:r>
    </w:p>
  </w:footnote>
  <w:footnote w:type="continuationSeparator" w:id="0">
    <w:p w14:paraId="6995010A" w14:textId="77777777" w:rsidR="002309EF" w:rsidRDefault="002309EF" w:rsidP="00377823">
      <w:pPr>
        <w:spacing w:after="0"/>
      </w:pPr>
      <w:r>
        <w:continuationSeparator/>
      </w:r>
    </w:p>
  </w:footnote>
  <w:footnote w:type="continuationNotice" w:id="1">
    <w:p w14:paraId="39C9F4A9" w14:textId="77777777" w:rsidR="002309EF" w:rsidRDefault="002309E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863E0"/>
    <w:multiLevelType w:val="hybridMultilevel"/>
    <w:tmpl w:val="CD6419A4"/>
    <w:lvl w:ilvl="0" w:tplc="FA16B672">
      <w:start w:val="1"/>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 w15:restartNumberingAfterBreak="0">
    <w:nsid w:val="0C3860FD"/>
    <w:multiLevelType w:val="hybridMultilevel"/>
    <w:tmpl w:val="28BAE8D6"/>
    <w:lvl w:ilvl="0" w:tplc="E188B6FA">
      <w:start w:val="2"/>
      <w:numFmt w:val="decimal"/>
      <w:lvlText w:val="(%1)"/>
      <w:lvlJc w:val="left"/>
      <w:pPr>
        <w:ind w:left="108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20953CB8"/>
    <w:multiLevelType w:val="hybridMultilevel"/>
    <w:tmpl w:val="DABAC19E"/>
    <w:lvl w:ilvl="0" w:tplc="D4766100">
      <w:start w:val="1"/>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 w15:restartNumberingAfterBreak="0">
    <w:nsid w:val="223B6D09"/>
    <w:multiLevelType w:val="hybridMultilevel"/>
    <w:tmpl w:val="02501A9A"/>
    <w:lvl w:ilvl="0" w:tplc="CBD8D954">
      <w:start w:val="1"/>
      <w:numFmt w:val="decimal"/>
      <w:pStyle w:val="Heading1"/>
      <w:lvlText w:val="%1"/>
      <w:lvlJc w:val="left"/>
      <w:pPr>
        <w:tabs>
          <w:tab w:val="num" w:pos="720"/>
        </w:tabs>
        <w:ind w:left="720" w:hanging="360"/>
      </w:pPr>
      <w:rPr>
        <w:rFonts w:hint="default"/>
        <w:b/>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D95795"/>
    <w:multiLevelType w:val="hybridMultilevel"/>
    <w:tmpl w:val="79A887F2"/>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5" w15:restartNumberingAfterBreak="0">
    <w:nsid w:val="3C636FC2"/>
    <w:multiLevelType w:val="hybridMultilevel"/>
    <w:tmpl w:val="5426B3F4"/>
    <w:lvl w:ilvl="0" w:tplc="FAB0D07A">
      <w:start w:val="1"/>
      <w:numFmt w:val="lowerLetter"/>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6" w15:restartNumberingAfterBreak="0">
    <w:nsid w:val="51CC433A"/>
    <w:multiLevelType w:val="hybridMultilevel"/>
    <w:tmpl w:val="97D8BBB0"/>
    <w:lvl w:ilvl="0" w:tplc="D262860C">
      <w:start w:val="1"/>
      <w:numFmt w:val="lowerRoman"/>
      <w:lvlText w:val="(%1)"/>
      <w:lvlJc w:val="left"/>
      <w:pPr>
        <w:ind w:left="1287" w:hanging="360"/>
      </w:pPr>
      <w:rPr>
        <w:rFonts w:ascii="Times New Roman" w:eastAsia="Calibri" w:hAnsi="Times New Roman" w:cs="Times New Roman" w:hint="default"/>
        <w:b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7" w15:restartNumberingAfterBreak="0">
    <w:nsid w:val="5CFE3351"/>
    <w:multiLevelType w:val="hybridMultilevel"/>
    <w:tmpl w:val="3B4E68DE"/>
    <w:lvl w:ilvl="0" w:tplc="98BCFD0A">
      <w:start w:val="1"/>
      <w:numFmt w:val="decimal"/>
      <w:pStyle w:val="Clauseheading"/>
      <w:lvlText w:val="%1"/>
      <w:lvlJc w:val="left"/>
      <w:pPr>
        <w:ind w:left="567"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610D75DF"/>
    <w:multiLevelType w:val="hybridMultilevel"/>
    <w:tmpl w:val="92CC3A3A"/>
    <w:lvl w:ilvl="0" w:tplc="EB9C55F2">
      <w:start w:val="1"/>
      <w:numFmt w:val="decimal"/>
      <w:lvlText w:val="(%1)"/>
      <w:lvlJc w:val="left"/>
      <w:pPr>
        <w:ind w:left="1069" w:hanging="360"/>
      </w:pPr>
      <w:rPr>
        <w:rFonts w:hint="default"/>
      </w:rPr>
    </w:lvl>
    <w:lvl w:ilvl="1" w:tplc="14090019" w:tentative="1">
      <w:start w:val="1"/>
      <w:numFmt w:val="lowerLetter"/>
      <w:lvlText w:val="%2."/>
      <w:lvlJc w:val="left"/>
      <w:pPr>
        <w:ind w:left="1789" w:hanging="360"/>
      </w:pPr>
    </w:lvl>
    <w:lvl w:ilvl="2" w:tplc="1409001B" w:tentative="1">
      <w:start w:val="1"/>
      <w:numFmt w:val="lowerRoman"/>
      <w:lvlText w:val="%3."/>
      <w:lvlJc w:val="right"/>
      <w:pPr>
        <w:ind w:left="2509" w:hanging="180"/>
      </w:pPr>
    </w:lvl>
    <w:lvl w:ilvl="3" w:tplc="1409000F" w:tentative="1">
      <w:start w:val="1"/>
      <w:numFmt w:val="decimal"/>
      <w:lvlText w:val="%4."/>
      <w:lvlJc w:val="left"/>
      <w:pPr>
        <w:ind w:left="3229" w:hanging="360"/>
      </w:pPr>
    </w:lvl>
    <w:lvl w:ilvl="4" w:tplc="14090019" w:tentative="1">
      <w:start w:val="1"/>
      <w:numFmt w:val="lowerLetter"/>
      <w:lvlText w:val="%5."/>
      <w:lvlJc w:val="left"/>
      <w:pPr>
        <w:ind w:left="3949" w:hanging="360"/>
      </w:pPr>
    </w:lvl>
    <w:lvl w:ilvl="5" w:tplc="1409001B" w:tentative="1">
      <w:start w:val="1"/>
      <w:numFmt w:val="lowerRoman"/>
      <w:lvlText w:val="%6."/>
      <w:lvlJc w:val="right"/>
      <w:pPr>
        <w:ind w:left="4669" w:hanging="180"/>
      </w:pPr>
    </w:lvl>
    <w:lvl w:ilvl="6" w:tplc="1409000F" w:tentative="1">
      <w:start w:val="1"/>
      <w:numFmt w:val="decimal"/>
      <w:lvlText w:val="%7."/>
      <w:lvlJc w:val="left"/>
      <w:pPr>
        <w:ind w:left="5389" w:hanging="360"/>
      </w:pPr>
    </w:lvl>
    <w:lvl w:ilvl="7" w:tplc="14090019" w:tentative="1">
      <w:start w:val="1"/>
      <w:numFmt w:val="lowerLetter"/>
      <w:lvlText w:val="%8."/>
      <w:lvlJc w:val="left"/>
      <w:pPr>
        <w:ind w:left="6109" w:hanging="360"/>
      </w:pPr>
    </w:lvl>
    <w:lvl w:ilvl="8" w:tplc="1409001B" w:tentative="1">
      <w:start w:val="1"/>
      <w:numFmt w:val="lowerRoman"/>
      <w:lvlText w:val="%9."/>
      <w:lvlJc w:val="right"/>
      <w:pPr>
        <w:ind w:left="6829" w:hanging="180"/>
      </w:pPr>
    </w:lvl>
  </w:abstractNum>
  <w:abstractNum w:abstractNumId="9" w15:restartNumberingAfterBreak="0">
    <w:nsid w:val="633118E7"/>
    <w:multiLevelType w:val="hybridMultilevel"/>
    <w:tmpl w:val="63227DF8"/>
    <w:lvl w:ilvl="0" w:tplc="2D708FA0">
      <w:start w:val="1"/>
      <w:numFmt w:val="decimal"/>
      <w:lvlText w:val="(%1)"/>
      <w:lvlJc w:val="left"/>
      <w:pPr>
        <w:ind w:left="1069" w:hanging="360"/>
      </w:pPr>
      <w:rPr>
        <w:rFonts w:hint="default"/>
      </w:rPr>
    </w:lvl>
    <w:lvl w:ilvl="1" w:tplc="14090019" w:tentative="1">
      <w:start w:val="1"/>
      <w:numFmt w:val="lowerLetter"/>
      <w:lvlText w:val="%2."/>
      <w:lvlJc w:val="left"/>
      <w:pPr>
        <w:ind w:left="1789" w:hanging="360"/>
      </w:pPr>
    </w:lvl>
    <w:lvl w:ilvl="2" w:tplc="1409001B" w:tentative="1">
      <w:start w:val="1"/>
      <w:numFmt w:val="lowerRoman"/>
      <w:lvlText w:val="%3."/>
      <w:lvlJc w:val="right"/>
      <w:pPr>
        <w:ind w:left="2509" w:hanging="180"/>
      </w:pPr>
    </w:lvl>
    <w:lvl w:ilvl="3" w:tplc="1409000F" w:tentative="1">
      <w:start w:val="1"/>
      <w:numFmt w:val="decimal"/>
      <w:lvlText w:val="%4."/>
      <w:lvlJc w:val="left"/>
      <w:pPr>
        <w:ind w:left="3229" w:hanging="360"/>
      </w:pPr>
    </w:lvl>
    <w:lvl w:ilvl="4" w:tplc="14090019" w:tentative="1">
      <w:start w:val="1"/>
      <w:numFmt w:val="lowerLetter"/>
      <w:lvlText w:val="%5."/>
      <w:lvlJc w:val="left"/>
      <w:pPr>
        <w:ind w:left="3949" w:hanging="360"/>
      </w:pPr>
    </w:lvl>
    <w:lvl w:ilvl="5" w:tplc="1409001B" w:tentative="1">
      <w:start w:val="1"/>
      <w:numFmt w:val="lowerRoman"/>
      <w:lvlText w:val="%6."/>
      <w:lvlJc w:val="right"/>
      <w:pPr>
        <w:ind w:left="4669" w:hanging="180"/>
      </w:pPr>
    </w:lvl>
    <w:lvl w:ilvl="6" w:tplc="1409000F" w:tentative="1">
      <w:start w:val="1"/>
      <w:numFmt w:val="decimal"/>
      <w:lvlText w:val="%7."/>
      <w:lvlJc w:val="left"/>
      <w:pPr>
        <w:ind w:left="5389" w:hanging="360"/>
      </w:pPr>
    </w:lvl>
    <w:lvl w:ilvl="7" w:tplc="14090019" w:tentative="1">
      <w:start w:val="1"/>
      <w:numFmt w:val="lowerLetter"/>
      <w:lvlText w:val="%8."/>
      <w:lvlJc w:val="left"/>
      <w:pPr>
        <w:ind w:left="6109" w:hanging="360"/>
      </w:pPr>
    </w:lvl>
    <w:lvl w:ilvl="8" w:tplc="1409001B" w:tentative="1">
      <w:start w:val="1"/>
      <w:numFmt w:val="lowerRoman"/>
      <w:lvlText w:val="%9."/>
      <w:lvlJc w:val="right"/>
      <w:pPr>
        <w:ind w:left="6829" w:hanging="180"/>
      </w:pPr>
    </w:lvl>
  </w:abstractNum>
  <w:abstractNum w:abstractNumId="10" w15:restartNumberingAfterBreak="0">
    <w:nsid w:val="6E841A33"/>
    <w:multiLevelType w:val="hybridMultilevel"/>
    <w:tmpl w:val="131C96DC"/>
    <w:lvl w:ilvl="0" w:tplc="8206C196">
      <w:start w:val="7"/>
      <w:numFmt w:val="decimal"/>
      <w:lvlText w:val="(%1)"/>
      <w:lvlJc w:val="left"/>
      <w:pPr>
        <w:ind w:left="1287"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782D2BCA"/>
    <w:multiLevelType w:val="hybridMultilevel"/>
    <w:tmpl w:val="56E6216E"/>
    <w:lvl w:ilvl="0" w:tplc="661CCB7E">
      <w:start w:val="1"/>
      <w:numFmt w:val="decimal"/>
      <w:lvlText w:val="(%1)"/>
      <w:lvlJc w:val="left"/>
      <w:pPr>
        <w:ind w:left="720" w:hanging="720"/>
      </w:pPr>
      <w:rPr>
        <w:rFonts w:ascii="Times" w:hAnsi="Times" w:cs="Arial" w:hint="default"/>
        <w:color w:val="auto"/>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2" w15:restartNumberingAfterBreak="0">
    <w:nsid w:val="7E5E37E3"/>
    <w:multiLevelType w:val="hybridMultilevel"/>
    <w:tmpl w:val="C7048396"/>
    <w:lvl w:ilvl="0" w:tplc="6096C276">
      <w:start w:val="1"/>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num w:numId="1" w16cid:durableId="555551833">
    <w:abstractNumId w:val="3"/>
  </w:num>
  <w:num w:numId="2" w16cid:durableId="361630898">
    <w:abstractNumId w:val="6"/>
  </w:num>
  <w:num w:numId="3" w16cid:durableId="968055137">
    <w:abstractNumId w:val="9"/>
  </w:num>
  <w:num w:numId="4" w16cid:durableId="1172525614">
    <w:abstractNumId w:val="8"/>
  </w:num>
  <w:num w:numId="5" w16cid:durableId="1697391152">
    <w:abstractNumId w:val="11"/>
  </w:num>
  <w:num w:numId="6" w16cid:durableId="1121267974">
    <w:abstractNumId w:val="5"/>
  </w:num>
  <w:num w:numId="7" w16cid:durableId="834343131">
    <w:abstractNumId w:val="7"/>
  </w:num>
  <w:num w:numId="8" w16cid:durableId="1334607866">
    <w:abstractNumId w:val="3"/>
  </w:num>
  <w:num w:numId="9" w16cid:durableId="1782609758">
    <w:abstractNumId w:val="3"/>
  </w:num>
  <w:num w:numId="10" w16cid:durableId="1760835098">
    <w:abstractNumId w:val="3"/>
  </w:num>
  <w:num w:numId="11" w16cid:durableId="727806370">
    <w:abstractNumId w:val="3"/>
  </w:num>
  <w:num w:numId="12" w16cid:durableId="1935361445">
    <w:abstractNumId w:val="0"/>
  </w:num>
  <w:num w:numId="13" w16cid:durableId="846166103">
    <w:abstractNumId w:val="2"/>
  </w:num>
  <w:num w:numId="14" w16cid:durableId="2075734153">
    <w:abstractNumId w:val="12"/>
  </w:num>
  <w:num w:numId="15" w16cid:durableId="579871495">
    <w:abstractNumId w:val="1"/>
  </w:num>
  <w:num w:numId="16" w16cid:durableId="1594700203">
    <w:abstractNumId w:val="4"/>
  </w:num>
  <w:num w:numId="17" w16cid:durableId="4709515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684"/>
    <w:rsid w:val="000038C2"/>
    <w:rsid w:val="00006B94"/>
    <w:rsid w:val="00014427"/>
    <w:rsid w:val="00015CC4"/>
    <w:rsid w:val="00023602"/>
    <w:rsid w:val="00025232"/>
    <w:rsid w:val="00027CC4"/>
    <w:rsid w:val="00035D86"/>
    <w:rsid w:val="000367A2"/>
    <w:rsid w:val="000371F3"/>
    <w:rsid w:val="00052277"/>
    <w:rsid w:val="00054CC3"/>
    <w:rsid w:val="000556C5"/>
    <w:rsid w:val="00057041"/>
    <w:rsid w:val="00057EE1"/>
    <w:rsid w:val="00085380"/>
    <w:rsid w:val="000946F7"/>
    <w:rsid w:val="00096D4B"/>
    <w:rsid w:val="0009795A"/>
    <w:rsid w:val="000A3582"/>
    <w:rsid w:val="000A48EB"/>
    <w:rsid w:val="000A6FE3"/>
    <w:rsid w:val="000B0FF7"/>
    <w:rsid w:val="000B529A"/>
    <w:rsid w:val="000B67F9"/>
    <w:rsid w:val="000C15AB"/>
    <w:rsid w:val="000D5404"/>
    <w:rsid w:val="000D760B"/>
    <w:rsid w:val="000E0888"/>
    <w:rsid w:val="000E588C"/>
    <w:rsid w:val="000E5FEA"/>
    <w:rsid w:val="000E6520"/>
    <w:rsid w:val="000F0183"/>
    <w:rsid w:val="000F2150"/>
    <w:rsid w:val="000F546E"/>
    <w:rsid w:val="0010463F"/>
    <w:rsid w:val="00113454"/>
    <w:rsid w:val="00114AF2"/>
    <w:rsid w:val="00115494"/>
    <w:rsid w:val="001205E9"/>
    <w:rsid w:val="00126822"/>
    <w:rsid w:val="0014632C"/>
    <w:rsid w:val="0014675E"/>
    <w:rsid w:val="001528A5"/>
    <w:rsid w:val="00154AEF"/>
    <w:rsid w:val="00156D55"/>
    <w:rsid w:val="001576AB"/>
    <w:rsid w:val="00160EE8"/>
    <w:rsid w:val="0016123E"/>
    <w:rsid w:val="00161CEC"/>
    <w:rsid w:val="001622E7"/>
    <w:rsid w:val="00163A09"/>
    <w:rsid w:val="00167BB7"/>
    <w:rsid w:val="0017284C"/>
    <w:rsid w:val="0017327D"/>
    <w:rsid w:val="001816AE"/>
    <w:rsid w:val="0018319A"/>
    <w:rsid w:val="00185816"/>
    <w:rsid w:val="00192BEC"/>
    <w:rsid w:val="001A0C50"/>
    <w:rsid w:val="001D00BA"/>
    <w:rsid w:val="001D0534"/>
    <w:rsid w:val="001D1010"/>
    <w:rsid w:val="001E0F3F"/>
    <w:rsid w:val="001E48C7"/>
    <w:rsid w:val="001E7B1C"/>
    <w:rsid w:val="00203051"/>
    <w:rsid w:val="00223793"/>
    <w:rsid w:val="00224684"/>
    <w:rsid w:val="002248DB"/>
    <w:rsid w:val="002309EF"/>
    <w:rsid w:val="00232940"/>
    <w:rsid w:val="00246214"/>
    <w:rsid w:val="00254C0E"/>
    <w:rsid w:val="002613F2"/>
    <w:rsid w:val="00263768"/>
    <w:rsid w:val="00266143"/>
    <w:rsid w:val="00266297"/>
    <w:rsid w:val="002752E3"/>
    <w:rsid w:val="0027671B"/>
    <w:rsid w:val="00296516"/>
    <w:rsid w:val="002A38D6"/>
    <w:rsid w:val="002A63D8"/>
    <w:rsid w:val="002A6811"/>
    <w:rsid w:val="002B0C49"/>
    <w:rsid w:val="002B17B4"/>
    <w:rsid w:val="002B18D3"/>
    <w:rsid w:val="002D4105"/>
    <w:rsid w:val="002E5C2D"/>
    <w:rsid w:val="002F08EB"/>
    <w:rsid w:val="002F30B4"/>
    <w:rsid w:val="003019F7"/>
    <w:rsid w:val="00302EF6"/>
    <w:rsid w:val="003031FF"/>
    <w:rsid w:val="0030700A"/>
    <w:rsid w:val="00312AA2"/>
    <w:rsid w:val="003145B8"/>
    <w:rsid w:val="00317848"/>
    <w:rsid w:val="00317AD7"/>
    <w:rsid w:val="00317D72"/>
    <w:rsid w:val="0032163E"/>
    <w:rsid w:val="00321DE0"/>
    <w:rsid w:val="0032454C"/>
    <w:rsid w:val="0034218F"/>
    <w:rsid w:val="003475B8"/>
    <w:rsid w:val="0035213E"/>
    <w:rsid w:val="00364E82"/>
    <w:rsid w:val="00375FA8"/>
    <w:rsid w:val="00377823"/>
    <w:rsid w:val="00386EA8"/>
    <w:rsid w:val="00391D57"/>
    <w:rsid w:val="00392BBE"/>
    <w:rsid w:val="00392BE0"/>
    <w:rsid w:val="00395DAF"/>
    <w:rsid w:val="003A4111"/>
    <w:rsid w:val="003A5819"/>
    <w:rsid w:val="003B01BB"/>
    <w:rsid w:val="003B21D0"/>
    <w:rsid w:val="003C170B"/>
    <w:rsid w:val="003C1F0A"/>
    <w:rsid w:val="003C4DA4"/>
    <w:rsid w:val="003C5337"/>
    <w:rsid w:val="003D124D"/>
    <w:rsid w:val="003D666B"/>
    <w:rsid w:val="003E1516"/>
    <w:rsid w:val="003E2416"/>
    <w:rsid w:val="003E6728"/>
    <w:rsid w:val="003F3C06"/>
    <w:rsid w:val="004066B2"/>
    <w:rsid w:val="004123F3"/>
    <w:rsid w:val="004168CA"/>
    <w:rsid w:val="004222B6"/>
    <w:rsid w:val="004254D4"/>
    <w:rsid w:val="00431EA4"/>
    <w:rsid w:val="0043398B"/>
    <w:rsid w:val="0044066C"/>
    <w:rsid w:val="004526AF"/>
    <w:rsid w:val="00466D9F"/>
    <w:rsid w:val="004778F1"/>
    <w:rsid w:val="004821D8"/>
    <w:rsid w:val="00490DD3"/>
    <w:rsid w:val="004910B2"/>
    <w:rsid w:val="004A22E7"/>
    <w:rsid w:val="004A47AB"/>
    <w:rsid w:val="004A56DB"/>
    <w:rsid w:val="004B3278"/>
    <w:rsid w:val="004D3CA9"/>
    <w:rsid w:val="004D4FFC"/>
    <w:rsid w:val="004E0B91"/>
    <w:rsid w:val="004E5BF1"/>
    <w:rsid w:val="004F2DCF"/>
    <w:rsid w:val="005209D5"/>
    <w:rsid w:val="00526C88"/>
    <w:rsid w:val="00531036"/>
    <w:rsid w:val="005328B0"/>
    <w:rsid w:val="005349FF"/>
    <w:rsid w:val="00542104"/>
    <w:rsid w:val="00543773"/>
    <w:rsid w:val="0057008E"/>
    <w:rsid w:val="005710A9"/>
    <w:rsid w:val="00572740"/>
    <w:rsid w:val="00574805"/>
    <w:rsid w:val="00582A0B"/>
    <w:rsid w:val="005857CF"/>
    <w:rsid w:val="00590888"/>
    <w:rsid w:val="00593834"/>
    <w:rsid w:val="005A53A8"/>
    <w:rsid w:val="005A6ED5"/>
    <w:rsid w:val="005B4BAC"/>
    <w:rsid w:val="005C21FC"/>
    <w:rsid w:val="005D566F"/>
    <w:rsid w:val="005E7135"/>
    <w:rsid w:val="005F6264"/>
    <w:rsid w:val="0060060A"/>
    <w:rsid w:val="00601577"/>
    <w:rsid w:val="00604E71"/>
    <w:rsid w:val="00607BDD"/>
    <w:rsid w:val="00610727"/>
    <w:rsid w:val="00612720"/>
    <w:rsid w:val="0061468B"/>
    <w:rsid w:val="00627FEF"/>
    <w:rsid w:val="006405D5"/>
    <w:rsid w:val="006479A0"/>
    <w:rsid w:val="00655E22"/>
    <w:rsid w:val="00662E9D"/>
    <w:rsid w:val="00663A9D"/>
    <w:rsid w:val="0066514C"/>
    <w:rsid w:val="00672331"/>
    <w:rsid w:val="006746FF"/>
    <w:rsid w:val="00675B38"/>
    <w:rsid w:val="00675C16"/>
    <w:rsid w:val="00681E82"/>
    <w:rsid w:val="006869AC"/>
    <w:rsid w:val="006938CE"/>
    <w:rsid w:val="0069477C"/>
    <w:rsid w:val="00696C7A"/>
    <w:rsid w:val="00697302"/>
    <w:rsid w:val="006A1320"/>
    <w:rsid w:val="006A66C3"/>
    <w:rsid w:val="006A6AB5"/>
    <w:rsid w:val="006A6B45"/>
    <w:rsid w:val="006B1310"/>
    <w:rsid w:val="006C0782"/>
    <w:rsid w:val="006C4020"/>
    <w:rsid w:val="006E0D93"/>
    <w:rsid w:val="006E2F5E"/>
    <w:rsid w:val="006E59C8"/>
    <w:rsid w:val="006E69CA"/>
    <w:rsid w:val="006F2D62"/>
    <w:rsid w:val="006F6DF5"/>
    <w:rsid w:val="00711B28"/>
    <w:rsid w:val="00723DF4"/>
    <w:rsid w:val="0072556A"/>
    <w:rsid w:val="0072E4F9"/>
    <w:rsid w:val="00730768"/>
    <w:rsid w:val="00730C67"/>
    <w:rsid w:val="0073456E"/>
    <w:rsid w:val="00734D02"/>
    <w:rsid w:val="00741A84"/>
    <w:rsid w:val="00745524"/>
    <w:rsid w:val="00750B4E"/>
    <w:rsid w:val="0075371F"/>
    <w:rsid w:val="00754BA2"/>
    <w:rsid w:val="00756F47"/>
    <w:rsid w:val="007603A2"/>
    <w:rsid w:val="0076066B"/>
    <w:rsid w:val="0076727C"/>
    <w:rsid w:val="00775D61"/>
    <w:rsid w:val="0077770E"/>
    <w:rsid w:val="0079417E"/>
    <w:rsid w:val="007A0CFA"/>
    <w:rsid w:val="007A492E"/>
    <w:rsid w:val="007B3844"/>
    <w:rsid w:val="007C2025"/>
    <w:rsid w:val="007C25BE"/>
    <w:rsid w:val="007C34E0"/>
    <w:rsid w:val="007D4EEA"/>
    <w:rsid w:val="007E3787"/>
    <w:rsid w:val="007E6907"/>
    <w:rsid w:val="007F1E4E"/>
    <w:rsid w:val="00802828"/>
    <w:rsid w:val="00812206"/>
    <w:rsid w:val="00812886"/>
    <w:rsid w:val="00815D3F"/>
    <w:rsid w:val="00822168"/>
    <w:rsid w:val="00823D4F"/>
    <w:rsid w:val="0082495F"/>
    <w:rsid w:val="00825E3A"/>
    <w:rsid w:val="00826D2D"/>
    <w:rsid w:val="008329D1"/>
    <w:rsid w:val="00833CFC"/>
    <w:rsid w:val="00836110"/>
    <w:rsid w:val="00852055"/>
    <w:rsid w:val="00863212"/>
    <w:rsid w:val="00863E37"/>
    <w:rsid w:val="00866737"/>
    <w:rsid w:val="00877220"/>
    <w:rsid w:val="00877C81"/>
    <w:rsid w:val="00887029"/>
    <w:rsid w:val="00894F1D"/>
    <w:rsid w:val="008A2DD7"/>
    <w:rsid w:val="008A3CF9"/>
    <w:rsid w:val="008B2B99"/>
    <w:rsid w:val="008B5CF4"/>
    <w:rsid w:val="008B7BA4"/>
    <w:rsid w:val="008B7F3B"/>
    <w:rsid w:val="008C41D0"/>
    <w:rsid w:val="008E1FCC"/>
    <w:rsid w:val="008E6BD6"/>
    <w:rsid w:val="008E7037"/>
    <w:rsid w:val="008F76B7"/>
    <w:rsid w:val="00900329"/>
    <w:rsid w:val="0090724F"/>
    <w:rsid w:val="00910E27"/>
    <w:rsid w:val="0091350C"/>
    <w:rsid w:val="009244F2"/>
    <w:rsid w:val="00941990"/>
    <w:rsid w:val="00942491"/>
    <w:rsid w:val="00944A00"/>
    <w:rsid w:val="0094728B"/>
    <w:rsid w:val="00947FC9"/>
    <w:rsid w:val="00967B25"/>
    <w:rsid w:val="00970F3D"/>
    <w:rsid w:val="00971BAA"/>
    <w:rsid w:val="0097591E"/>
    <w:rsid w:val="00981C55"/>
    <w:rsid w:val="00982C6F"/>
    <w:rsid w:val="0098412D"/>
    <w:rsid w:val="009872F4"/>
    <w:rsid w:val="009A55DD"/>
    <w:rsid w:val="009A7E0A"/>
    <w:rsid w:val="009B1956"/>
    <w:rsid w:val="009B3AC9"/>
    <w:rsid w:val="009B4311"/>
    <w:rsid w:val="009C1323"/>
    <w:rsid w:val="009C1D80"/>
    <w:rsid w:val="009C2A84"/>
    <w:rsid w:val="009C6190"/>
    <w:rsid w:val="009D2973"/>
    <w:rsid w:val="009F0BEB"/>
    <w:rsid w:val="009F21E8"/>
    <w:rsid w:val="00A00D1E"/>
    <w:rsid w:val="00A029A3"/>
    <w:rsid w:val="00A15AE4"/>
    <w:rsid w:val="00A25466"/>
    <w:rsid w:val="00A35667"/>
    <w:rsid w:val="00A41AC7"/>
    <w:rsid w:val="00A4212B"/>
    <w:rsid w:val="00A57517"/>
    <w:rsid w:val="00A72385"/>
    <w:rsid w:val="00A72416"/>
    <w:rsid w:val="00A850B4"/>
    <w:rsid w:val="00A94F61"/>
    <w:rsid w:val="00A95056"/>
    <w:rsid w:val="00AA355A"/>
    <w:rsid w:val="00AA64A1"/>
    <w:rsid w:val="00AB24F9"/>
    <w:rsid w:val="00AB3B4D"/>
    <w:rsid w:val="00AC1F6A"/>
    <w:rsid w:val="00AC30F6"/>
    <w:rsid w:val="00AC4722"/>
    <w:rsid w:val="00AC65E0"/>
    <w:rsid w:val="00AD0A74"/>
    <w:rsid w:val="00AD1D69"/>
    <w:rsid w:val="00AD565A"/>
    <w:rsid w:val="00AE62E7"/>
    <w:rsid w:val="00AF7D04"/>
    <w:rsid w:val="00B0142E"/>
    <w:rsid w:val="00B02804"/>
    <w:rsid w:val="00B03739"/>
    <w:rsid w:val="00B07EC4"/>
    <w:rsid w:val="00B265E0"/>
    <w:rsid w:val="00B26F67"/>
    <w:rsid w:val="00B30C8C"/>
    <w:rsid w:val="00B3121E"/>
    <w:rsid w:val="00B323FB"/>
    <w:rsid w:val="00B361C6"/>
    <w:rsid w:val="00B53FF2"/>
    <w:rsid w:val="00B57031"/>
    <w:rsid w:val="00B60E94"/>
    <w:rsid w:val="00B66FE9"/>
    <w:rsid w:val="00B7707A"/>
    <w:rsid w:val="00B85CB6"/>
    <w:rsid w:val="00BA05EF"/>
    <w:rsid w:val="00BA09D7"/>
    <w:rsid w:val="00BC49C0"/>
    <w:rsid w:val="00BD0ADF"/>
    <w:rsid w:val="00BE0618"/>
    <w:rsid w:val="00BE1584"/>
    <w:rsid w:val="00BE15B7"/>
    <w:rsid w:val="00BE41D3"/>
    <w:rsid w:val="00BE7DD7"/>
    <w:rsid w:val="00C01CA8"/>
    <w:rsid w:val="00C06A55"/>
    <w:rsid w:val="00C139F2"/>
    <w:rsid w:val="00C14834"/>
    <w:rsid w:val="00C23B2A"/>
    <w:rsid w:val="00C24484"/>
    <w:rsid w:val="00C24FD9"/>
    <w:rsid w:val="00C4007C"/>
    <w:rsid w:val="00C42644"/>
    <w:rsid w:val="00C47739"/>
    <w:rsid w:val="00C5218A"/>
    <w:rsid w:val="00C566CF"/>
    <w:rsid w:val="00C61B52"/>
    <w:rsid w:val="00C65BB0"/>
    <w:rsid w:val="00C80094"/>
    <w:rsid w:val="00C82B29"/>
    <w:rsid w:val="00C907EE"/>
    <w:rsid w:val="00C95752"/>
    <w:rsid w:val="00C97355"/>
    <w:rsid w:val="00CA6FA7"/>
    <w:rsid w:val="00CB3AB5"/>
    <w:rsid w:val="00CC2A85"/>
    <w:rsid w:val="00CD28CF"/>
    <w:rsid w:val="00CD3F27"/>
    <w:rsid w:val="00CE2E57"/>
    <w:rsid w:val="00CE63DA"/>
    <w:rsid w:val="00CE6A3F"/>
    <w:rsid w:val="00CF257F"/>
    <w:rsid w:val="00D04A60"/>
    <w:rsid w:val="00D13334"/>
    <w:rsid w:val="00D27924"/>
    <w:rsid w:val="00D30890"/>
    <w:rsid w:val="00D31A50"/>
    <w:rsid w:val="00D369C8"/>
    <w:rsid w:val="00D47548"/>
    <w:rsid w:val="00D727B6"/>
    <w:rsid w:val="00D75F1C"/>
    <w:rsid w:val="00D8459E"/>
    <w:rsid w:val="00D869DB"/>
    <w:rsid w:val="00D91C9B"/>
    <w:rsid w:val="00D923BD"/>
    <w:rsid w:val="00DA25E1"/>
    <w:rsid w:val="00DA329B"/>
    <w:rsid w:val="00DC408A"/>
    <w:rsid w:val="00DD05B1"/>
    <w:rsid w:val="00DD1DD1"/>
    <w:rsid w:val="00DD4ABF"/>
    <w:rsid w:val="00DE146B"/>
    <w:rsid w:val="00DE3DBC"/>
    <w:rsid w:val="00DE4E2D"/>
    <w:rsid w:val="00DE6620"/>
    <w:rsid w:val="00DE7160"/>
    <w:rsid w:val="00E0787C"/>
    <w:rsid w:val="00E149CB"/>
    <w:rsid w:val="00E22E0F"/>
    <w:rsid w:val="00E25966"/>
    <w:rsid w:val="00E3305C"/>
    <w:rsid w:val="00E33729"/>
    <w:rsid w:val="00E410ED"/>
    <w:rsid w:val="00E4523D"/>
    <w:rsid w:val="00E45E77"/>
    <w:rsid w:val="00E53D06"/>
    <w:rsid w:val="00E7308E"/>
    <w:rsid w:val="00E730B2"/>
    <w:rsid w:val="00E73D1D"/>
    <w:rsid w:val="00E7784A"/>
    <w:rsid w:val="00E77E8F"/>
    <w:rsid w:val="00E816BB"/>
    <w:rsid w:val="00E81A6A"/>
    <w:rsid w:val="00E82926"/>
    <w:rsid w:val="00E84E46"/>
    <w:rsid w:val="00E85FA9"/>
    <w:rsid w:val="00E94181"/>
    <w:rsid w:val="00E94FF0"/>
    <w:rsid w:val="00E96A0E"/>
    <w:rsid w:val="00EA5634"/>
    <w:rsid w:val="00EB118A"/>
    <w:rsid w:val="00EB3321"/>
    <w:rsid w:val="00EC67AA"/>
    <w:rsid w:val="00ED138E"/>
    <w:rsid w:val="00EE1711"/>
    <w:rsid w:val="00EE432A"/>
    <w:rsid w:val="00EF2149"/>
    <w:rsid w:val="00EF2F49"/>
    <w:rsid w:val="00F05492"/>
    <w:rsid w:val="00F055E7"/>
    <w:rsid w:val="00F179D0"/>
    <w:rsid w:val="00F220B7"/>
    <w:rsid w:val="00F52EC8"/>
    <w:rsid w:val="00F55E63"/>
    <w:rsid w:val="00F56C66"/>
    <w:rsid w:val="00F57A49"/>
    <w:rsid w:val="00F6135A"/>
    <w:rsid w:val="00F71D60"/>
    <w:rsid w:val="00F7364E"/>
    <w:rsid w:val="00F85484"/>
    <w:rsid w:val="00F86F0B"/>
    <w:rsid w:val="00F91073"/>
    <w:rsid w:val="00F94CE7"/>
    <w:rsid w:val="00FA2007"/>
    <w:rsid w:val="00FB2E1F"/>
    <w:rsid w:val="00FB4414"/>
    <w:rsid w:val="00FB6289"/>
    <w:rsid w:val="00FC20A6"/>
    <w:rsid w:val="00FD7D90"/>
    <w:rsid w:val="00FE16E7"/>
    <w:rsid w:val="00FF4394"/>
    <w:rsid w:val="00FF76E4"/>
    <w:rsid w:val="0839426C"/>
    <w:rsid w:val="0CE0CFAA"/>
    <w:rsid w:val="149CC69E"/>
    <w:rsid w:val="1C4A5397"/>
    <w:rsid w:val="1D4AE0C6"/>
    <w:rsid w:val="2025261F"/>
    <w:rsid w:val="21908FFC"/>
    <w:rsid w:val="24EC68BB"/>
    <w:rsid w:val="260ADE38"/>
    <w:rsid w:val="266F31AC"/>
    <w:rsid w:val="2BA0EC0C"/>
    <w:rsid w:val="2C50B30D"/>
    <w:rsid w:val="2F81F50E"/>
    <w:rsid w:val="2FA3263F"/>
    <w:rsid w:val="322D53CB"/>
    <w:rsid w:val="33872467"/>
    <w:rsid w:val="35089FA5"/>
    <w:rsid w:val="366DEB54"/>
    <w:rsid w:val="3990A967"/>
    <w:rsid w:val="3A3BAAF1"/>
    <w:rsid w:val="3A6B463B"/>
    <w:rsid w:val="3CAA4957"/>
    <w:rsid w:val="3FE76754"/>
    <w:rsid w:val="44AB1444"/>
    <w:rsid w:val="45346140"/>
    <w:rsid w:val="453AFCEB"/>
    <w:rsid w:val="45875621"/>
    <w:rsid w:val="4768EE0B"/>
    <w:rsid w:val="488C6FDE"/>
    <w:rsid w:val="48F51593"/>
    <w:rsid w:val="498D935F"/>
    <w:rsid w:val="55227636"/>
    <w:rsid w:val="56160E76"/>
    <w:rsid w:val="5812611B"/>
    <w:rsid w:val="5CB73FE3"/>
    <w:rsid w:val="5F12FA0C"/>
    <w:rsid w:val="5F7E49C5"/>
    <w:rsid w:val="61DB95B7"/>
    <w:rsid w:val="639C76A3"/>
    <w:rsid w:val="65828828"/>
    <w:rsid w:val="676F4ACF"/>
    <w:rsid w:val="6A431663"/>
    <w:rsid w:val="6A9027A7"/>
    <w:rsid w:val="6E4026B1"/>
    <w:rsid w:val="75A1ABD7"/>
    <w:rsid w:val="77C572FA"/>
    <w:rsid w:val="784B9475"/>
    <w:rsid w:val="7C16D841"/>
    <w:rsid w:val="7C9ACA4A"/>
    <w:rsid w:val="7D0FF99D"/>
    <w:rsid w:val="7F32218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C2958"/>
  <w15:chartTrackingRefBased/>
  <w15:docId w15:val="{BC8017AF-E398-4F0B-863F-929197BA4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7AB"/>
    <w:pPr>
      <w:spacing w:after="120" w:line="240" w:lineRule="auto"/>
    </w:pPr>
    <w:rPr>
      <w:rFonts w:ascii="Times" w:eastAsia="Times New Roman" w:hAnsi="Times" w:cs="Arial"/>
      <w:sz w:val="23"/>
      <w:szCs w:val="20"/>
    </w:rPr>
  </w:style>
  <w:style w:type="paragraph" w:styleId="Heading1">
    <w:name w:val="heading 1"/>
    <w:basedOn w:val="Normal"/>
    <w:link w:val="Heading1Char"/>
    <w:autoRedefine/>
    <w:qFormat/>
    <w:rsid w:val="00CC2A85"/>
    <w:pPr>
      <w:numPr>
        <w:numId w:val="1"/>
      </w:numPr>
      <w:spacing w:afterLines="40" w:after="96"/>
      <w:ind w:hanging="720"/>
      <w:jc w:val="both"/>
      <w:outlineLvl w:val="0"/>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2A85"/>
    <w:rPr>
      <w:rFonts w:ascii="Times New Roman" w:eastAsia="Times New Roman" w:hAnsi="Times New Roman" w:cs="Times New Roman"/>
      <w:b/>
      <w:bCs/>
      <w:sz w:val="24"/>
      <w:szCs w:val="24"/>
    </w:rPr>
  </w:style>
  <w:style w:type="paragraph" w:styleId="TOC1">
    <w:name w:val="toc 1"/>
    <w:basedOn w:val="Normal"/>
    <w:next w:val="Normal"/>
    <w:autoRedefine/>
    <w:uiPriority w:val="39"/>
    <w:rsid w:val="00FF4394"/>
    <w:pPr>
      <w:widowControl w:val="0"/>
      <w:tabs>
        <w:tab w:val="left" w:pos="540"/>
        <w:tab w:val="right" w:pos="6560"/>
      </w:tabs>
      <w:spacing w:after="0"/>
      <w:outlineLvl w:val="0"/>
    </w:pPr>
    <w:rPr>
      <w:rFonts w:cs="Times New Roman"/>
      <w:bCs/>
      <w:sz w:val="20"/>
      <w:szCs w:val="22"/>
    </w:rPr>
  </w:style>
  <w:style w:type="character" w:styleId="Hyperlink">
    <w:name w:val="Hyperlink"/>
    <w:uiPriority w:val="99"/>
    <w:rsid w:val="004A47AB"/>
    <w:rPr>
      <w:color w:val="0000FF"/>
      <w:u w:val="single"/>
    </w:rPr>
  </w:style>
  <w:style w:type="paragraph" w:customStyle="1" w:styleId="Style1">
    <w:name w:val="Style1"/>
    <w:basedOn w:val="Normal"/>
    <w:rsid w:val="004A47AB"/>
    <w:rPr>
      <w:rFonts w:ascii="Times New Roman" w:hAnsi="Times New Roman" w:cs="Times New Roman"/>
      <w:b/>
    </w:rPr>
  </w:style>
  <w:style w:type="paragraph" w:styleId="Footer">
    <w:name w:val="footer"/>
    <w:basedOn w:val="Normal"/>
    <w:link w:val="FooterChar"/>
    <w:rsid w:val="004A47AB"/>
    <w:pPr>
      <w:tabs>
        <w:tab w:val="center" w:pos="4320"/>
        <w:tab w:val="right" w:pos="8640"/>
      </w:tabs>
    </w:pPr>
  </w:style>
  <w:style w:type="character" w:customStyle="1" w:styleId="FooterChar">
    <w:name w:val="Footer Char"/>
    <w:basedOn w:val="DefaultParagraphFont"/>
    <w:link w:val="Footer"/>
    <w:rsid w:val="004A47AB"/>
    <w:rPr>
      <w:rFonts w:ascii="Times" w:eastAsia="Times New Roman" w:hAnsi="Times" w:cs="Arial"/>
      <w:sz w:val="23"/>
      <w:szCs w:val="20"/>
    </w:rPr>
  </w:style>
  <w:style w:type="character" w:styleId="PageNumber">
    <w:name w:val="page number"/>
    <w:basedOn w:val="DefaultParagraphFont"/>
    <w:rsid w:val="004A47AB"/>
  </w:style>
  <w:style w:type="paragraph" w:customStyle="1" w:styleId="CharChar">
    <w:name w:val="Char Char"/>
    <w:basedOn w:val="Normal"/>
    <w:rsid w:val="004A47AB"/>
    <w:pPr>
      <w:spacing w:after="160" w:line="240" w:lineRule="exact"/>
    </w:pPr>
    <w:rPr>
      <w:rFonts w:ascii="Tahoma" w:hAnsi="Tahoma" w:cs="Times New Roman"/>
      <w:sz w:val="20"/>
      <w:lang w:val="en-US"/>
    </w:rPr>
  </w:style>
  <w:style w:type="paragraph" w:styleId="Header">
    <w:name w:val="header"/>
    <w:basedOn w:val="Normal"/>
    <w:link w:val="HeaderChar"/>
    <w:uiPriority w:val="99"/>
    <w:unhideWhenUsed/>
    <w:rsid w:val="00377823"/>
    <w:pPr>
      <w:tabs>
        <w:tab w:val="center" w:pos="4513"/>
        <w:tab w:val="right" w:pos="9026"/>
      </w:tabs>
      <w:spacing w:after="0"/>
    </w:pPr>
  </w:style>
  <w:style w:type="character" w:customStyle="1" w:styleId="HeaderChar">
    <w:name w:val="Header Char"/>
    <w:basedOn w:val="DefaultParagraphFont"/>
    <w:link w:val="Header"/>
    <w:uiPriority w:val="99"/>
    <w:rsid w:val="00377823"/>
    <w:rPr>
      <w:rFonts w:ascii="Times" w:eastAsia="Times New Roman" w:hAnsi="Times" w:cs="Arial"/>
      <w:sz w:val="23"/>
      <w:szCs w:val="20"/>
    </w:rPr>
  </w:style>
  <w:style w:type="paragraph" w:styleId="ListParagraph">
    <w:name w:val="List Paragraph"/>
    <w:basedOn w:val="Normal"/>
    <w:uiPriority w:val="34"/>
    <w:qFormat/>
    <w:rsid w:val="00377823"/>
    <w:pPr>
      <w:ind w:left="720"/>
      <w:contextualSpacing/>
    </w:pPr>
  </w:style>
  <w:style w:type="table" w:styleId="TableGrid">
    <w:name w:val="Table Grid"/>
    <w:basedOn w:val="TableNormal"/>
    <w:uiPriority w:val="59"/>
    <w:rsid w:val="00DC408A"/>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qFormat/>
    <w:rsid w:val="00DC408A"/>
    <w:pPr>
      <w:spacing w:after="40"/>
      <w:ind w:left="567"/>
      <w:jc w:val="both"/>
    </w:pPr>
    <w:rPr>
      <w:rFonts w:ascii="Times New Roman" w:eastAsiaTheme="minorHAnsi" w:hAnsi="Times New Roman" w:cstheme="minorBidi"/>
      <w:szCs w:val="22"/>
    </w:rPr>
  </w:style>
  <w:style w:type="paragraph" w:styleId="Revision">
    <w:name w:val="Revision"/>
    <w:hidden/>
    <w:uiPriority w:val="99"/>
    <w:semiHidden/>
    <w:rsid w:val="00312AA2"/>
    <w:pPr>
      <w:spacing w:after="0" w:line="240" w:lineRule="auto"/>
    </w:pPr>
    <w:rPr>
      <w:rFonts w:ascii="Times" w:eastAsia="Times New Roman" w:hAnsi="Times" w:cs="Arial"/>
      <w:sz w:val="23"/>
      <w:szCs w:val="20"/>
    </w:rPr>
  </w:style>
  <w:style w:type="character" w:styleId="CommentReference">
    <w:name w:val="annotation reference"/>
    <w:basedOn w:val="DefaultParagraphFont"/>
    <w:uiPriority w:val="99"/>
    <w:semiHidden/>
    <w:unhideWhenUsed/>
    <w:rsid w:val="00312AA2"/>
    <w:rPr>
      <w:sz w:val="16"/>
      <w:szCs w:val="16"/>
    </w:rPr>
  </w:style>
  <w:style w:type="paragraph" w:styleId="CommentText">
    <w:name w:val="annotation text"/>
    <w:basedOn w:val="Normal"/>
    <w:link w:val="CommentTextChar"/>
    <w:uiPriority w:val="99"/>
    <w:unhideWhenUsed/>
    <w:rsid w:val="00312AA2"/>
    <w:rPr>
      <w:sz w:val="20"/>
    </w:rPr>
  </w:style>
  <w:style w:type="character" w:customStyle="1" w:styleId="CommentTextChar">
    <w:name w:val="Comment Text Char"/>
    <w:basedOn w:val="DefaultParagraphFont"/>
    <w:link w:val="CommentText"/>
    <w:uiPriority w:val="99"/>
    <w:rsid w:val="00312AA2"/>
    <w:rPr>
      <w:rFonts w:ascii="Times" w:eastAsia="Times New Roman" w:hAnsi="Times" w:cs="Arial"/>
      <w:sz w:val="20"/>
      <w:szCs w:val="20"/>
    </w:rPr>
  </w:style>
  <w:style w:type="paragraph" w:styleId="CommentSubject">
    <w:name w:val="annotation subject"/>
    <w:basedOn w:val="CommentText"/>
    <w:next w:val="CommentText"/>
    <w:link w:val="CommentSubjectChar"/>
    <w:uiPriority w:val="99"/>
    <w:semiHidden/>
    <w:unhideWhenUsed/>
    <w:rsid w:val="00312AA2"/>
    <w:rPr>
      <w:b/>
      <w:bCs/>
    </w:rPr>
  </w:style>
  <w:style w:type="character" w:customStyle="1" w:styleId="CommentSubjectChar">
    <w:name w:val="Comment Subject Char"/>
    <w:basedOn w:val="CommentTextChar"/>
    <w:link w:val="CommentSubject"/>
    <w:uiPriority w:val="99"/>
    <w:semiHidden/>
    <w:rsid w:val="00312AA2"/>
    <w:rPr>
      <w:rFonts w:ascii="Times" w:eastAsia="Times New Roman" w:hAnsi="Times" w:cs="Arial"/>
      <w:b/>
      <w:bCs/>
      <w:sz w:val="20"/>
      <w:szCs w:val="20"/>
    </w:rPr>
  </w:style>
  <w:style w:type="table" w:styleId="GridTable1Light">
    <w:name w:val="Grid Table 1 Light"/>
    <w:basedOn w:val="TableNormal"/>
    <w:uiPriority w:val="46"/>
    <w:rsid w:val="00B0280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156D55"/>
    <w:rPr>
      <w:b/>
      <w:bCs/>
    </w:rPr>
  </w:style>
  <w:style w:type="paragraph" w:customStyle="1" w:styleId="Clauseheading">
    <w:name w:val="Clause heading"/>
    <w:basedOn w:val="Normal"/>
    <w:qFormat/>
    <w:rsid w:val="00B26F67"/>
    <w:pPr>
      <w:numPr>
        <w:numId w:val="7"/>
      </w:numPr>
      <w:spacing w:before="240" w:after="40"/>
    </w:pPr>
    <w:rPr>
      <w:rFonts w:ascii="Times New Roman" w:eastAsiaTheme="minorHAnsi" w:hAnsi="Times New Roman" w:cs="Times New Roman"/>
      <w:b/>
      <w:szCs w:val="23"/>
    </w:rPr>
  </w:style>
  <w:style w:type="character" w:styleId="PlaceholderText">
    <w:name w:val="Placeholder Text"/>
    <w:basedOn w:val="DefaultParagraphFont"/>
    <w:uiPriority w:val="99"/>
    <w:semiHidden/>
    <w:rsid w:val="00DE3DBC"/>
    <w:rPr>
      <w:color w:val="666666"/>
    </w:rPr>
  </w:style>
  <w:style w:type="character" w:styleId="Mention">
    <w:name w:val="Mention"/>
    <w:basedOn w:val="DefaultParagraphFont"/>
    <w:uiPriority w:val="99"/>
    <w:unhideWhenUsed/>
    <w:rsid w:val="000A48E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16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935393CF03AD4BA306F70542C3F839" ma:contentTypeVersion="16" ma:contentTypeDescription="Create a new document." ma:contentTypeScope="" ma:versionID="437a58caccc6ef73ed5e6e7e6f3cd7c9">
  <xsd:schema xmlns:xsd="http://www.w3.org/2001/XMLSchema" xmlns:xs="http://www.w3.org/2001/XMLSchema" xmlns:p="http://schemas.microsoft.com/office/2006/metadata/properties" xmlns:ns3="6d9381c8-3c5d-4da0-b677-82efe1efb224" xmlns:ns4="effeb1af-f6c5-4943-aeeb-6adcf898d938" targetNamespace="http://schemas.microsoft.com/office/2006/metadata/properties" ma:root="true" ma:fieldsID="220dc0f7d89a0a38ee65475e7c92f365" ns3:_="" ns4:_="">
    <xsd:import namespace="6d9381c8-3c5d-4da0-b677-82efe1efb224"/>
    <xsd:import namespace="effeb1af-f6c5-4943-aeeb-6adcf898d93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MediaServiceOCR" minOccurs="0"/>
                <xsd:element ref="ns3:_activity" minOccurs="0"/>
                <xsd:element ref="ns3:MediaServiceDateTaken"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9381c8-3c5d-4da0-b677-82efe1efb2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feb1af-f6c5-4943-aeeb-6adcf898d93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d9381c8-3c5d-4da0-b677-82efe1efb22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7B1F2-B7D2-4573-B970-B008A95BE1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9381c8-3c5d-4da0-b677-82efe1efb224"/>
    <ds:schemaRef ds:uri="effeb1af-f6c5-4943-aeeb-6adcf898d9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7B9D4B-0C34-4B58-9FCD-B2C089060A83}">
  <ds:schemaRefs>
    <ds:schemaRef ds:uri="http://schemas.microsoft.com/sharepoint/v3/contenttype/forms"/>
  </ds:schemaRefs>
</ds:datastoreItem>
</file>

<file path=customXml/itemProps3.xml><?xml version="1.0" encoding="utf-8"?>
<ds:datastoreItem xmlns:ds="http://schemas.openxmlformats.org/officeDocument/2006/customXml" ds:itemID="{B7D5D247-0145-48EF-A95D-416EC3E1D428}">
  <ds:schemaRefs>
    <ds:schemaRef ds:uri="http://schemas.microsoft.com/office/infopath/2007/PartnerControls"/>
    <ds:schemaRef ds:uri="effeb1af-f6c5-4943-aeeb-6adcf898d938"/>
    <ds:schemaRef ds:uri="http://purl.org/dc/terms/"/>
    <ds:schemaRef ds:uri="http://schemas.microsoft.com/office/2006/metadata/properties"/>
    <ds:schemaRef ds:uri="http://schemas.microsoft.com/office/2006/documentManagement/types"/>
    <ds:schemaRef ds:uri="6d9381c8-3c5d-4da0-b677-82efe1efb224"/>
    <ds:schemaRef ds:uri="http://purl.org/dc/elements/1.1/"/>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FBC12E35-D698-4274-8CBF-3E18D64A9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700</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4681</CharactersWithSpaces>
  <SharedDoc>false</SharedDoc>
  <HLinks>
    <vt:vector size="42" baseType="variant">
      <vt:variant>
        <vt:i4>1507388</vt:i4>
      </vt:variant>
      <vt:variant>
        <vt:i4>29</vt:i4>
      </vt:variant>
      <vt:variant>
        <vt:i4>0</vt:i4>
      </vt:variant>
      <vt:variant>
        <vt:i4>5</vt:i4>
      </vt:variant>
      <vt:variant>
        <vt:lpwstr/>
      </vt:variant>
      <vt:variant>
        <vt:lpwstr>_Toc105490141</vt:lpwstr>
      </vt:variant>
      <vt:variant>
        <vt:i4>1507388</vt:i4>
      </vt:variant>
      <vt:variant>
        <vt:i4>23</vt:i4>
      </vt:variant>
      <vt:variant>
        <vt:i4>0</vt:i4>
      </vt:variant>
      <vt:variant>
        <vt:i4>5</vt:i4>
      </vt:variant>
      <vt:variant>
        <vt:lpwstr/>
      </vt:variant>
      <vt:variant>
        <vt:lpwstr>_Toc105490140</vt:lpwstr>
      </vt:variant>
      <vt:variant>
        <vt:i4>1048636</vt:i4>
      </vt:variant>
      <vt:variant>
        <vt:i4>17</vt:i4>
      </vt:variant>
      <vt:variant>
        <vt:i4>0</vt:i4>
      </vt:variant>
      <vt:variant>
        <vt:i4>5</vt:i4>
      </vt:variant>
      <vt:variant>
        <vt:lpwstr/>
      </vt:variant>
      <vt:variant>
        <vt:lpwstr>_Toc105490139</vt:lpwstr>
      </vt:variant>
      <vt:variant>
        <vt:i4>1048636</vt:i4>
      </vt:variant>
      <vt:variant>
        <vt:i4>11</vt:i4>
      </vt:variant>
      <vt:variant>
        <vt:i4>0</vt:i4>
      </vt:variant>
      <vt:variant>
        <vt:i4>5</vt:i4>
      </vt:variant>
      <vt:variant>
        <vt:lpwstr/>
      </vt:variant>
      <vt:variant>
        <vt:lpwstr>_Toc105490138</vt:lpwstr>
      </vt:variant>
      <vt:variant>
        <vt:i4>1048636</vt:i4>
      </vt:variant>
      <vt:variant>
        <vt:i4>5</vt:i4>
      </vt:variant>
      <vt:variant>
        <vt:i4>0</vt:i4>
      </vt:variant>
      <vt:variant>
        <vt:i4>5</vt:i4>
      </vt:variant>
      <vt:variant>
        <vt:lpwstr/>
      </vt:variant>
      <vt:variant>
        <vt:lpwstr>_Toc105490137</vt:lpwstr>
      </vt:variant>
      <vt:variant>
        <vt:i4>7602191</vt:i4>
      </vt:variant>
      <vt:variant>
        <vt:i4>3</vt:i4>
      </vt:variant>
      <vt:variant>
        <vt:i4>0</vt:i4>
      </vt:variant>
      <vt:variant>
        <vt:i4>5</vt:i4>
      </vt:variant>
      <vt:variant>
        <vt:lpwstr>mailto:Ruby.Hey001@msd.govt.nz</vt:lpwstr>
      </vt:variant>
      <vt:variant>
        <vt:lpwstr/>
      </vt:variant>
      <vt:variant>
        <vt:i4>7602191</vt:i4>
      </vt:variant>
      <vt:variant>
        <vt:i4>0</vt:i4>
      </vt:variant>
      <vt:variant>
        <vt:i4>0</vt:i4>
      </vt:variant>
      <vt:variant>
        <vt:i4>5</vt:i4>
      </vt:variant>
      <vt:variant>
        <vt:lpwstr>mailto:Ruby.Hey001@msd.govt.nz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Frost</dc:creator>
  <cp:keywords/>
  <dc:description/>
  <cp:lastModifiedBy>Craig Buchan</cp:lastModifiedBy>
  <cp:revision>2</cp:revision>
  <dcterms:created xsi:type="dcterms:W3CDTF">2025-03-03T20:33:00Z</dcterms:created>
  <dcterms:modified xsi:type="dcterms:W3CDTF">2025-03-03T20:33:00Z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3e46a9-9901-46e9-bfae-bb6189d4cb66_Enabled">
    <vt:lpwstr>true</vt:lpwstr>
  </property>
  <property fmtid="{D5CDD505-2E9C-101B-9397-08002B2CF9AE}" pid="3" name="MSIP_Label_f43e46a9-9901-46e9-bfae-bb6189d4cb66_SetDate">
    <vt:lpwstr>2024-12-02T22:09:30Z</vt:lpwstr>
  </property>
  <property fmtid="{D5CDD505-2E9C-101B-9397-08002B2CF9AE}" pid="4" name="MSIP_Label_f43e46a9-9901-46e9-bfae-bb6189d4cb66_Method">
    <vt:lpwstr>Standard</vt:lpwstr>
  </property>
  <property fmtid="{D5CDD505-2E9C-101B-9397-08002B2CF9AE}" pid="5" name="MSIP_Label_f43e46a9-9901-46e9-bfae-bb6189d4cb66_Name">
    <vt:lpwstr>In-confidence</vt:lpwstr>
  </property>
  <property fmtid="{D5CDD505-2E9C-101B-9397-08002B2CF9AE}" pid="6" name="MSIP_Label_f43e46a9-9901-46e9-bfae-bb6189d4cb66_SiteId">
    <vt:lpwstr>e40c4f52-99bd-4d4f-bf7e-d001a2ca6556</vt:lpwstr>
  </property>
  <property fmtid="{D5CDD505-2E9C-101B-9397-08002B2CF9AE}" pid="7" name="MSIP_Label_f43e46a9-9901-46e9-bfae-bb6189d4cb66_ActionId">
    <vt:lpwstr>de406039-a718-4478-b967-4914d52ff37b</vt:lpwstr>
  </property>
  <property fmtid="{D5CDD505-2E9C-101B-9397-08002B2CF9AE}" pid="8" name="MSIP_Label_f43e46a9-9901-46e9-bfae-bb6189d4cb66_ContentBits">
    <vt:lpwstr>1</vt:lpwstr>
  </property>
  <property fmtid="{D5CDD505-2E9C-101B-9397-08002B2CF9AE}" pid="9" name="ContentTypeId">
    <vt:lpwstr>0x01010007935393CF03AD4BA306F70542C3F839</vt:lpwstr>
  </property>
  <property fmtid="{D5CDD505-2E9C-101B-9397-08002B2CF9AE}" pid="10" name="_dlc_DocIdItemGuid">
    <vt:lpwstr>e0832e04-1f76-4382-92f0-6b4ba8f568b3</vt:lpwstr>
  </property>
  <property fmtid="{D5CDD505-2E9C-101B-9397-08002B2CF9AE}" pid="11" name="BusinessFunction">
    <vt:lpwstr/>
  </property>
  <property fmtid="{D5CDD505-2E9C-101B-9397-08002B2CF9AE}" pid="12" name="MediaServiceImageTags">
    <vt:lpwstr/>
  </property>
  <property fmtid="{D5CDD505-2E9C-101B-9397-08002B2CF9AE}" pid="13" name="PartnerOrganisation">
    <vt:lpwstr/>
  </property>
  <property fmtid="{D5CDD505-2E9C-101B-9397-08002B2CF9AE}" pid="14" name="OrganisationGroup">
    <vt:lpwstr/>
  </property>
</Properties>
</file>