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8" w:rsidRDefault="001968D5" w:rsidP="00C03A65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4B1576A" wp14:editId="227331F6">
            <wp:simplePos x="0" y="0"/>
            <wp:positionH relativeFrom="column">
              <wp:posOffset>-144780</wp:posOffset>
            </wp:positionH>
            <wp:positionV relativeFrom="paragraph">
              <wp:posOffset>-483870</wp:posOffset>
            </wp:positionV>
            <wp:extent cx="2612039" cy="768657"/>
            <wp:effectExtent l="0" t="0" r="0" b="0"/>
            <wp:wrapNone/>
            <wp:docPr id="3" name="Picture 3" descr="\\corp.ssi.govt.nz\usersm\mjohn034\Desktop\MSD Branding\MSD Logos\MSD_30mmBELOW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ssi.govt.nz\usersm\mjohn034\Desktop\MSD Branding\MSD Logos\MSD_30mmBELOW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39" cy="7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85CC5" w:rsidRPr="00A85CC5" w:rsidTr="00A85CC5">
        <w:tc>
          <w:tcPr>
            <w:tcW w:w="10598" w:type="dxa"/>
            <w:shd w:val="clear" w:color="auto" w:fill="002060"/>
            <w:vAlign w:val="center"/>
          </w:tcPr>
          <w:p w:rsidR="00A85CC5" w:rsidRPr="00C03A65" w:rsidRDefault="008815B9" w:rsidP="008815B9">
            <w:pPr>
              <w:pStyle w:val="Heading1"/>
              <w:outlineLvl w:val="0"/>
            </w:pPr>
            <w:r>
              <w:t xml:space="preserve">Factsheet - </w:t>
            </w:r>
            <w:r w:rsidRPr="008815B9">
              <w:rPr>
                <w:rFonts w:eastAsia="Times New Roman" w:cs="Times New Roman"/>
                <w:color w:val="auto"/>
              </w:rPr>
              <w:t>Tenancy review exemptions</w:t>
            </w:r>
            <w:r w:rsidRPr="008815B9">
              <w:rPr>
                <w:rFonts w:ascii="Calibri" w:eastAsia="Times New Roman" w:hAnsi="Calibri" w:cs="Times New Roman"/>
                <w:color w:val="auto"/>
              </w:rPr>
              <w:t xml:space="preserve"> </w:t>
            </w:r>
          </w:p>
        </w:tc>
      </w:tr>
    </w:tbl>
    <w:p w:rsidR="008815B9" w:rsidRPr="00B26971" w:rsidRDefault="008815B9" w:rsidP="008815B9">
      <w:pPr>
        <w:spacing w:before="120"/>
        <w:rPr>
          <w:rFonts w:asciiTheme="minorHAnsi" w:hAnsiTheme="minorHAnsi"/>
          <w:sz w:val="32"/>
        </w:rPr>
      </w:pPr>
      <w:r>
        <w:t>September 2018</w:t>
      </w:r>
      <w:r w:rsidRPr="00B26971">
        <w:rPr>
          <w:rFonts w:asciiTheme="minorHAnsi" w:hAnsiTheme="minorHAnsi"/>
          <w:sz w:val="32"/>
        </w:rPr>
        <w:t xml:space="preserve"> </w:t>
      </w:r>
    </w:p>
    <w:p w:rsidR="008815B9" w:rsidRPr="001A1360" w:rsidRDefault="008815B9" w:rsidP="007974A5">
      <w:pPr>
        <w:spacing w:line="276" w:lineRule="auto"/>
        <w:rPr>
          <w:sz w:val="22"/>
          <w:szCs w:val="22"/>
        </w:rPr>
        <w:sectPr w:rsidR="008815B9" w:rsidRPr="001A1360" w:rsidSect="008815B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A1360">
        <w:rPr>
          <w:sz w:val="22"/>
          <w:szCs w:val="22"/>
        </w:rPr>
        <w:t xml:space="preserve">The Government </w:t>
      </w:r>
      <w:r w:rsidR="001A1360" w:rsidRPr="001A1360">
        <w:rPr>
          <w:sz w:val="22"/>
          <w:szCs w:val="22"/>
        </w:rPr>
        <w:t xml:space="preserve">is making more public housing tenants exempt from tenancy reviews. The change is designed to </w:t>
      </w:r>
      <w:r w:rsidRPr="001A1360">
        <w:rPr>
          <w:sz w:val="22"/>
          <w:szCs w:val="22"/>
        </w:rPr>
        <w:t xml:space="preserve">better protect and recognise public housing tenants who most need the security and support of long-term public housing. </w:t>
      </w:r>
      <w:r w:rsidR="007974A5" w:rsidRPr="001A1360">
        <w:rPr>
          <w:sz w:val="22"/>
          <w:szCs w:val="22"/>
        </w:rPr>
        <w:t xml:space="preserve"> 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lastRenderedPageBreak/>
        <w:t xml:space="preserve">What is a public housing tenancy review? </w:t>
      </w:r>
    </w:p>
    <w:p w:rsidR="008815B9" w:rsidRPr="008C135E" w:rsidRDefault="008815B9" w:rsidP="008C135E">
      <w:pPr>
        <w:spacing w:line="276" w:lineRule="auto"/>
      </w:pPr>
      <w:r w:rsidRPr="008C135E">
        <w:t xml:space="preserve">Tenancy reviews help make sure people living in </w:t>
      </w:r>
      <w:r w:rsidR="002A1DBA">
        <w:t>public</w:t>
      </w:r>
      <w:r w:rsidRPr="008C135E">
        <w:t xml:space="preserve"> housing still need it, and the type of property they are living in still meets their needs.  Public housing tenants may be contacted by the Ministry of Social Development for a tenancy review no more than once every three years. 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 xml:space="preserve">Which groups will now be exempt from </w:t>
      </w:r>
      <w:r w:rsidR="00CF05C7">
        <w:rPr>
          <w:szCs w:val="20"/>
        </w:rPr>
        <w:t xml:space="preserve">periodic </w:t>
      </w:r>
      <w:r w:rsidRPr="008C135E">
        <w:rPr>
          <w:szCs w:val="20"/>
        </w:rPr>
        <w:t xml:space="preserve">tenancy reviews?  </w:t>
      </w:r>
    </w:p>
    <w:p w:rsidR="008815B9" w:rsidRPr="008C135E" w:rsidRDefault="008815B9" w:rsidP="008C135E">
      <w:pPr>
        <w:spacing w:line="276" w:lineRule="auto"/>
      </w:pPr>
      <w:r w:rsidRPr="008C135E">
        <w:t>Public housing tenants who do not need to undergo a tenancy review will now include:</w:t>
      </w:r>
    </w:p>
    <w:p w:rsidR="008815B9" w:rsidRPr="008C135E" w:rsidRDefault="008815B9" w:rsidP="008C135E">
      <w:pPr>
        <w:pStyle w:val="ListParagraph"/>
        <w:numPr>
          <w:ilvl w:val="0"/>
          <w:numId w:val="22"/>
        </w:numPr>
        <w:spacing w:line="276" w:lineRule="auto"/>
      </w:pPr>
      <w:r w:rsidRPr="008C135E">
        <w:t xml:space="preserve">households </w:t>
      </w:r>
      <w:r w:rsidR="00CE108F">
        <w:t>where the signatory tenant or their partner</w:t>
      </w:r>
      <w:r w:rsidR="00CE108F" w:rsidRPr="008C135E">
        <w:t xml:space="preserve"> </w:t>
      </w:r>
      <w:r w:rsidR="000329B5">
        <w:t xml:space="preserve"> has </w:t>
      </w:r>
      <w:r w:rsidRPr="008C135E">
        <w:t xml:space="preserve">dependent children 18 years old </w:t>
      </w:r>
      <w:r w:rsidR="00CF05C7">
        <w:t xml:space="preserve">and under </w:t>
      </w:r>
      <w:r w:rsidRPr="008C135E">
        <w:t>in their care, including those working with a Children’s Team in Oranga Tamariki – Ministry for Children</w:t>
      </w:r>
    </w:p>
    <w:p w:rsidR="008815B9" w:rsidRPr="008C135E" w:rsidRDefault="008815B9" w:rsidP="008C135E">
      <w:pPr>
        <w:pStyle w:val="ListParagraph"/>
        <w:numPr>
          <w:ilvl w:val="0"/>
          <w:numId w:val="22"/>
        </w:numPr>
        <w:spacing w:line="276" w:lineRule="auto"/>
      </w:pPr>
      <w:r w:rsidRPr="008C135E">
        <w:t>households where the</w:t>
      </w:r>
      <w:r w:rsidR="00CE108F">
        <w:t xml:space="preserve"> signatory</w:t>
      </w:r>
      <w:r w:rsidRPr="008C135E">
        <w:t xml:space="preserve"> tenant or their partner is </w:t>
      </w:r>
      <w:r w:rsidR="00CF05C7">
        <w:t>aged</w:t>
      </w:r>
      <w:r w:rsidRPr="008C135E">
        <w:t xml:space="preserve"> 65</w:t>
      </w:r>
      <w:r w:rsidR="00CF05C7">
        <w:t xml:space="preserve"> years or over</w:t>
      </w:r>
      <w:r w:rsidRPr="008C135E">
        <w:t xml:space="preserve"> </w:t>
      </w:r>
    </w:p>
    <w:p w:rsidR="008815B9" w:rsidRPr="008C135E" w:rsidRDefault="008815B9" w:rsidP="008C135E">
      <w:pPr>
        <w:pStyle w:val="ListParagraph"/>
        <w:numPr>
          <w:ilvl w:val="0"/>
          <w:numId w:val="22"/>
        </w:numPr>
        <w:spacing w:line="276" w:lineRule="auto"/>
      </w:pPr>
      <w:r w:rsidRPr="008C135E">
        <w:t xml:space="preserve">households where the </w:t>
      </w:r>
      <w:r w:rsidR="00CE108F">
        <w:t>signatory</w:t>
      </w:r>
      <w:r w:rsidR="00CE108F" w:rsidRPr="008C135E">
        <w:t xml:space="preserve"> </w:t>
      </w:r>
      <w:r w:rsidRPr="008C135E">
        <w:t>tenant or their partner receives a Supported Living Payment because they have a permanent, severe disability or health condition or because they are providing full-time care at home for a person other than their spouse or partner, who would otherwise need hospital level or residential care, or equivalent</w:t>
      </w:r>
    </w:p>
    <w:p w:rsidR="008815B9" w:rsidRPr="008C135E" w:rsidRDefault="008815B9" w:rsidP="008C135E">
      <w:pPr>
        <w:pStyle w:val="ListParagraph"/>
        <w:numPr>
          <w:ilvl w:val="0"/>
          <w:numId w:val="22"/>
        </w:numPr>
        <w:spacing w:line="276" w:lineRule="auto"/>
      </w:pPr>
      <w:proofErr w:type="gramStart"/>
      <w:r w:rsidRPr="008C135E">
        <w:t>people</w:t>
      </w:r>
      <w:proofErr w:type="gramEnd"/>
      <w:r w:rsidRPr="008C135E">
        <w:t xml:space="preserve"> with agreed lifetime tenure with Housing New Zealand.</w:t>
      </w:r>
    </w:p>
    <w:p w:rsidR="008815B9" w:rsidRPr="008C135E" w:rsidRDefault="008815B9" w:rsidP="008C135E">
      <w:pPr>
        <w:pStyle w:val="ListParagraph"/>
        <w:spacing w:line="276" w:lineRule="auto"/>
        <w:ind w:left="0"/>
      </w:pPr>
      <w:r w:rsidRPr="008C135E">
        <w:lastRenderedPageBreak/>
        <w:br/>
        <w:t>Exempt tenants will only be reviewed if their circumstances change in a way that would impact their eligibility for public housing, or if they need to move into a different property that better meets their needs.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>Why has the Government widened exemptions?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t xml:space="preserve">While public housing is not intended to be a house for life, </w:t>
      </w:r>
      <w:r w:rsidRPr="008C135E">
        <w:rPr>
          <w:bCs/>
        </w:rPr>
        <w:t>it is important to recognise that some groups of tenants will continue to need secure public housing and support for a long period of time, and that tenancy reviews can cause unnecessary stress and uncertainty for groups who are highly likely to remain in public housing.</w:t>
      </w:r>
    </w:p>
    <w:p w:rsidR="008815B9" w:rsidRPr="008C135E" w:rsidRDefault="002500C6" w:rsidP="008C135E">
      <w:pPr>
        <w:spacing w:line="276" w:lineRule="auto"/>
        <w:rPr>
          <w:bCs/>
        </w:rPr>
      </w:pPr>
      <w:r>
        <w:rPr>
          <w:bCs/>
        </w:rPr>
        <w:t>Also</w:t>
      </w:r>
      <w:r w:rsidR="008815B9" w:rsidRPr="008C135E">
        <w:rPr>
          <w:bCs/>
        </w:rPr>
        <w:t xml:space="preserve">, the previous exemptions were not as well </w:t>
      </w:r>
      <w:r w:rsidR="008815B9" w:rsidRPr="002500C6">
        <w:rPr>
          <w:bCs/>
        </w:rPr>
        <w:t>targeted as they could have been</w:t>
      </w:r>
      <w:r w:rsidRPr="002500C6">
        <w:rPr>
          <w:bCs/>
        </w:rPr>
        <w:t>.</w:t>
      </w:r>
      <w:r w:rsidR="008815B9" w:rsidRPr="002500C6">
        <w:rPr>
          <w:bCs/>
        </w:rPr>
        <w:t xml:space="preserve"> </w:t>
      </w:r>
      <w:r w:rsidRPr="002500C6">
        <w:rPr>
          <w:bCs/>
        </w:rPr>
        <w:t>For example, the previous disability-related exemption excluded most disabled people, as it applied to properties modified for disability needs rather than to people with a disability or health</w:t>
      </w:r>
      <w:r>
        <w:rPr>
          <w:bCs/>
        </w:rPr>
        <w:t xml:space="preserve"> condition.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>What does this mean for public housing tenants?</w:t>
      </w:r>
    </w:p>
    <w:p w:rsidR="008C135E" w:rsidRDefault="008815B9" w:rsidP="008C135E">
      <w:pPr>
        <w:spacing w:line="276" w:lineRule="auto"/>
      </w:pPr>
      <w:r w:rsidRPr="008C135E">
        <w:t xml:space="preserve">Public housing tenants do not need to take any action for the time being. </w:t>
      </w:r>
    </w:p>
    <w:p w:rsidR="008C135E" w:rsidRDefault="008815B9" w:rsidP="008C135E">
      <w:pPr>
        <w:spacing w:line="276" w:lineRule="auto"/>
      </w:pPr>
      <w:r w:rsidRPr="008C135E">
        <w:t xml:space="preserve">Tenancy reviews have been on hold since earlier in 2018 and will stay on hold until early 2019. </w:t>
      </w:r>
    </w:p>
    <w:p w:rsidR="008815B9" w:rsidRPr="008C135E" w:rsidRDefault="008815B9" w:rsidP="008C135E">
      <w:pPr>
        <w:spacing w:line="276" w:lineRule="auto"/>
      </w:pPr>
      <w:r w:rsidRPr="008C135E">
        <w:t>When reviews re-start in 2019, the Ministry of Social Development will get in touch to explain the next steps.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lastRenderedPageBreak/>
        <w:t xml:space="preserve">Who was exempt in the past? </w:t>
      </w:r>
    </w:p>
    <w:p w:rsid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>Until recently, the only groups e</w:t>
      </w:r>
      <w:r w:rsidR="008C135E">
        <w:rPr>
          <w:bCs/>
        </w:rPr>
        <w:t>xempt from tenancy reviews were</w:t>
      </w:r>
      <w:r w:rsidRPr="008C135E">
        <w:rPr>
          <w:bCs/>
        </w:rPr>
        <w:t xml:space="preserve"> people 75 and older; people living in a property with accessibility modifications (e</w:t>
      </w:r>
      <w:r w:rsidR="008C135E">
        <w:rPr>
          <w:bCs/>
        </w:rPr>
        <w:t>.</w:t>
      </w:r>
      <w:r w:rsidRPr="008C135E">
        <w:rPr>
          <w:bCs/>
        </w:rPr>
        <w:t>g</w:t>
      </w:r>
      <w:r w:rsidR="008C135E">
        <w:rPr>
          <w:bCs/>
        </w:rPr>
        <w:t xml:space="preserve">. for wheelchair access) </w:t>
      </w:r>
      <w:r w:rsidRPr="008C135E">
        <w:rPr>
          <w:bCs/>
        </w:rPr>
        <w:t xml:space="preserve">and those with an agreed lifetime tenure with Housing New Zealand. 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 xml:space="preserve">There was also a small number of public housing tenancies who were working with </w:t>
      </w:r>
      <w:r w:rsidRPr="008C135E">
        <w:t xml:space="preserve">an Oranga Tamariki – Ministry for Children </w:t>
      </w:r>
      <w:r w:rsidR="008C135E">
        <w:t xml:space="preserve">Children’s Team and </w:t>
      </w:r>
      <w:r w:rsidRPr="008C135E">
        <w:t>whose  tenancy review could be deferred for up to three years, with a possible furt</w:t>
      </w:r>
      <w:r w:rsidR="008C135E">
        <w:t>her deferral of up to two years</w:t>
      </w:r>
      <w:r w:rsidRPr="008C135E">
        <w:t>.</w:t>
      </w:r>
      <w:r w:rsidRPr="008C135E">
        <w:rPr>
          <w:bCs/>
        </w:rPr>
        <w:t xml:space="preserve"> 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 xml:space="preserve">All these groups will </w:t>
      </w:r>
      <w:r w:rsidR="008C135E" w:rsidRPr="008C135E">
        <w:rPr>
          <w:bCs/>
        </w:rPr>
        <w:t>remain exempt</w:t>
      </w:r>
      <w:r w:rsidRPr="008C135E">
        <w:rPr>
          <w:bCs/>
        </w:rPr>
        <w:t xml:space="preserve"> from tenancy reviews.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>How many tenancies will now be exempt from tenancy reviews?</w:t>
      </w:r>
    </w:p>
    <w:p w:rsidR="008815B9" w:rsidRPr="008C135E" w:rsidRDefault="00CF05C7" w:rsidP="008C135E">
      <w:pPr>
        <w:spacing w:line="276" w:lineRule="auto"/>
        <w:rPr>
          <w:bCs/>
        </w:rPr>
      </w:pPr>
      <w:r>
        <w:rPr>
          <w:bCs/>
        </w:rPr>
        <w:t>As at March 2018,</w:t>
      </w:r>
      <w:r w:rsidRPr="008C135E">
        <w:rPr>
          <w:bCs/>
        </w:rPr>
        <w:t xml:space="preserve"> </w:t>
      </w:r>
      <w:r w:rsidR="008815B9" w:rsidRPr="008C135E">
        <w:rPr>
          <w:bCs/>
        </w:rPr>
        <w:t>8,967 tenancies or 14 per cent of all public housing tenancies are exempt from tenancy reviews.  Under the new exemptions around 81 per cent, or 52,950 tenancies, will be exempt.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>How will this affect the Housing Register?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 xml:space="preserve">Although the increase in exemptions is large, </w:t>
      </w:r>
      <w:r w:rsidR="00CF05C7">
        <w:rPr>
          <w:bCs/>
        </w:rPr>
        <w:t xml:space="preserve">we anticipate that </w:t>
      </w:r>
      <w:r w:rsidRPr="008C135E">
        <w:rPr>
          <w:bCs/>
        </w:rPr>
        <w:t xml:space="preserve">the impact on the Housing Register </w:t>
      </w:r>
      <w:r w:rsidR="00CF05C7">
        <w:rPr>
          <w:bCs/>
        </w:rPr>
        <w:t>is likely to</w:t>
      </w:r>
      <w:r w:rsidR="00CF05C7" w:rsidRPr="008C135E">
        <w:rPr>
          <w:bCs/>
        </w:rPr>
        <w:t xml:space="preserve"> </w:t>
      </w:r>
      <w:r w:rsidRPr="008C135E">
        <w:rPr>
          <w:bCs/>
        </w:rPr>
        <w:t xml:space="preserve">be small. </w:t>
      </w:r>
    </w:p>
    <w:p w:rsidR="005D7F64" w:rsidRPr="008C135E" w:rsidRDefault="005D7F64" w:rsidP="005D7F64">
      <w:pPr>
        <w:spacing w:line="276" w:lineRule="auto"/>
        <w:rPr>
          <w:bCs/>
        </w:rPr>
      </w:pPr>
      <w:r w:rsidRPr="008C135E">
        <w:rPr>
          <w:bCs/>
        </w:rPr>
        <w:t xml:space="preserve">Tenancy reviews are </w:t>
      </w:r>
      <w:r>
        <w:rPr>
          <w:bCs/>
        </w:rPr>
        <w:t>not a main</w:t>
      </w:r>
      <w:r w:rsidRPr="008C135E">
        <w:rPr>
          <w:bCs/>
        </w:rPr>
        <w:t xml:space="preserve"> driver of exits from public housing</w:t>
      </w:r>
      <w:r>
        <w:rPr>
          <w:bCs/>
        </w:rPr>
        <w:t>, accounting for only 5.5 per cent of</w:t>
      </w:r>
      <w:r w:rsidRPr="008C135E">
        <w:rPr>
          <w:bCs/>
        </w:rPr>
        <w:t xml:space="preserve"> all exits from public housing between January 2015 and March 2018</w:t>
      </w:r>
      <w:r>
        <w:rPr>
          <w:bCs/>
        </w:rPr>
        <w:t>.</w:t>
      </w:r>
    </w:p>
    <w:p w:rsidR="00002667" w:rsidRPr="008C135E" w:rsidRDefault="00845C77" w:rsidP="00002667">
      <w:pPr>
        <w:spacing w:line="276" w:lineRule="auto"/>
        <w:rPr>
          <w:bCs/>
        </w:rPr>
      </w:pPr>
      <w:r w:rsidRPr="007974A5">
        <w:rPr>
          <w:lang w:val="en-AU"/>
        </w:rPr>
        <w:t>By focusing on groups that have previously been more likely to exit public housing following a tenancy review</w:t>
      </w:r>
      <w:r w:rsidR="00773D88">
        <w:rPr>
          <w:lang w:val="en-AU"/>
        </w:rPr>
        <w:t>,</w:t>
      </w:r>
      <w:r w:rsidRPr="007974A5">
        <w:rPr>
          <w:lang w:val="en-AU"/>
        </w:rPr>
        <w:t xml:space="preserve"> </w:t>
      </w:r>
      <w:r w:rsidR="00002667">
        <w:rPr>
          <w:lang w:val="en-AU"/>
        </w:rPr>
        <w:t xml:space="preserve">we </w:t>
      </w:r>
      <w:r w:rsidR="00133561">
        <w:rPr>
          <w:lang w:val="en-AU"/>
        </w:rPr>
        <w:t xml:space="preserve">could </w:t>
      </w:r>
      <w:r w:rsidR="00002667">
        <w:rPr>
          <w:lang w:val="en-AU"/>
        </w:rPr>
        <w:t xml:space="preserve">see </w:t>
      </w:r>
      <w:r w:rsidR="00002667">
        <w:rPr>
          <w:bCs/>
        </w:rPr>
        <w:t>an increase in</w:t>
      </w:r>
      <w:r w:rsidR="00002667" w:rsidRPr="008C135E">
        <w:rPr>
          <w:bCs/>
        </w:rPr>
        <w:t xml:space="preserve"> positive exits</w:t>
      </w:r>
      <w:r w:rsidR="00002667">
        <w:rPr>
          <w:bCs/>
        </w:rPr>
        <w:t>,</w:t>
      </w:r>
      <w:r w:rsidR="00002667" w:rsidRPr="008C135E">
        <w:rPr>
          <w:bCs/>
        </w:rPr>
        <w:t xml:space="preserve"> freeing up more public housing places for people on the Housing Register. 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 xml:space="preserve">Ministry of Social Development data analysis suggests that exit rates as a result of a tenancy review could rise from </w:t>
      </w:r>
      <w:r w:rsidRPr="008C135E">
        <w:rPr>
          <w:bCs/>
        </w:rPr>
        <w:lastRenderedPageBreak/>
        <w:t>20 per cent of all reviews to around 36 per cent.</w:t>
      </w:r>
    </w:p>
    <w:p w:rsidR="008815B9" w:rsidRPr="008C135E" w:rsidRDefault="008815B9" w:rsidP="008C135E">
      <w:pPr>
        <w:spacing w:line="276" w:lineRule="auto"/>
        <w:rPr>
          <w:bCs/>
        </w:rPr>
      </w:pPr>
      <w:r w:rsidRPr="008C135E">
        <w:rPr>
          <w:bCs/>
        </w:rPr>
        <w:t>We’re also increasing public housing supply by at least 1,600 homes every year which will help more people come off the Housing Register into a stable, secure home.</w:t>
      </w:r>
    </w:p>
    <w:p w:rsidR="008815B9" w:rsidRPr="008C135E" w:rsidRDefault="008815B9" w:rsidP="008C135E">
      <w:pPr>
        <w:pStyle w:val="Heading3"/>
        <w:spacing w:line="276" w:lineRule="auto"/>
        <w:rPr>
          <w:szCs w:val="20"/>
        </w:rPr>
      </w:pPr>
      <w:r w:rsidRPr="008C135E">
        <w:rPr>
          <w:szCs w:val="20"/>
        </w:rPr>
        <w:t>Since tenancy reviews started, how many tenants have left public housing as a result of a review?</w:t>
      </w:r>
    </w:p>
    <w:p w:rsidR="008815B9" w:rsidRPr="008C135E" w:rsidRDefault="008815B9" w:rsidP="008C135E">
      <w:pPr>
        <w:spacing w:line="276" w:lineRule="auto"/>
      </w:pPr>
      <w:r w:rsidRPr="008C135E">
        <w:rPr>
          <w:bCs/>
        </w:rPr>
        <w:t xml:space="preserve">Since tenancy reviews began, the Ministry of Social Development has completed </w:t>
      </w:r>
      <w:r w:rsidR="00CF05C7">
        <w:rPr>
          <w:bCs/>
        </w:rPr>
        <w:t xml:space="preserve">approximately </w:t>
      </w:r>
      <w:r w:rsidRPr="008C135E">
        <w:rPr>
          <w:bCs/>
        </w:rPr>
        <w:t>7,000 tenancy reviews</w:t>
      </w:r>
      <w:r w:rsidR="00CF05C7">
        <w:rPr>
          <w:bCs/>
        </w:rPr>
        <w:t xml:space="preserve">. </w:t>
      </w:r>
      <w:r w:rsidRPr="008C135E">
        <w:rPr>
          <w:bCs/>
        </w:rPr>
        <w:t>These resulted in around 1,400 households (20 per cent) moving from public housing into other housing such as private rental housing or home ownership.</w:t>
      </w:r>
      <w:r w:rsidRPr="008C135E">
        <w:t xml:space="preserve"> </w:t>
      </w:r>
    </w:p>
    <w:p w:rsidR="005D7F64" w:rsidRDefault="005D7F64" w:rsidP="005D7F64">
      <w:pPr>
        <w:ind w:left="34"/>
        <w:rPr>
          <w:lang w:val="en-AU"/>
        </w:rPr>
      </w:pPr>
      <w:r>
        <w:rPr>
          <w:lang w:val="en-AU"/>
        </w:rPr>
        <w:t xml:space="preserve">Since reviews began in 2014, the vast majority </w:t>
      </w:r>
      <w:r w:rsidR="00390E14">
        <w:rPr>
          <w:lang w:val="en-AU"/>
        </w:rPr>
        <w:t xml:space="preserve">of exits </w:t>
      </w:r>
      <w:r w:rsidR="00773D88">
        <w:rPr>
          <w:lang w:val="en-AU"/>
        </w:rPr>
        <w:t>(</w:t>
      </w:r>
      <w:r w:rsidR="00390E14">
        <w:rPr>
          <w:lang w:val="en-AU"/>
        </w:rPr>
        <w:t>around 1,200 of approximately 1,400</w:t>
      </w:r>
      <w:r w:rsidR="00773D88">
        <w:rPr>
          <w:lang w:val="en-AU"/>
        </w:rPr>
        <w:t xml:space="preserve">) </w:t>
      </w:r>
      <w:r>
        <w:rPr>
          <w:lang w:val="en-AU"/>
        </w:rPr>
        <w:t xml:space="preserve">as a result of tenancy reviews have come from </w:t>
      </w:r>
      <w:r w:rsidR="00773D88">
        <w:rPr>
          <w:lang w:val="en-AU"/>
        </w:rPr>
        <w:t xml:space="preserve">the tenant </w:t>
      </w:r>
      <w:proofErr w:type="gramStart"/>
      <w:r w:rsidR="00773D88">
        <w:rPr>
          <w:lang w:val="en-AU"/>
        </w:rPr>
        <w:t>population  which</w:t>
      </w:r>
      <w:proofErr w:type="gramEnd"/>
      <w:r w:rsidR="00773D88">
        <w:rPr>
          <w:lang w:val="en-AU"/>
        </w:rPr>
        <w:t xml:space="preserve"> will remain eligible for review.</w:t>
      </w:r>
    </w:p>
    <w:p w:rsidR="008815B9" w:rsidRPr="005D7F64" w:rsidRDefault="005D7F64" w:rsidP="005D7F64">
      <w:pPr>
        <w:ind w:left="34"/>
        <w:rPr>
          <w:lang w:val="en-AU"/>
        </w:rPr>
      </w:pPr>
      <w:r>
        <w:rPr>
          <w:lang w:val="en-AU"/>
        </w:rPr>
        <w:t>Only a small proportion of exits as a result of tenancy reviews have come from the tenant population who will now be exempt</w:t>
      </w:r>
      <w:r w:rsidR="00773D88">
        <w:rPr>
          <w:lang w:val="en-AU"/>
        </w:rPr>
        <w:t xml:space="preserve"> from review</w:t>
      </w:r>
      <w:r>
        <w:rPr>
          <w:lang w:val="en-AU"/>
        </w:rPr>
        <w:t>.</w:t>
      </w:r>
      <w:r w:rsidR="008815B9" w:rsidRPr="008C135E">
        <w:t xml:space="preserve"> </w:t>
      </w:r>
    </w:p>
    <w:p w:rsidR="005D7F64" w:rsidRPr="008C135E" w:rsidRDefault="005D7F64" w:rsidP="008C135E">
      <w:pPr>
        <w:spacing w:line="276" w:lineRule="auto"/>
      </w:pPr>
    </w:p>
    <w:p w:rsidR="008815B9" w:rsidRPr="008C135E" w:rsidRDefault="008815B9" w:rsidP="008C135E">
      <w:pPr>
        <w:spacing w:line="276" w:lineRule="auto"/>
        <w:rPr>
          <w:b/>
          <w:bCs/>
        </w:rPr>
      </w:pPr>
    </w:p>
    <w:p w:rsidR="00CB6B6B" w:rsidRPr="008C135E" w:rsidRDefault="00CB6B6B" w:rsidP="008C135E">
      <w:pPr>
        <w:spacing w:line="276" w:lineRule="auto"/>
        <w:rPr>
          <w:b/>
          <w:bCs/>
        </w:rPr>
      </w:pPr>
    </w:p>
    <w:p w:rsidR="00CB6B6B" w:rsidRPr="008C135E" w:rsidRDefault="00CB6B6B" w:rsidP="008C135E">
      <w:pPr>
        <w:spacing w:line="276" w:lineRule="auto"/>
        <w:rPr>
          <w:b/>
          <w:bCs/>
        </w:rPr>
      </w:pPr>
    </w:p>
    <w:p w:rsidR="008C135E" w:rsidRDefault="008C135E" w:rsidP="008C135E">
      <w:pPr>
        <w:spacing w:line="276" w:lineRule="auto"/>
        <w:rPr>
          <w:b/>
          <w:bCs/>
        </w:rPr>
      </w:pPr>
    </w:p>
    <w:p w:rsidR="008C135E" w:rsidRDefault="008C135E" w:rsidP="008C135E">
      <w:pPr>
        <w:spacing w:line="276" w:lineRule="auto"/>
        <w:rPr>
          <w:b/>
          <w:bCs/>
        </w:rPr>
      </w:pPr>
    </w:p>
    <w:p w:rsidR="008C135E" w:rsidRDefault="008C135E" w:rsidP="008C135E">
      <w:pPr>
        <w:spacing w:line="276" w:lineRule="auto"/>
        <w:rPr>
          <w:b/>
          <w:bCs/>
        </w:rPr>
      </w:pPr>
    </w:p>
    <w:p w:rsidR="007277B9" w:rsidRPr="008815B9" w:rsidRDefault="008815B9" w:rsidP="008C135E">
      <w:pPr>
        <w:spacing w:line="276" w:lineRule="auto"/>
        <w:rPr>
          <w:rFonts w:asciiTheme="minorHAnsi" w:hAnsiTheme="minorHAnsi"/>
          <w:sz w:val="22"/>
          <w:szCs w:val="22"/>
        </w:rPr>
      </w:pPr>
      <w:r w:rsidRPr="008C135E">
        <w:rPr>
          <w:b/>
          <w:bCs/>
        </w:rPr>
        <w:t xml:space="preserve">Public housing tenants with questions can call the Ministry of Social Development </w:t>
      </w:r>
      <w:r w:rsidRPr="008C135E">
        <w:rPr>
          <w:b/>
        </w:rPr>
        <w:t>on 0800 559 009.</w:t>
      </w:r>
    </w:p>
    <w:sectPr w:rsidR="007277B9" w:rsidRPr="008815B9" w:rsidSect="008C135E">
      <w:type w:val="continuous"/>
      <w:pgSz w:w="11906" w:h="16838"/>
      <w:pgMar w:top="1440" w:right="1274" w:bottom="1418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48" w:rsidRDefault="00446E48" w:rsidP="00C03A65">
      <w:r>
        <w:separator/>
      </w:r>
    </w:p>
  </w:endnote>
  <w:endnote w:type="continuationSeparator" w:id="0">
    <w:p w:rsidR="00446E48" w:rsidRDefault="00446E48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48" w:rsidRDefault="00446E48" w:rsidP="00C03A65">
      <w:r>
        <w:separator/>
      </w:r>
    </w:p>
  </w:footnote>
  <w:footnote w:type="continuationSeparator" w:id="0">
    <w:p w:rsidR="00446E48" w:rsidRDefault="00446E48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AFAFF4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71A45"/>
    <w:multiLevelType w:val="hybridMultilevel"/>
    <w:tmpl w:val="FBE4F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2C3821B6"/>
    <w:multiLevelType w:val="hybridMultilevel"/>
    <w:tmpl w:val="DABAC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49CE1E98"/>
    <w:multiLevelType w:val="hybridMultilevel"/>
    <w:tmpl w:val="C4C8A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2825C7"/>
    <w:multiLevelType w:val="hybridMultilevel"/>
    <w:tmpl w:val="141CC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1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D7693"/>
    <w:multiLevelType w:val="hybridMultilevel"/>
    <w:tmpl w:val="0A34EE7C"/>
    <w:lvl w:ilvl="0" w:tplc="1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>
    <w:nsid w:val="69A11CD5"/>
    <w:multiLevelType w:val="multilevel"/>
    <w:tmpl w:val="96B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F5712"/>
    <w:multiLevelType w:val="hybridMultilevel"/>
    <w:tmpl w:val="127A1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051945"/>
    <w:multiLevelType w:val="hybridMultilevel"/>
    <w:tmpl w:val="58785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9658F"/>
    <w:multiLevelType w:val="hybridMultilevel"/>
    <w:tmpl w:val="E8545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  <w:num w:numId="18">
    <w:abstractNumId w:val="1"/>
  </w:num>
  <w:num w:numId="19">
    <w:abstractNumId w:val="3"/>
  </w:num>
  <w:num w:numId="20">
    <w:abstractNumId w:val="1"/>
  </w:num>
  <w:num w:numId="21">
    <w:abstractNumId w:val="3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F"/>
    <w:rsid w:val="00000B4C"/>
    <w:rsid w:val="00002667"/>
    <w:rsid w:val="00006166"/>
    <w:rsid w:val="000106D0"/>
    <w:rsid w:val="000329B5"/>
    <w:rsid w:val="000351B7"/>
    <w:rsid w:val="00037CB0"/>
    <w:rsid w:val="0004570E"/>
    <w:rsid w:val="000B51F6"/>
    <w:rsid w:val="000D1DFB"/>
    <w:rsid w:val="000D63B9"/>
    <w:rsid w:val="000E3BB9"/>
    <w:rsid w:val="00106AED"/>
    <w:rsid w:val="00117720"/>
    <w:rsid w:val="00133561"/>
    <w:rsid w:val="001968D5"/>
    <w:rsid w:val="001A1360"/>
    <w:rsid w:val="001D3744"/>
    <w:rsid w:val="001F25D0"/>
    <w:rsid w:val="00213DA6"/>
    <w:rsid w:val="00216302"/>
    <w:rsid w:val="00245A2B"/>
    <w:rsid w:val="002500C6"/>
    <w:rsid w:val="00290053"/>
    <w:rsid w:val="002A1DBA"/>
    <w:rsid w:val="002B53AD"/>
    <w:rsid w:val="002D1C62"/>
    <w:rsid w:val="00335FF3"/>
    <w:rsid w:val="00354EC2"/>
    <w:rsid w:val="00357272"/>
    <w:rsid w:val="00390E14"/>
    <w:rsid w:val="003A3FD8"/>
    <w:rsid w:val="004227ED"/>
    <w:rsid w:val="00445BCE"/>
    <w:rsid w:val="00446E48"/>
    <w:rsid w:val="00454F25"/>
    <w:rsid w:val="0047464E"/>
    <w:rsid w:val="004A0C8A"/>
    <w:rsid w:val="00533E65"/>
    <w:rsid w:val="00572AA9"/>
    <w:rsid w:val="005839C8"/>
    <w:rsid w:val="00595906"/>
    <w:rsid w:val="005B11F9"/>
    <w:rsid w:val="005D7F64"/>
    <w:rsid w:val="005F340F"/>
    <w:rsid w:val="00631D73"/>
    <w:rsid w:val="0065206C"/>
    <w:rsid w:val="006F4732"/>
    <w:rsid w:val="007277B9"/>
    <w:rsid w:val="00773D88"/>
    <w:rsid w:val="0078290D"/>
    <w:rsid w:val="007974A5"/>
    <w:rsid w:val="007B201A"/>
    <w:rsid w:val="007F7FC0"/>
    <w:rsid w:val="0080498F"/>
    <w:rsid w:val="00842DAA"/>
    <w:rsid w:val="00845C77"/>
    <w:rsid w:val="00860654"/>
    <w:rsid w:val="008815B9"/>
    <w:rsid w:val="008C135E"/>
    <w:rsid w:val="00903467"/>
    <w:rsid w:val="00906EAA"/>
    <w:rsid w:val="0093191D"/>
    <w:rsid w:val="00970DD2"/>
    <w:rsid w:val="00991BC8"/>
    <w:rsid w:val="009C1838"/>
    <w:rsid w:val="009D15F1"/>
    <w:rsid w:val="009D2B10"/>
    <w:rsid w:val="009D59B8"/>
    <w:rsid w:val="00A6244E"/>
    <w:rsid w:val="00A85CC5"/>
    <w:rsid w:val="00B33AF8"/>
    <w:rsid w:val="00B41635"/>
    <w:rsid w:val="00B5357A"/>
    <w:rsid w:val="00B549BA"/>
    <w:rsid w:val="00B65C18"/>
    <w:rsid w:val="00BA174E"/>
    <w:rsid w:val="00C03A65"/>
    <w:rsid w:val="00C121F8"/>
    <w:rsid w:val="00C2359F"/>
    <w:rsid w:val="00C5215F"/>
    <w:rsid w:val="00CB3A37"/>
    <w:rsid w:val="00CB4A28"/>
    <w:rsid w:val="00CB6B6B"/>
    <w:rsid w:val="00CD1AFD"/>
    <w:rsid w:val="00CD5D19"/>
    <w:rsid w:val="00CE108F"/>
    <w:rsid w:val="00CF05C7"/>
    <w:rsid w:val="00D34EA0"/>
    <w:rsid w:val="00D5078B"/>
    <w:rsid w:val="00DD7526"/>
    <w:rsid w:val="00E337D7"/>
    <w:rsid w:val="00E671C3"/>
    <w:rsid w:val="00E90142"/>
    <w:rsid w:val="00E9269E"/>
    <w:rsid w:val="00E94A7B"/>
    <w:rsid w:val="00F039E7"/>
    <w:rsid w:val="00F06EE8"/>
    <w:rsid w:val="00F07349"/>
    <w:rsid w:val="00F22AE5"/>
    <w:rsid w:val="00F23DF8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qFormat="1"/>
    <w:lsdException w:name="Default Paragraph Font" w:uiPriority="1" w:unhideWhenUsed="1"/>
    <w:lsdException w:name="Subtitle" w:semiHidden="0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65"/>
    <w:pPr>
      <w:spacing w:after="12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A65"/>
    <w:pPr>
      <w:keepNext/>
      <w:keepLines/>
      <w:spacing w:before="120" w:line="240" w:lineRule="auto"/>
      <w:ind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A65"/>
    <w:pPr>
      <w:spacing w:before="240"/>
      <w:outlineLvl w:val="1"/>
    </w:pPr>
    <w:rPr>
      <w:b/>
      <w:color w:val="121F6B"/>
      <w:sz w:val="28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A65"/>
    <w:pPr>
      <w:keepNext/>
      <w:keepLines/>
      <w:spacing w:before="240"/>
      <w:outlineLvl w:val="2"/>
    </w:pPr>
    <w:rPr>
      <w:rFonts w:eastAsia="Times New Roman"/>
      <w:b/>
      <w:bCs/>
      <w:kern w:val="0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3A65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03A65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C03A65"/>
    <w:rPr>
      <w:rFonts w:ascii="Verdana" w:eastAsia="Times New Roman" w:hAnsi="Verdana" w:cs="Arial"/>
      <w:b/>
      <w:bCs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0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21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2900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05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C7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C7"/>
    <w:rPr>
      <w:rFonts w:ascii="Verdana" w:hAnsi="Verdana" w:cs="Arial"/>
      <w:b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qFormat="1"/>
    <w:lsdException w:name="Default Paragraph Font" w:uiPriority="1" w:unhideWhenUsed="1"/>
    <w:lsdException w:name="Subtitle" w:semiHidden="0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65"/>
    <w:pPr>
      <w:spacing w:after="12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A65"/>
    <w:pPr>
      <w:keepNext/>
      <w:keepLines/>
      <w:spacing w:before="120" w:line="240" w:lineRule="auto"/>
      <w:ind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A65"/>
    <w:pPr>
      <w:spacing w:before="240"/>
      <w:outlineLvl w:val="1"/>
    </w:pPr>
    <w:rPr>
      <w:b/>
      <w:color w:val="121F6B"/>
      <w:sz w:val="28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A65"/>
    <w:pPr>
      <w:keepNext/>
      <w:keepLines/>
      <w:spacing w:before="240"/>
      <w:outlineLvl w:val="2"/>
    </w:pPr>
    <w:rPr>
      <w:rFonts w:eastAsia="Times New Roman"/>
      <w:b/>
      <w:bCs/>
      <w:kern w:val="0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3A65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03A65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C03A65"/>
    <w:rPr>
      <w:rFonts w:ascii="Verdana" w:eastAsia="Times New Roman" w:hAnsi="Verdana" w:cs="Arial"/>
      <w:b/>
      <w:bCs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0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21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2900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05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C7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C7"/>
    <w:rPr>
      <w:rFonts w:ascii="Verdana" w:hAnsi="Verdana" w:cs="Arial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3B49-008C-4F35-ABEB-9FAA519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Sim</dc:creator>
  <cp:lastModifiedBy>Barb Narasy</cp:lastModifiedBy>
  <cp:revision>2</cp:revision>
  <cp:lastPrinted>2018-09-16T22:05:00Z</cp:lastPrinted>
  <dcterms:created xsi:type="dcterms:W3CDTF">2018-09-18T01:47:00Z</dcterms:created>
  <dcterms:modified xsi:type="dcterms:W3CDTF">2018-09-18T01:47:00Z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A10808835</vt:lpwstr>
  </property>
  <property fmtid="{D5CDD505-2E9C-101B-9397-08002B2CF9AE}" pid="4" name="Objective-Title">
    <vt:lpwstr>20180917 [CN changes] For sign-off - factsheet - public houing tenancy review exemptions (2)</vt:lpwstr>
  </property>
  <property fmtid="{D5CDD505-2E9C-101B-9397-08002B2CF9AE}" pid="5" name="Objective-Comment">
    <vt:lpwstr/>
  </property>
  <property fmtid="{D5CDD505-2E9C-101B-9397-08002B2CF9AE}" pid="6" name="Objective-CreationStamp">
    <vt:filetime>2018-09-16T22:53:27Z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2018-09-17T01:13:08Z</vt:filetime>
  </property>
  <property fmtid="{D5CDD505-2E9C-101B-9397-08002B2CF9AE}" pid="11" name="Objective-Owner">
    <vt:lpwstr>Chantelle Naraine</vt:lpwstr>
  </property>
  <property fmtid="{D5CDD505-2E9C-101B-9397-08002B2CF9AE}" pid="12" name="Objective-Path">
    <vt:lpwstr>Global Folder:MSD INFORMATION REPOSITORY:Social Services Policy:Housing:Housing Assistance Reform:Policy Issues:Tenancy Reviews:Exemptions from Tenancy Reviews:</vt:lpwstr>
  </property>
  <property fmtid="{D5CDD505-2E9C-101B-9397-08002B2CF9AE}" pid="13" name="Objective-Parent">
    <vt:lpwstr>Exemptions from Tenancy Reviews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SP/SO/HO/14-7643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